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86E8" w14:textId="5B43FEC6" w:rsidR="00085CE7" w:rsidRPr="00C84093" w:rsidRDefault="00085CE7">
      <w:pPr>
        <w:rPr>
          <w:lang w:val="it-IT"/>
        </w:rPr>
      </w:pPr>
    </w:p>
    <w:p w14:paraId="543386E9" w14:textId="77777777" w:rsidR="00085CE7" w:rsidRPr="00C84093" w:rsidRDefault="00311BC2">
      <w:pPr>
        <w:pStyle w:val="Corpotesto"/>
        <w:spacing w:after="120" w:line="240" w:lineRule="auto"/>
        <w:jc w:val="both"/>
        <w:rPr>
          <w:lang w:val="it-IT"/>
        </w:rPr>
      </w:pPr>
      <w:r w:rsidRPr="00C84093">
        <w:rPr>
          <w:rStyle w:val="Enfasigrassetto"/>
          <w:sz w:val="18"/>
          <w:lang w:val="it-IT"/>
        </w:rPr>
        <w:t>COMUNICATO STAMPA</w:t>
      </w:r>
    </w:p>
    <w:p w14:paraId="543386EA" w14:textId="73A2E96C" w:rsidR="00085CE7" w:rsidRPr="00C84093" w:rsidRDefault="00311BC2">
      <w:pPr>
        <w:pStyle w:val="Titolo2"/>
        <w:jc w:val="both"/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</w:pPr>
      <w:proofErr w:type="spellStart"/>
      <w:r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>Wirecard</w:t>
      </w:r>
      <w:proofErr w:type="spellEnd"/>
      <w:r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 xml:space="preserve"> AG: un caso </w:t>
      </w:r>
      <w:proofErr w:type="spellStart"/>
      <w:r w:rsidR="00317700"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>scandoloso</w:t>
      </w:r>
      <w:proofErr w:type="spellEnd"/>
      <w:r w:rsidR="00317700"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 xml:space="preserve"> </w:t>
      </w:r>
      <w:r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 xml:space="preserve">di </w:t>
      </w:r>
      <w:r w:rsidR="00317700"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 xml:space="preserve">carenze in materia di </w:t>
      </w:r>
      <w:r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>corporate governance, revisione esterna e vigilanza, ancora una volta a spese degli investitori e dei risparmiatori p</w:t>
      </w:r>
      <w:r w:rsidR="00317700" w:rsidRPr="00C84093">
        <w:rPr>
          <w:rFonts w:ascii="Cambria" w:eastAsia="Calibri" w:hAnsi="Cambria"/>
          <w:b/>
          <w:color w:val="365F91"/>
          <w:spacing w:val="20"/>
          <w:kern w:val="3"/>
          <w:sz w:val="28"/>
          <w:szCs w:val="28"/>
          <w:lang w:val="it-IT"/>
        </w:rPr>
        <w:t>ensionistici</w:t>
      </w:r>
    </w:p>
    <w:p w14:paraId="543386EB" w14:textId="6BC53B9D" w:rsidR="00085CE7" w:rsidRPr="00C84093" w:rsidRDefault="00311BC2">
      <w:pPr>
        <w:spacing w:before="120" w:after="120"/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È con sorpresa che </w:t>
      </w:r>
      <w:r w:rsidR="00317700" w:rsidRPr="00C84093">
        <w:rPr>
          <w:rFonts w:ascii="Calibri Light" w:hAnsi="Calibri Light" w:cs="Calibri Light"/>
          <w:color w:val="000000"/>
          <w:lang w:val="it-IT"/>
        </w:rPr>
        <w:t xml:space="preserve">il 18 giugno 2020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BETTER FINANCE e le organizzazioni associate che rappresentano gli utenti dei servizi finanziari hanno letto </w:t>
      </w:r>
      <w:r w:rsidR="00317700" w:rsidRPr="00C84093">
        <w:rPr>
          <w:rFonts w:ascii="Calibri Light" w:hAnsi="Calibri Light" w:cs="Calibri Light"/>
          <w:color w:val="000000"/>
          <w:lang w:val="it-IT"/>
        </w:rPr>
        <w:t xml:space="preserve">la notizia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che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AG ("WD"), una delle storie di successo d</w:t>
      </w:r>
      <w:r w:rsidR="00317700" w:rsidRPr="00C84093">
        <w:rPr>
          <w:rFonts w:ascii="Calibri Light" w:hAnsi="Calibri Light" w:cs="Calibri Light"/>
          <w:color w:val="000000"/>
          <w:lang w:val="it-IT"/>
        </w:rPr>
        <w:t xml:space="preserve">elle </w:t>
      </w:r>
      <w:proofErr w:type="spellStart"/>
      <w:r w:rsidR="00317700" w:rsidRPr="00C84093">
        <w:rPr>
          <w:rFonts w:ascii="Calibri Light" w:hAnsi="Calibri Light" w:cs="Calibri Light"/>
          <w:color w:val="000000"/>
          <w:lang w:val="it-IT"/>
        </w:rPr>
        <w:t>f</w:t>
      </w:r>
      <w:r w:rsidRPr="00C84093">
        <w:rPr>
          <w:rFonts w:ascii="Calibri Light" w:hAnsi="Calibri Light" w:cs="Calibri Light"/>
          <w:color w:val="000000"/>
          <w:lang w:val="it-IT"/>
        </w:rPr>
        <w:t>in</w:t>
      </w:r>
      <w:r w:rsidR="00317700" w:rsidRPr="00C84093">
        <w:rPr>
          <w:rFonts w:ascii="Calibri Light" w:hAnsi="Calibri Light" w:cs="Calibri Light"/>
          <w:color w:val="000000"/>
          <w:lang w:val="it-IT"/>
        </w:rPr>
        <w:t>t</w:t>
      </w:r>
      <w:r w:rsidRPr="00C84093">
        <w:rPr>
          <w:rFonts w:ascii="Calibri Light" w:hAnsi="Calibri Light" w:cs="Calibri Light"/>
          <w:color w:val="000000"/>
          <w:lang w:val="it-IT"/>
        </w:rPr>
        <w:t>ech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r w:rsidR="00317700" w:rsidRPr="00C84093">
        <w:rPr>
          <w:rFonts w:ascii="Calibri Light" w:hAnsi="Calibri Light" w:cs="Calibri Light"/>
          <w:color w:val="000000"/>
          <w:lang w:val="it-IT"/>
        </w:rPr>
        <w:t>europee</w:t>
      </w:r>
      <w:r w:rsidRPr="00C84093">
        <w:rPr>
          <w:rFonts w:ascii="Calibri Light" w:hAnsi="Calibri Light" w:cs="Calibri Light"/>
          <w:color w:val="000000"/>
          <w:lang w:val="it-IT"/>
        </w:rPr>
        <w:t>, pot</w:t>
      </w:r>
      <w:r w:rsidR="00C84093" w:rsidRPr="00C84093">
        <w:rPr>
          <w:rFonts w:ascii="Calibri Light" w:hAnsi="Calibri Light" w:cs="Calibri Light"/>
          <w:color w:val="000000"/>
          <w:lang w:val="it-IT"/>
        </w:rPr>
        <w:t>eva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aver </w:t>
      </w:r>
      <w:r w:rsidR="00317700" w:rsidRPr="00C84093">
        <w:rPr>
          <w:rFonts w:ascii="Calibri Light" w:hAnsi="Calibri Light" w:cs="Calibri Light"/>
          <w:color w:val="000000"/>
          <w:lang w:val="it-IT"/>
        </w:rPr>
        <w:t xml:space="preserve">dichiarato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erroneamente 1,9 miliardi di euro nel suo bilancio, </w:t>
      </w:r>
      <w:r w:rsidR="00C84093" w:rsidRPr="00C84093">
        <w:rPr>
          <w:rFonts w:ascii="Calibri Light" w:hAnsi="Calibri Light" w:cs="Calibri Light"/>
          <w:color w:val="000000"/>
          <w:lang w:val="it-IT"/>
        </w:rPr>
        <w:t xml:space="preserve">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pochi giorni dopo </w:t>
      </w:r>
      <w:r w:rsidR="00C84093" w:rsidRPr="00C84093">
        <w:rPr>
          <w:rFonts w:ascii="Calibri Light" w:hAnsi="Calibri Light" w:cs="Calibri Light"/>
          <w:color w:val="000000"/>
          <w:lang w:val="it-IT"/>
        </w:rPr>
        <w:t xml:space="preserve">avrebbe presentato </w:t>
      </w:r>
      <w:r w:rsidR="00317700" w:rsidRPr="00C84093">
        <w:rPr>
          <w:rFonts w:ascii="Calibri Light" w:hAnsi="Calibri Light" w:cs="Calibri Light"/>
          <w:color w:val="000000"/>
          <w:lang w:val="it-IT"/>
        </w:rPr>
        <w:t xml:space="preserve">una dichiarazione di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insolvenza.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85CE7" w:rsidRPr="00C84093" w14:paraId="543386F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3386EC" w14:textId="258E6C11" w:rsidR="00085CE7" w:rsidRPr="00C84093" w:rsidRDefault="00311BC2">
            <w:pPr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C84093">
              <w:rPr>
                <w:rFonts w:ascii="Calibri Light" w:hAnsi="Calibri Light" w:cs="Calibri Light"/>
                <w:b/>
                <w:bCs/>
                <w:lang w:val="it-IT"/>
              </w:rPr>
              <w:t xml:space="preserve">UNA LUNGA SCIA DI </w:t>
            </w:r>
            <w:r w:rsidR="00317700" w:rsidRPr="00C84093">
              <w:rPr>
                <w:rFonts w:ascii="Calibri Light" w:hAnsi="Calibri Light" w:cs="Calibri Light"/>
                <w:b/>
                <w:bCs/>
                <w:lang w:val="it-IT"/>
              </w:rPr>
              <w:t>INDICATORI DI IRREGOLARITÀ</w:t>
            </w:r>
          </w:p>
          <w:p w14:paraId="543386ED" w14:textId="088CE17C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Nel 2015, una società specializzata nella vendita allo scoperto ha </w:t>
            </w:r>
            <w:hyperlink r:id="rId10" w:history="1">
              <w:r w:rsidR="00317700" w:rsidRPr="00C84093">
                <w:rPr>
                  <w:rStyle w:val="Collegamentoipertestuale"/>
                  <w:rFonts w:ascii="Calibri Light" w:hAnsi="Calibri Light" w:cs="Calibri Light"/>
                  <w:lang w:val="it-IT"/>
                </w:rPr>
                <w:t>messo in discussione</w:t>
              </w:r>
            </w:hyperlink>
            <w:r w:rsidRPr="00C84093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1"/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 le relazioni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delle attività di WD nell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a regione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Asia-Pacifico, sostenendo che in realtà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le cifre sembravano 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essere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di gran lunga inferiori.</w:t>
            </w:r>
          </w:p>
          <w:p w14:paraId="543386EE" w14:textId="34A517CC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Nello stesso anno,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il Financial Times (FT)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ha iniziato la serie "</w:t>
            </w:r>
            <w:hyperlink r:id="rId11" w:history="1">
              <w:r w:rsidR="00DE574B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House of </w:t>
              </w:r>
              <w:proofErr w:type="spellStart"/>
              <w:r w:rsidR="00DE574B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Wirecard</w:t>
              </w:r>
              <w:proofErr w:type="spellEnd"/>
            </w:hyperlink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", divulgando </w:t>
            </w:r>
            <w:hyperlink r:id="rId12" w:history="1">
              <w:r w:rsidR="00DE574B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documenti</w:t>
              </w:r>
            </w:hyperlink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 i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nterni </w:t>
            </w:r>
            <w:hyperlink r:id="rId13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trapelati </w:t>
              </w:r>
            </w:hyperlink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e </w:t>
            </w:r>
            <w:hyperlink r:id="rId14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scambi di e-mail</w:t>
              </w:r>
            </w:hyperlink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 c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he indicavano incongruenze, oltre a riferire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di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registrazioni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contabili e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linee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di business discutibili, 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e la presenza di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un "</w:t>
            </w:r>
            <w:hyperlink r:id="rId15" w:history="1">
              <w:r w:rsidR="00DE574B" w:rsidRPr="00C84093">
                <w:rPr>
                  <w:rStyle w:val="Collegamentoipertestuale"/>
                  <w:rFonts w:ascii="Calibri Light" w:eastAsia="Times New Roman" w:hAnsi="Calibri Light" w:cs="Calibri Light"/>
                  <w:i/>
                  <w:iCs/>
                  <w:lang w:val="it-IT"/>
                </w:rPr>
                <w:t>buco di 250 milioni di euro nel bilancio del gruppo</w:t>
              </w:r>
            </w:hyperlink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”.</w:t>
            </w:r>
          </w:p>
          <w:p w14:paraId="543386EF" w14:textId="2F309805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>Nel 2016, un gruppo di ricerca anonimo di presunti venditori allo scoperto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>,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"</w:t>
            </w:r>
            <w:proofErr w:type="spellStart"/>
            <w:r w:rsidRPr="00C84093">
              <w:rPr>
                <w:rFonts w:ascii="Calibri Light" w:eastAsia="Times New Roman" w:hAnsi="Calibri Light" w:cs="Calibri Light"/>
                <w:lang w:val="it-IT"/>
              </w:rPr>
              <w:t>Zattara</w:t>
            </w:r>
            <w:proofErr w:type="spellEnd"/>
            <w:r w:rsidRPr="00C84093">
              <w:rPr>
                <w:rFonts w:ascii="Calibri Light" w:eastAsia="Times New Roman" w:hAnsi="Calibri Light" w:cs="Calibri Light"/>
                <w:lang w:val="it-IT"/>
              </w:rPr>
              <w:t>"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>,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hyperlink r:id="rId16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ha sostenuto </w:t>
              </w:r>
            </w:hyperlink>
            <w:r w:rsidRPr="00C84093">
              <w:rPr>
                <w:rFonts w:ascii="Calibri Light" w:eastAsia="Times New Roman" w:hAnsi="Calibri Light" w:cs="Calibri Light"/>
                <w:lang w:val="it-IT"/>
              </w:rPr>
              <w:t>che WD era coinvolt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a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, tra l'altro, nel riciclaggio di denaro sporco; 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la </w:t>
            </w:r>
            <w:proofErr w:type="spellStart"/>
            <w:r w:rsidRPr="00C84093">
              <w:rPr>
                <w:rFonts w:ascii="Calibri Light" w:eastAsia="Times New Roman" w:hAnsi="Calibri Light" w:cs="Calibri Light"/>
                <w:lang w:val="it-IT"/>
              </w:rPr>
              <w:t>BaFin</w:t>
            </w:r>
            <w:proofErr w:type="spellEnd"/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ha aperto un'indagine contro </w:t>
            </w:r>
            <w:proofErr w:type="spellStart"/>
            <w:r w:rsidRPr="00C84093">
              <w:rPr>
                <w:rFonts w:ascii="Calibri Light" w:eastAsia="Times New Roman" w:hAnsi="Calibri Light" w:cs="Calibri Light"/>
                <w:lang w:val="it-IT"/>
              </w:rPr>
              <w:t>Zattara</w:t>
            </w:r>
            <w:proofErr w:type="spellEnd"/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per manipolazione del mercato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  <w:r w:rsidRPr="00C84093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2"/>
            </w:r>
          </w:p>
          <w:p w14:paraId="543386F0" w14:textId="1C26D264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>Nel 2018, a seguito di una s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egnalazione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dall'interno, uno studio legale di Singapore ha </w:t>
            </w:r>
            <w:hyperlink r:id="rId17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condotto un'indagine interna</w:t>
              </w:r>
            </w:hyperlink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 n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el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la sede centrale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di WD nell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a regione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Asia-Pacifico, trovando prove che indicavano "</w:t>
            </w:r>
            <w:r w:rsidR="00DE574B" w:rsidRPr="00C84093">
              <w:rPr>
                <w:rFonts w:ascii="Calibri Light" w:eastAsia="Times New Roman" w:hAnsi="Calibri Light" w:cs="Calibri Light"/>
                <w:i/>
                <w:lang w:val="it-IT"/>
              </w:rPr>
              <w:t>contraffa</w:t>
            </w:r>
            <w:r w:rsidRPr="00C84093">
              <w:rPr>
                <w:rFonts w:ascii="Calibri Light" w:eastAsia="Times New Roman" w:hAnsi="Calibri Light" w:cs="Calibri Light"/>
                <w:i/>
                <w:lang w:val="it-IT"/>
              </w:rPr>
              <w:t xml:space="preserve">zione </w:t>
            </w:r>
            <w:r w:rsidRPr="00C84093">
              <w:rPr>
                <w:rFonts w:ascii="Calibri Light" w:hAnsi="Calibri Light" w:cs="Calibri Light"/>
                <w:i/>
                <w:iCs/>
                <w:lang w:val="it-IT"/>
              </w:rPr>
              <w:t>e/o falsificazione di conti</w:t>
            </w:r>
            <w:r w:rsidR="00DE574B" w:rsidRPr="00C84093">
              <w:rPr>
                <w:rFonts w:ascii="Calibri Light" w:hAnsi="Calibri Light" w:cs="Calibri Light"/>
                <w:lang w:val="it-IT"/>
              </w:rPr>
              <w:t>".</w:t>
            </w:r>
          </w:p>
          <w:p w14:paraId="543386F1" w14:textId="138CB682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rFonts w:ascii="Calibri Light" w:eastAsia="Times New Roman" w:hAnsi="Calibri Light" w:cs="Calibri Light"/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Nel gennaio 2019,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i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l FT ha pubblicato una nuova serie di indagini su frodi e falsificazioni di WD Asia:</w:t>
            </w:r>
          </w:p>
          <w:p w14:paraId="543386F2" w14:textId="5999A90C" w:rsidR="00085CE7" w:rsidRPr="00C84093" w:rsidRDefault="00311BC2">
            <w:pPr>
              <w:pStyle w:val="Paragrafoelenco"/>
              <w:numPr>
                <w:ilvl w:val="1"/>
                <w:numId w:val="1"/>
              </w:numPr>
              <w:ind w:left="589" w:hanging="283"/>
              <w:jc w:val="both"/>
              <w:rPr>
                <w:lang w:val="it-IT"/>
              </w:rPr>
            </w:pPr>
            <w:proofErr w:type="gramStart"/>
            <w:r w:rsidRPr="00C84093">
              <w:rPr>
                <w:rFonts w:ascii="Calibri Light" w:eastAsia="Times New Roman" w:hAnsi="Calibri Light" w:cs="Calibri Light"/>
                <w:lang w:val="it-IT"/>
              </w:rPr>
              <w:t>in</w:t>
            </w:r>
            <w:proofErr w:type="gramEnd"/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primo </w:t>
            </w:r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>luogo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, </w:t>
            </w:r>
            <w:hyperlink r:id="rId18" w:history="1">
              <w:r w:rsidR="00DE574B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i giornalisti del FT hanno riferito</w:t>
              </w:r>
            </w:hyperlink>
            <w:r w:rsidR="00DE574B" w:rsidRPr="00C84093">
              <w:rPr>
                <w:rFonts w:ascii="Calibri Light" w:eastAsia="Times New Roman" w:hAnsi="Calibri Light" w:cs="Calibri Light"/>
                <w:lang w:val="it-IT"/>
              </w:rPr>
              <w:t xml:space="preserve"> c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he i dirigenti di WD Asia hanno usato contratti falsificati per gonfiare </w:t>
            </w:r>
            <w:r w:rsidR="00835D09" w:rsidRPr="00C84093">
              <w:rPr>
                <w:rFonts w:ascii="Calibri Light" w:eastAsia="Times New Roman" w:hAnsi="Calibri Light" w:cs="Calibri Light"/>
                <w:lang w:val="it-IT"/>
              </w:rPr>
              <w:t xml:space="preserve">le cifre del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business;</w:t>
            </w:r>
          </w:p>
          <w:p w14:paraId="543386F3" w14:textId="7644CCB5" w:rsidR="00085CE7" w:rsidRPr="00C84093" w:rsidRDefault="00835D09">
            <w:pPr>
              <w:pStyle w:val="Paragrafoelenco"/>
              <w:numPr>
                <w:ilvl w:val="1"/>
                <w:numId w:val="1"/>
              </w:numPr>
              <w:ind w:left="589" w:hanging="283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>i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n secondo luogo,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il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 FT ha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asserito 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che la società madre in Germania </w:t>
            </w:r>
            <w:hyperlink r:id="rId19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era a conoscenza</w:t>
              </w:r>
            </w:hyperlink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d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>elle presunte attività "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disoneste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"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–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la polizia di Singapore ha </w:t>
            </w:r>
            <w:hyperlink r:id="rId20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avviato un'indagine</w:t>
              </w:r>
            </w:hyperlink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>,</w:t>
            </w:r>
            <w:r w:rsidR="00311BC2" w:rsidRPr="00C84093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3"/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 xml:space="preserve">e 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la </w:t>
            </w:r>
            <w:hyperlink r:id="rId21" w:history="1">
              <w:proofErr w:type="spellStart"/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BaFin</w:t>
              </w:r>
              <w:proofErr w:type="spellEnd"/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 ha avviato un'indagine nei confronti dei giornalisti del FT</w:t>
              </w:r>
            </w:hyperlink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p</w:t>
            </w:r>
            <w:r w:rsidR="00311BC2" w:rsidRPr="00C84093">
              <w:rPr>
                <w:rFonts w:ascii="Calibri Light" w:eastAsia="Times New Roman" w:hAnsi="Calibri Light" w:cs="Calibri Light"/>
                <w:lang w:val="it-IT"/>
              </w:rPr>
              <w:t>er manipolazione del mercato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  <w:r w:rsidR="00311BC2" w:rsidRPr="00C84093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4"/>
            </w:r>
          </w:p>
          <w:p w14:paraId="543386F4" w14:textId="4158BB69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Febbraio 2019: </w:t>
            </w:r>
            <w:hyperlink r:id="rId22" w:history="1">
              <w:r w:rsidR="00CA63B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l'ESMA approva</w:t>
              </w:r>
            </w:hyperlink>
            <w:hyperlink r:id="rId23" w:history="1">
              <w:r w:rsidR="00CA63B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 il divieto temporaneo della </w:t>
              </w:r>
              <w:proofErr w:type="spellStart"/>
              <w:r w:rsidR="00CA63B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BaFin</w:t>
              </w:r>
              <w:proofErr w:type="spellEnd"/>
              <w:r w:rsidR="00CA63B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 sulle vendite allo scoperto</w:t>
              </w:r>
            </w:hyperlink>
            <w:r w:rsidR="00CA63BE" w:rsidRPr="00C84093">
              <w:rPr>
                <w:rFonts w:ascii="Calibri Light" w:eastAsia="Times New Roman" w:hAnsi="Calibri Light" w:cs="Calibri Light"/>
                <w:lang w:val="it-IT"/>
              </w:rPr>
              <w:t xml:space="preserve"> d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i azioni WD</w:t>
            </w:r>
            <w:r w:rsidR="00CA63BE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</w:p>
          <w:p w14:paraId="543386F5" w14:textId="2B92A1B2" w:rsidR="00085CE7" w:rsidRPr="00C84093" w:rsidRDefault="00311BC2" w:rsidP="00011EDE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>Inizio 2019: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r w:rsidR="00C84093" w:rsidRPr="00C84093">
              <w:rPr>
                <w:rFonts w:ascii="Calibri Light" w:eastAsia="Times New Roman" w:hAnsi="Calibri Light" w:cs="Calibri Light"/>
                <w:lang w:val="it-IT"/>
              </w:rPr>
              <w:t xml:space="preserve">la </w:t>
            </w:r>
            <w:hyperlink r:id="rId24" w:history="1">
              <w:proofErr w:type="spellStart"/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BaFin</w:t>
              </w:r>
              <w:proofErr w:type="spellEnd"/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 esorta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D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AP (</w:t>
            </w:r>
            <w:hyperlink r:id="rId25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FREP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) ad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avviare un'indagine su WD in seguito alle segnalazioni d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el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FT; </w:t>
            </w:r>
            <w:hyperlink r:id="rId26" w:history="1"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dopo 15 mesi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, c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on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siderato che vi è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una sola </w:t>
            </w:r>
            <w:hyperlink r:id="rId27" w:history="1">
              <w:r w:rsidR="00C84093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persona assegnata al caso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, le indagini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a quanto ci risulta 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sono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ancora in corso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</w:p>
          <w:p w14:paraId="543386F6" w14:textId="251630C4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lastRenderedPageBreak/>
              <w:t xml:space="preserve">Ottobre 2019: WD Germany </w:t>
            </w:r>
            <w:hyperlink r:id="rId28" w:history="1"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 xml:space="preserve">nomina un'altra “big </w:t>
              </w:r>
              <w:proofErr w:type="spellStart"/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four</w:t>
              </w:r>
              <w:proofErr w:type="spellEnd"/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”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p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er una revisione speciale che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,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nell'aprile 2020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, conclude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che </w:t>
            </w:r>
            <w:r w:rsidRPr="00C84093">
              <w:rPr>
                <w:rStyle w:val="Collegamentoipertestuale"/>
                <w:rFonts w:ascii="Calibri Light" w:eastAsia="Times New Roman" w:hAnsi="Calibri Light" w:cs="Calibri Light"/>
                <w:lang w:val="it-IT"/>
              </w:rPr>
              <w:t>"gli utili di terzi"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n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on possono essere controllati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  <w:r w:rsidRPr="00C84093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5"/>
            </w:r>
          </w:p>
          <w:p w14:paraId="543386F7" w14:textId="0168E265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18 giugno 2020: il revisore dei conti si </w:t>
            </w:r>
            <w:hyperlink r:id="rId29" w:history="1">
              <w:r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rifiuta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d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i firmare i conti del 2019 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con la motivazione che 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"mancan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o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" 1,9 miliardi di euro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</w:p>
          <w:p w14:paraId="543386F8" w14:textId="50E83D29" w:rsidR="00085CE7" w:rsidRPr="00C84093" w:rsidRDefault="00311BC2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22 giugno 2020: </w:t>
            </w:r>
            <w:proofErr w:type="spellStart"/>
            <w:r w:rsidRPr="00C84093">
              <w:rPr>
                <w:rFonts w:ascii="Calibri Light" w:eastAsia="Times New Roman" w:hAnsi="Calibri Light" w:cs="Calibri Light"/>
                <w:lang w:val="it-IT"/>
              </w:rPr>
              <w:t>Wirecard</w:t>
            </w:r>
            <w:proofErr w:type="spellEnd"/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hyperlink r:id="rId30" w:anchor=":~:text=FRANKFURT%2FMANILA%20(Reuters)%20%2D,avert%20a%20looming%20cash%20crunch." w:history="1">
              <w:r w:rsidR="00011EDE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segnala</w:t>
              </w:r>
            </w:hyperlink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 xml:space="preserve"> che </w:t>
            </w:r>
            <w:r w:rsidR="008A0E6B" w:rsidRPr="00C84093">
              <w:rPr>
                <w:rFonts w:ascii="Calibri Light" w:eastAsia="Times New Roman" w:hAnsi="Calibri Light" w:cs="Calibri Light"/>
                <w:lang w:val="it-IT"/>
              </w:rPr>
              <w:t>quest</w:t>
            </w:r>
            <w:r w:rsidR="00011EDE" w:rsidRPr="00C84093">
              <w:rPr>
                <w:rFonts w:ascii="Calibri Light" w:eastAsia="Times New Roman" w:hAnsi="Calibri Light" w:cs="Calibri Light"/>
                <w:lang w:val="it-IT"/>
              </w:rPr>
              <w:t>i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1,9 miliardi di euro mancanti probabilmente non sono mai esistiti</w:t>
            </w:r>
            <w:r w:rsidR="008A0E6B"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</w:p>
          <w:p w14:paraId="543386F9" w14:textId="2424BC7B" w:rsidR="00085CE7" w:rsidRPr="00C84093" w:rsidRDefault="00311BC2" w:rsidP="008A0E6B">
            <w:pPr>
              <w:pStyle w:val="Paragrafoelenco"/>
              <w:numPr>
                <w:ilvl w:val="0"/>
                <w:numId w:val="1"/>
              </w:numPr>
              <w:ind w:left="306" w:hanging="284"/>
              <w:jc w:val="both"/>
              <w:rPr>
                <w:lang w:val="it-IT"/>
              </w:rPr>
            </w:pPr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25 giugno: </w:t>
            </w:r>
            <w:proofErr w:type="spellStart"/>
            <w:r w:rsidRPr="00C84093">
              <w:rPr>
                <w:rFonts w:ascii="Calibri Light" w:eastAsia="Times New Roman" w:hAnsi="Calibri Light" w:cs="Calibri Light"/>
                <w:lang w:val="it-IT"/>
              </w:rPr>
              <w:t>Wirecard</w:t>
            </w:r>
            <w:proofErr w:type="spellEnd"/>
            <w:r w:rsidRPr="00C84093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hyperlink r:id="rId31" w:history="1">
              <w:r w:rsidR="008A0E6B" w:rsidRPr="00C84093">
                <w:rPr>
                  <w:rStyle w:val="Collegamentoipertestuale"/>
                  <w:rFonts w:ascii="Calibri Light" w:eastAsia="Times New Roman" w:hAnsi="Calibri Light" w:cs="Calibri Light"/>
                  <w:lang w:val="it-IT"/>
                </w:rPr>
                <w:t>rende nota</w:t>
              </w:r>
            </w:hyperlink>
            <w:r w:rsidR="008A0E6B" w:rsidRPr="00C84093">
              <w:rPr>
                <w:rFonts w:ascii="Calibri Light" w:eastAsia="Times New Roman" w:hAnsi="Calibri Light" w:cs="Calibri Light"/>
                <w:lang w:val="it-IT"/>
              </w:rPr>
              <w:t xml:space="preserve"> l’istanza di fallimento</w:t>
            </w:r>
            <w:r w:rsidRPr="00C84093">
              <w:rPr>
                <w:rFonts w:ascii="Calibri Light" w:eastAsia="Times New Roman" w:hAnsi="Calibri Light" w:cs="Calibri Light"/>
                <w:lang w:val="it-IT"/>
              </w:rPr>
              <w:t>.</w:t>
            </w:r>
          </w:p>
        </w:tc>
      </w:tr>
    </w:tbl>
    <w:p w14:paraId="543386FB" w14:textId="51CF5E1C" w:rsidR="00085CE7" w:rsidRPr="00C84093" w:rsidRDefault="008A0E6B">
      <w:pPr>
        <w:spacing w:before="240"/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lastRenderedPageBreak/>
        <w:t xml:space="preserve">BETTER FINANCE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presenta diverse raccomandazioni politiche </w:t>
      </w:r>
      <w:r w:rsidRPr="00C84093">
        <w:rPr>
          <w:rFonts w:ascii="Calibri Light" w:hAnsi="Calibri Light" w:cs="Calibri Light"/>
          <w:color w:val="000000"/>
          <w:lang w:val="it-IT"/>
        </w:rPr>
        <w:t>al</w:t>
      </w:r>
      <w:r w:rsidR="00311BC2" w:rsidRPr="00C84093">
        <w:rPr>
          <w:rFonts w:ascii="Calibri Light" w:hAnsi="Calibri Light" w:cs="Calibri Light"/>
          <w:color w:val="000000"/>
          <w:lang w:val="it-IT"/>
        </w:rPr>
        <w:t>le autorità dell'UE affinché traggano insegnamento da questo terribile caso:</w:t>
      </w:r>
    </w:p>
    <w:p w14:paraId="543386FC" w14:textId="0E5C0539" w:rsidR="00085CE7" w:rsidRPr="00C84093" w:rsidRDefault="00311BC2">
      <w:pPr>
        <w:shd w:val="clear" w:color="auto" w:fill="0070C0"/>
        <w:ind w:left="709"/>
        <w:jc w:val="both"/>
        <w:rPr>
          <w:lang w:val="it-IT"/>
        </w:rPr>
      </w:pPr>
      <w:r w:rsidRPr="00C84093">
        <w:rPr>
          <w:rFonts w:ascii="Calibri Light" w:hAnsi="Calibri Light" w:cs="Calibri Light"/>
          <w:noProof/>
          <w:color w:val="000000"/>
          <w:lang w:val="it-IT" w:eastAsia="it-IT"/>
        </w:rPr>
        <w:drawing>
          <wp:anchor distT="0" distB="0" distL="114300" distR="114300" simplePos="0" relativeHeight="251654656" behindDoc="0" locked="0" layoutInCell="1" allowOverlap="1" wp14:anchorId="543386EF" wp14:editId="543386F0">
            <wp:simplePos x="0" y="0"/>
            <wp:positionH relativeFrom="margin">
              <wp:posOffset>-630</wp:posOffset>
            </wp:positionH>
            <wp:positionV relativeFrom="paragraph">
              <wp:posOffset>45089</wp:posOffset>
            </wp:positionV>
            <wp:extent cx="255903" cy="255903"/>
            <wp:effectExtent l="0" t="0" r="0" b="0"/>
            <wp:wrapThrough wrapText="bothSides">
              <wp:wrapPolygon edited="0">
                <wp:start x="3224" y="0"/>
                <wp:lineTo x="0" y="6448"/>
                <wp:lineTo x="0" y="11284"/>
                <wp:lineTo x="3224" y="19343"/>
                <wp:lineTo x="16119" y="19343"/>
                <wp:lineTo x="19343" y="11284"/>
                <wp:lineTo x="19343" y="6448"/>
                <wp:lineTo x="16119" y="0"/>
                <wp:lineTo x="3224" y="0"/>
              </wp:wrapPolygon>
            </wp:wrapThrough>
            <wp:docPr id="5" name="Graphic 2" descr="Bad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3" cy="255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ab/>
      </w:r>
      <w:r w:rsidR="008A0E6B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VIGILANZA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 INSUFFICIENTE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: LA NECESSITÀ DI UNA REGOLAMENTAZIONE E SUPERVISIONE COERENTE DEI </w:t>
      </w:r>
      <w:r w:rsidR="00182A36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PRESTATORI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DI SERVIZI FINANZIARI, CHIUNQUE ESSI SIANO</w:t>
      </w:r>
    </w:p>
    <w:p w14:paraId="543386FD" w14:textId="2049663D" w:rsidR="00085CE7" w:rsidRPr="00C84093" w:rsidRDefault="00311BC2">
      <w:pPr>
        <w:spacing w:after="120"/>
        <w:jc w:val="both"/>
        <w:rPr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Una raccomandazione chiave di </w:t>
      </w:r>
      <w:r w:rsidR="008A0E6B" w:rsidRPr="00C84093">
        <w:rPr>
          <w:rFonts w:ascii="Calibri Light" w:hAnsi="Calibri Light" w:cs="Calibri Light"/>
          <w:color w:val="000000"/>
          <w:lang w:val="it-IT"/>
        </w:rPr>
        <w:t xml:space="preserve">BETTER FINANCE sin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dal 2012 è che i quadri normativi finanziari dell'UE e nazionali dovrebbero essere </w:t>
      </w:r>
      <w:r w:rsidRPr="00C84093">
        <w:rPr>
          <w:rFonts w:ascii="Calibri Light" w:hAnsi="Calibri Light" w:cs="Calibri Light"/>
          <w:b/>
          <w:bCs/>
          <w:i/>
          <w:iCs/>
          <w:color w:val="000000"/>
          <w:u w:val="single"/>
          <w:lang w:val="it-IT"/>
        </w:rPr>
        <w:t xml:space="preserve">coerenti </w:t>
      </w:r>
      <w:r w:rsidR="008A0E6B" w:rsidRPr="00C84093">
        <w:rPr>
          <w:rFonts w:ascii="Calibri Light" w:hAnsi="Calibri Light" w:cs="Calibri Light"/>
          <w:b/>
          <w:bCs/>
          <w:i/>
          <w:iCs/>
          <w:color w:val="000000"/>
          <w:u w:val="single"/>
          <w:lang w:val="it-IT"/>
        </w:rPr>
        <w:t xml:space="preserve">per quanto riguarda </w:t>
      </w:r>
      <w:r w:rsidRPr="00C84093">
        <w:rPr>
          <w:rFonts w:ascii="Calibri Light" w:hAnsi="Calibri Light" w:cs="Calibri Light"/>
          <w:b/>
          <w:bCs/>
          <w:i/>
          <w:iCs/>
          <w:color w:val="000000"/>
          <w:u w:val="single"/>
          <w:lang w:val="it-IT"/>
        </w:rPr>
        <w:t xml:space="preserve">applicazione </w:t>
      </w:r>
      <w:r w:rsidR="008A0E6B" w:rsidRPr="00C84093">
        <w:rPr>
          <w:rFonts w:ascii="Calibri Light" w:hAnsi="Calibri Light" w:cs="Calibri Light"/>
          <w:b/>
          <w:bCs/>
          <w:i/>
          <w:iCs/>
          <w:color w:val="000000"/>
          <w:u w:val="single"/>
          <w:lang w:val="it-IT"/>
        </w:rPr>
        <w:t>e portata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, chiunque sia il </w:t>
      </w:r>
      <w:r w:rsidR="00182A36" w:rsidRPr="00C84093">
        <w:rPr>
          <w:rFonts w:ascii="Calibri Light" w:hAnsi="Calibri Light" w:cs="Calibri Light"/>
          <w:color w:val="000000"/>
          <w:lang w:val="it-IT"/>
        </w:rPr>
        <w:t>prestatore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, nella misura in cui il </w:t>
      </w:r>
      <w:r w:rsidRPr="00C84093">
        <w:rPr>
          <w:rFonts w:ascii="Calibri Light" w:hAnsi="Calibri Light" w:cs="Calibri Light"/>
          <w:b/>
          <w:bCs/>
          <w:color w:val="000000"/>
          <w:lang w:val="it-IT"/>
        </w:rPr>
        <w:t xml:space="preserve">servizio chiave </w:t>
      </w:r>
      <w:r w:rsidRPr="00C84093">
        <w:rPr>
          <w:rFonts w:ascii="Calibri Light" w:hAnsi="Calibri Light" w:cs="Calibri Light"/>
          <w:color w:val="000000"/>
          <w:lang w:val="it-IT"/>
        </w:rPr>
        <w:t>fornito è un servizio finanziario.</w:t>
      </w:r>
    </w:p>
    <w:p w14:paraId="543386FE" w14:textId="6249A348" w:rsidR="00085CE7" w:rsidRPr="00C84093" w:rsidRDefault="00311BC2">
      <w:pPr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Dalla nostra comprensione dei fatti in questione, una delle </w:t>
      </w:r>
      <w:r w:rsidR="00182A36" w:rsidRPr="00C84093">
        <w:rPr>
          <w:rFonts w:ascii="Calibri Light" w:hAnsi="Calibri Light" w:cs="Calibri Light"/>
          <w:color w:val="000000"/>
          <w:lang w:val="it-IT"/>
        </w:rPr>
        <w:t>problematiche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è stata la limitazione dell</w:t>
      </w:r>
      <w:r w:rsidR="00182A36" w:rsidRPr="00C84093">
        <w:rPr>
          <w:rFonts w:ascii="Calibri Light" w:hAnsi="Calibri Light" w:cs="Calibri Light"/>
          <w:color w:val="000000"/>
          <w:lang w:val="it-IT"/>
        </w:rPr>
        <w:t>e competenze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dell'autorità di vigilanza finanziaria tedesca (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Bundesanstalt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für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Finanzdienstleistungsuafsicht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-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BaFin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) a controllare direttamente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AG </w:t>
      </w:r>
      <w:r w:rsidR="00182A36" w:rsidRPr="00C84093">
        <w:rPr>
          <w:rFonts w:ascii="Calibri Light" w:hAnsi="Calibri Light" w:cs="Calibri Light"/>
          <w:color w:val="000000"/>
          <w:lang w:val="it-IT"/>
        </w:rPr>
        <w:t>–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a differenza della </w:t>
      </w:r>
      <w:r w:rsidR="00182A36" w:rsidRPr="00C84093">
        <w:rPr>
          <w:rFonts w:ascii="Calibri Light" w:hAnsi="Calibri Light" w:cs="Calibri Light"/>
          <w:color w:val="000000"/>
          <w:lang w:val="it-IT"/>
        </w:rPr>
        <w:t xml:space="preserve">totale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competenza nei confronti di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Bank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AG </w:t>
      </w:r>
      <w:r w:rsidR="00182A36" w:rsidRPr="00C84093">
        <w:rPr>
          <w:rFonts w:ascii="Calibri Light" w:hAnsi="Calibri Light" w:cs="Calibri Light"/>
          <w:color w:val="000000"/>
          <w:lang w:val="it-IT"/>
        </w:rPr>
        <w:t>–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che</w:t>
      </w:r>
      <w:r w:rsidR="00182A36" w:rsidRPr="00C84093">
        <w:rPr>
          <w:rFonts w:ascii="Calibri Light" w:hAnsi="Calibri Light" w:cs="Calibri Light"/>
          <w:color w:val="000000"/>
          <w:lang w:val="it-IT"/>
        </w:rPr>
        <w:t xml:space="preserve">, quindi, </w:t>
      </w:r>
      <w:r w:rsidRPr="00C84093">
        <w:rPr>
          <w:rFonts w:ascii="Calibri Light" w:hAnsi="Calibri Light" w:cs="Calibri Light"/>
          <w:color w:val="000000"/>
          <w:lang w:val="it-IT"/>
        </w:rPr>
        <w:t>potrebbe aver ritardato l'</w:t>
      </w:r>
      <w:r w:rsidR="00182A36" w:rsidRPr="00C84093">
        <w:rPr>
          <w:rFonts w:ascii="Calibri Light" w:hAnsi="Calibri Light" w:cs="Calibri Light"/>
          <w:color w:val="000000"/>
          <w:lang w:val="it-IT"/>
        </w:rPr>
        <w:t>intervento</w:t>
      </w:r>
      <w:r w:rsidRPr="00C84093">
        <w:rPr>
          <w:rFonts w:ascii="Calibri Light" w:hAnsi="Calibri Light" w:cs="Calibri Light"/>
          <w:color w:val="000000"/>
          <w:lang w:val="it-IT"/>
        </w:rPr>
        <w:t>.</w:t>
      </w:r>
    </w:p>
    <w:p w14:paraId="543386FF" w14:textId="2379FABC" w:rsidR="00085CE7" w:rsidRPr="00C84093" w:rsidRDefault="00182A36">
      <w:pPr>
        <w:spacing w:after="120"/>
        <w:jc w:val="both"/>
        <w:rPr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In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base </w:t>
      </w:r>
      <w:r w:rsidRPr="00C84093">
        <w:rPr>
          <w:rFonts w:ascii="Calibri Light" w:hAnsi="Calibri Light" w:cs="Calibri Light"/>
          <w:color w:val="000000"/>
          <w:lang w:val="it-IT"/>
        </w:rPr>
        <w:t>a</w:t>
      </w:r>
      <w:r w:rsidR="00311BC2" w:rsidRPr="00C84093">
        <w:rPr>
          <w:rFonts w:ascii="Calibri Light" w:hAnsi="Calibri Light" w:cs="Calibri Light"/>
          <w:color w:val="000000"/>
          <w:lang w:val="it-IT"/>
        </w:rPr>
        <w:t>lle ricerche di BETTER FINANCE,</w:t>
      </w:r>
      <w:r w:rsidR="00311BC2" w:rsidRPr="00C84093">
        <w:rPr>
          <w:rStyle w:val="Rimandonotaapidipagina"/>
          <w:rFonts w:ascii="Calibri Light" w:hAnsi="Calibri Light" w:cs="Calibri Light"/>
          <w:color w:val="000000"/>
          <w:lang w:val="it-IT"/>
        </w:rPr>
        <w:footnoteReference w:id="6"/>
      </w:r>
      <w:r w:rsidRPr="00C84093">
        <w:rPr>
          <w:rFonts w:ascii="Calibri Light" w:hAnsi="Calibri Light" w:cs="Calibri Light"/>
          <w:color w:val="000000"/>
          <w:lang w:val="it-IT"/>
        </w:rPr>
        <w:t xml:space="preserve"> spesso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le società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f</w:t>
      </w:r>
      <w:r w:rsidR="00311BC2" w:rsidRPr="00C84093">
        <w:rPr>
          <w:rFonts w:ascii="Calibri Light" w:hAnsi="Calibri Light" w:cs="Calibri Light"/>
          <w:color w:val="000000"/>
          <w:lang w:val="it-IT"/>
        </w:rPr>
        <w:t>in</w:t>
      </w:r>
      <w:r w:rsidRPr="00C84093">
        <w:rPr>
          <w:rFonts w:ascii="Calibri Light" w:hAnsi="Calibri Light" w:cs="Calibri Light"/>
          <w:color w:val="000000"/>
          <w:lang w:val="it-IT"/>
        </w:rPr>
        <w:t>t</w:t>
      </w:r>
      <w:r w:rsidR="00311BC2" w:rsidRPr="00C84093">
        <w:rPr>
          <w:rFonts w:ascii="Calibri Light" w:hAnsi="Calibri Light" w:cs="Calibri Light"/>
          <w:color w:val="000000"/>
          <w:lang w:val="it-IT"/>
        </w:rPr>
        <w:t>ech</w:t>
      </w:r>
      <w:proofErr w:type="spellEnd"/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 europee sono trattate come società "tecnologiche" piuttosto che come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prestatori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di servizi finanziari, anche se debitamente registrate come intermediari finanziari (ad es. consulenti, imprese di investimento) presso le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competenti </w:t>
      </w:r>
      <w:r w:rsidR="00311BC2" w:rsidRPr="00C84093">
        <w:rPr>
          <w:rFonts w:ascii="Calibri Light" w:hAnsi="Calibri Light" w:cs="Calibri Light"/>
          <w:color w:val="000000"/>
          <w:lang w:val="it-IT"/>
        </w:rPr>
        <w:t>autorità di vigilanza.</w:t>
      </w:r>
    </w:p>
    <w:p w14:paraId="54338700" w14:textId="68D24B47" w:rsidR="00085CE7" w:rsidRPr="00C84093" w:rsidRDefault="00311BC2">
      <w:pPr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La </w:t>
      </w:r>
      <w:r w:rsidR="00182A36" w:rsidRPr="00C84093">
        <w:rPr>
          <w:rFonts w:ascii="Calibri Light" w:hAnsi="Calibri Light" w:cs="Calibri Light"/>
          <w:color w:val="000000"/>
          <w:lang w:val="it-IT"/>
        </w:rPr>
        <w:t xml:space="preserve">normativa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e la vigilanza dell'UE e degli Stati membri devono essere applicate in modo coerente a tutti i prestatori che operano </w:t>
      </w:r>
      <w:r w:rsidR="00182A36" w:rsidRPr="00C84093">
        <w:rPr>
          <w:rFonts w:ascii="Calibri Light" w:hAnsi="Calibri Light" w:cs="Calibri Light"/>
          <w:color w:val="000000"/>
          <w:lang w:val="it-IT"/>
        </w:rPr>
        <w:t>in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un mercato specifico (in questo caso i servizi di pagamento) indipendentemente dalla categoria del prestatore (che si tratti di una banca o, in questo caso, di un</w:t>
      </w:r>
      <w:r w:rsidR="00182A36" w:rsidRPr="00C84093">
        <w:rPr>
          <w:rFonts w:ascii="Calibri Light" w:hAnsi="Calibri Light" w:cs="Calibri Light"/>
          <w:color w:val="000000"/>
          <w:lang w:val="it-IT"/>
        </w:rPr>
        <w:t xml:space="preserve">’organizzazione </w:t>
      </w:r>
      <w:r w:rsidRPr="00C84093">
        <w:rPr>
          <w:rFonts w:ascii="Calibri Light" w:hAnsi="Calibri Light" w:cs="Calibri Light"/>
          <w:color w:val="000000"/>
          <w:lang w:val="it-IT"/>
        </w:rPr>
        <w:t>non banc</w:t>
      </w:r>
      <w:r w:rsidR="00182A36" w:rsidRPr="00C84093">
        <w:rPr>
          <w:rFonts w:ascii="Calibri Light" w:hAnsi="Calibri Light" w:cs="Calibri Light"/>
          <w:color w:val="000000"/>
          <w:lang w:val="it-IT"/>
        </w:rPr>
        <w:t>ari</w:t>
      </w:r>
      <w:r w:rsidRPr="00C84093">
        <w:rPr>
          <w:rFonts w:ascii="Calibri Light" w:hAnsi="Calibri Light" w:cs="Calibri Light"/>
          <w:color w:val="000000"/>
          <w:lang w:val="it-IT"/>
        </w:rPr>
        <w:t>a), al fine di garantire che l'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acquis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sulla </w:t>
      </w:r>
      <w:r w:rsidR="00182A36" w:rsidRPr="00C84093">
        <w:rPr>
          <w:rFonts w:ascii="Calibri Light" w:hAnsi="Calibri Light" w:cs="Calibri Light"/>
          <w:color w:val="000000"/>
          <w:lang w:val="it-IT"/>
        </w:rPr>
        <w:t xml:space="preserve">normativa </w:t>
      </w:r>
      <w:r w:rsidRPr="00C84093">
        <w:rPr>
          <w:rFonts w:ascii="Calibri Light" w:hAnsi="Calibri Light" w:cs="Calibri Light"/>
          <w:color w:val="000000"/>
          <w:lang w:val="it-IT"/>
        </w:rPr>
        <w:t>finanziaria, duramente conquistato, produca gli effetti desiderati. L'ESMA deve garantire l'applicazione coerente delle norme UE in tutti gli Stati membri.</w:t>
      </w:r>
    </w:p>
    <w:p w14:paraId="54338701" w14:textId="05C2749E" w:rsidR="00085CE7" w:rsidRPr="00C84093" w:rsidRDefault="00311BC2">
      <w:pPr>
        <w:shd w:val="clear" w:color="auto" w:fill="0070C0"/>
        <w:ind w:left="709"/>
        <w:jc w:val="both"/>
        <w:rPr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ab/>
        <w:t>VIGILANZA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 INSUFFICIENTE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: </w:t>
      </w:r>
      <w:r w:rsidRPr="00C84093">
        <w:rPr>
          <w:rFonts w:ascii="Calibri Light" w:hAnsi="Calibri Light" w:cs="Calibri Light"/>
          <w:noProof/>
          <w:color w:val="FFFFFF"/>
          <w:lang w:val="it-IT" w:eastAsia="it-IT"/>
        </w:rPr>
        <w:drawing>
          <wp:anchor distT="0" distB="0" distL="114300" distR="114300" simplePos="0" relativeHeight="251655680" behindDoc="0" locked="0" layoutInCell="1" allowOverlap="1" wp14:anchorId="543386F1" wp14:editId="543386F2">
            <wp:simplePos x="0" y="0"/>
            <wp:positionH relativeFrom="margin">
              <wp:posOffset>0</wp:posOffset>
            </wp:positionH>
            <wp:positionV relativeFrom="paragraph">
              <wp:posOffset>48892</wp:posOffset>
            </wp:positionV>
            <wp:extent cx="276221" cy="276221"/>
            <wp:effectExtent l="0" t="0" r="0" b="0"/>
            <wp:wrapThrough wrapText="bothSides">
              <wp:wrapPolygon edited="0">
                <wp:start x="2986" y="0"/>
                <wp:lineTo x="0" y="5972"/>
                <wp:lineTo x="0" y="11945"/>
                <wp:lineTo x="4479" y="19410"/>
                <wp:lineTo x="16424" y="19410"/>
                <wp:lineTo x="19410" y="11945"/>
                <wp:lineTo x="19410" y="5972"/>
                <wp:lineTo x="14931" y="0"/>
                <wp:lineTo x="2986" y="0"/>
              </wp:wrapPolygon>
            </wp:wrapThrough>
            <wp:docPr id="6" name="Graphic 3" descr="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1" cy="276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INDAGARE 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SU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L FUNZIONAMENTO E 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SU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GLI OBIETTIVI DELLE A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UTORITÀ PUBBLICHE DI VIGILANZA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N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EL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CASO 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IN QUESTIONE</w:t>
      </w:r>
    </w:p>
    <w:p w14:paraId="54338702" w14:textId="68E276EC" w:rsidR="00085CE7" w:rsidRPr="00C84093" w:rsidRDefault="00311BC2">
      <w:pPr>
        <w:spacing w:after="120"/>
        <w:jc w:val="both"/>
        <w:rPr>
          <w:rFonts w:ascii="Calibri Light" w:eastAsia="Times New Roman" w:hAnsi="Calibri Light" w:cs="Calibri Light"/>
          <w:lang w:val="it-IT"/>
        </w:rPr>
      </w:pPr>
      <w:r w:rsidRPr="00C84093">
        <w:rPr>
          <w:rFonts w:ascii="Calibri Light" w:eastAsia="Times New Roman" w:hAnsi="Calibri Light" w:cs="Calibri Light"/>
          <w:lang w:val="it-IT"/>
        </w:rPr>
        <w:t xml:space="preserve">L'organo di vigilanza finanziaria tedesco ha i poteri, la governance e gli obiettivi statutari necessari per evitare tali enormi </w:t>
      </w:r>
      <w:r w:rsidR="0015713A" w:rsidRPr="00C84093">
        <w:rPr>
          <w:rFonts w:ascii="Calibri Light" w:eastAsia="Times New Roman" w:hAnsi="Calibri Light" w:cs="Calibri Light"/>
          <w:lang w:val="it-IT"/>
        </w:rPr>
        <w:t xml:space="preserve">carenze </w:t>
      </w:r>
      <w:r w:rsidRPr="00C84093">
        <w:rPr>
          <w:rFonts w:ascii="Calibri Light" w:eastAsia="Times New Roman" w:hAnsi="Calibri Light" w:cs="Calibri Light"/>
          <w:lang w:val="it-IT"/>
        </w:rPr>
        <w:t>del mercato?</w:t>
      </w:r>
    </w:p>
    <w:p w14:paraId="54338703" w14:textId="7FA934B1" w:rsidR="00085CE7" w:rsidRPr="00C84093" w:rsidRDefault="00311BC2">
      <w:pPr>
        <w:spacing w:after="120"/>
        <w:jc w:val="both"/>
        <w:rPr>
          <w:lang w:val="it-IT"/>
        </w:rPr>
      </w:pPr>
      <w:r w:rsidRPr="00C84093">
        <w:rPr>
          <w:rFonts w:ascii="Calibri Light" w:eastAsia="Times New Roman" w:hAnsi="Calibri Light" w:cs="Calibri Light"/>
          <w:lang w:val="it-IT"/>
        </w:rPr>
        <w:t xml:space="preserve">BETTER FINANCE si congratula con la Commissione </w:t>
      </w:r>
      <w:r w:rsidR="0015713A" w:rsidRPr="00C84093">
        <w:rPr>
          <w:rFonts w:ascii="Calibri Light" w:eastAsia="Times New Roman" w:hAnsi="Calibri Light" w:cs="Calibri Light"/>
          <w:lang w:val="it-IT"/>
        </w:rPr>
        <w:t>e</w:t>
      </w:r>
      <w:r w:rsidRPr="00C84093">
        <w:rPr>
          <w:rFonts w:ascii="Calibri Light" w:eastAsia="Times New Roman" w:hAnsi="Calibri Light" w:cs="Calibri Light"/>
          <w:lang w:val="it-IT"/>
        </w:rPr>
        <w:t>uropea per aver prontamente richiesto un</w:t>
      </w:r>
      <w:r w:rsidRPr="00C84093">
        <w:rPr>
          <w:rFonts w:ascii="Calibri Light" w:hAnsi="Calibri Light" w:cs="Calibri Light"/>
          <w:lang w:val="it-IT"/>
        </w:rPr>
        <w:t xml:space="preserve">'analisi che </w:t>
      </w:r>
      <w:r w:rsidRPr="00C84093">
        <w:rPr>
          <w:rFonts w:ascii="Calibri Light" w:hAnsi="Calibri Light" w:cs="Calibri Light"/>
          <w:color w:val="0A0A0A"/>
          <w:lang w:val="it-IT"/>
        </w:rPr>
        <w:t>"</w:t>
      </w:r>
      <w:r w:rsidRPr="00C84093">
        <w:rPr>
          <w:rFonts w:ascii="Calibri Light" w:hAnsi="Calibri Light" w:cs="Calibri Light"/>
          <w:i/>
          <w:iCs/>
          <w:color w:val="0A0A0A"/>
          <w:lang w:val="it-IT"/>
        </w:rPr>
        <w:t>dovrebbe cercare di stabilire una descrizione e una valutazione complet</w:t>
      </w:r>
      <w:r w:rsidR="0015713A" w:rsidRPr="00C84093">
        <w:rPr>
          <w:rFonts w:ascii="Calibri Light" w:hAnsi="Calibri Light" w:cs="Calibri Light"/>
          <w:i/>
          <w:iCs/>
          <w:color w:val="0A0A0A"/>
          <w:lang w:val="it-IT"/>
        </w:rPr>
        <w:t>e</w:t>
      </w:r>
      <w:r w:rsidRPr="00C84093">
        <w:rPr>
          <w:rFonts w:ascii="Calibri Light" w:hAnsi="Calibri Light" w:cs="Calibri Light"/>
          <w:i/>
          <w:iCs/>
          <w:color w:val="0A0A0A"/>
          <w:lang w:val="it-IT"/>
        </w:rPr>
        <w:t xml:space="preserve"> degli eventi, compresa l'adeguatezza della risposta a questi eventi</w:t>
      </w:r>
      <w:r w:rsidR="0015713A" w:rsidRPr="00C84093">
        <w:rPr>
          <w:rFonts w:ascii="Calibri Light" w:hAnsi="Calibri Light" w:cs="Calibri Light"/>
          <w:i/>
          <w:iCs/>
          <w:color w:val="0A0A0A"/>
          <w:lang w:val="it-IT"/>
        </w:rPr>
        <w:t xml:space="preserve"> da parte delle autorità di vigilanza</w:t>
      </w:r>
      <w:r w:rsidRPr="00C84093">
        <w:rPr>
          <w:rFonts w:ascii="Calibri Light" w:hAnsi="Calibri Light" w:cs="Calibri Light"/>
          <w:i/>
          <w:iCs/>
          <w:color w:val="0A0A0A"/>
          <w:lang w:val="it-IT"/>
        </w:rPr>
        <w:t xml:space="preserve">", </w:t>
      </w:r>
      <w:r w:rsidRPr="00C84093">
        <w:rPr>
          <w:rFonts w:ascii="Calibri Light" w:hAnsi="Calibri Light" w:cs="Calibri Light"/>
          <w:color w:val="0A0A0A"/>
          <w:lang w:val="it-IT"/>
        </w:rPr>
        <w:t xml:space="preserve">e si augura di poter </w:t>
      </w:r>
      <w:r w:rsidR="0015713A" w:rsidRPr="00C84093">
        <w:rPr>
          <w:rFonts w:ascii="Calibri Light" w:hAnsi="Calibri Light" w:cs="Calibri Light"/>
          <w:color w:val="0A0A0A"/>
          <w:lang w:val="it-IT"/>
        </w:rPr>
        <w:t xml:space="preserve">ottenere </w:t>
      </w:r>
      <w:r w:rsidRPr="00C84093">
        <w:rPr>
          <w:rFonts w:ascii="Calibri Light" w:hAnsi="Calibri Light" w:cs="Calibri Light"/>
          <w:color w:val="0A0A0A"/>
          <w:lang w:val="it-IT"/>
        </w:rPr>
        <w:t xml:space="preserve">presto delle risposte. </w:t>
      </w:r>
    </w:p>
    <w:p w14:paraId="54338704" w14:textId="39D3882B" w:rsidR="00085CE7" w:rsidRPr="00C84093" w:rsidRDefault="00311BC2">
      <w:pPr>
        <w:shd w:val="clear" w:color="auto" w:fill="0070C0"/>
        <w:jc w:val="both"/>
        <w:rPr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noProof/>
          <w:color w:val="FFFFFF"/>
          <w:lang w:val="it-IT" w:eastAsia="it-IT"/>
        </w:rPr>
        <w:lastRenderedPageBreak/>
        <w:drawing>
          <wp:anchor distT="0" distB="0" distL="114300" distR="114300" simplePos="0" relativeHeight="251656704" behindDoc="0" locked="0" layoutInCell="1" allowOverlap="1" wp14:anchorId="543386F3" wp14:editId="543386F4">
            <wp:simplePos x="0" y="0"/>
            <wp:positionH relativeFrom="margin">
              <wp:align>left</wp:align>
            </wp:positionH>
            <wp:positionV relativeFrom="paragraph">
              <wp:posOffset>43177</wp:posOffset>
            </wp:positionV>
            <wp:extent cx="271147" cy="271147"/>
            <wp:effectExtent l="0" t="0" r="0" b="0"/>
            <wp:wrapThrough wrapText="bothSides">
              <wp:wrapPolygon edited="0">
                <wp:start x="3035" y="0"/>
                <wp:lineTo x="0" y="6070"/>
                <wp:lineTo x="0" y="12141"/>
                <wp:lineTo x="4553" y="19728"/>
                <wp:lineTo x="16693" y="19728"/>
                <wp:lineTo x="19728" y="12141"/>
                <wp:lineTo x="19728" y="6070"/>
                <wp:lineTo x="15176" y="0"/>
                <wp:lineTo x="3035" y="0"/>
              </wp:wrapPolygon>
            </wp:wrapThrough>
            <wp:docPr id="7" name="Graphic 4" descr="Bad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7" cy="2711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INSUFFICIENZA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DELLA REVISIONE ESTERNA: INDAGARE SUL</w:t>
      </w:r>
      <w:r w:rsidR="0015713A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LE CARENZE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DELLA SOCIETÀ DI REVISIONE E SULL'IMPATTO DELLE "RELAZIONI A LUNGO TERMINE" DELLE SOCIETÀ DI REVISIONE CON LE SOCIETÀ QUOTATE IN BORSA </w:t>
      </w:r>
    </w:p>
    <w:p w14:paraId="54338705" w14:textId="43FBA7B0" w:rsidR="00085CE7" w:rsidRPr="00C84093" w:rsidRDefault="00311BC2">
      <w:pPr>
        <w:spacing w:after="120"/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>L'Autorità europea degli strumenti finanziari e dei mercati (ESMA) dovrebbe coordinare un esercizio d</w:t>
      </w:r>
      <w:r w:rsidR="00C57502" w:rsidRPr="00C84093">
        <w:rPr>
          <w:rFonts w:ascii="Calibri Light" w:hAnsi="Calibri Light" w:cs="Calibri Light"/>
          <w:color w:val="000000"/>
          <w:lang w:val="it-IT"/>
        </w:rPr>
        <w:t>elle funzioni d</w:t>
      </w:r>
      <w:r w:rsidRPr="00C84093">
        <w:rPr>
          <w:rFonts w:ascii="Calibri Light" w:hAnsi="Calibri Light" w:cs="Calibri Light"/>
          <w:color w:val="000000"/>
          <w:lang w:val="it-IT"/>
        </w:rPr>
        <w:t>i vigilanza con le autorità nazionali (AN</w:t>
      </w:r>
      <w:r w:rsidR="00C57502" w:rsidRPr="00C84093">
        <w:rPr>
          <w:rFonts w:ascii="Calibri Light" w:hAnsi="Calibri Light" w:cs="Calibri Light"/>
          <w:color w:val="000000"/>
          <w:lang w:val="it-IT"/>
        </w:rPr>
        <w:t>V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) </w:t>
      </w:r>
      <w:r w:rsidR="00C57502" w:rsidRPr="00C84093">
        <w:rPr>
          <w:rFonts w:ascii="Calibri Light" w:hAnsi="Calibri Light" w:cs="Calibri Light"/>
          <w:color w:val="000000"/>
          <w:lang w:val="it-IT"/>
        </w:rPr>
        <w:t xml:space="preserve">in merito alle relazioni, </w:t>
      </w:r>
      <w:r w:rsidRPr="00C84093">
        <w:rPr>
          <w:rFonts w:ascii="Calibri Light" w:hAnsi="Calibri Light" w:cs="Calibri Light"/>
          <w:color w:val="000000"/>
          <w:lang w:val="it-IT"/>
        </w:rPr>
        <w:t>spesso troppo lung</w:t>
      </w:r>
      <w:r w:rsidR="00C57502" w:rsidRPr="00C84093">
        <w:rPr>
          <w:rFonts w:ascii="Calibri Light" w:hAnsi="Calibri Light" w:cs="Calibri Light"/>
          <w:color w:val="000000"/>
          <w:lang w:val="it-IT"/>
        </w:rPr>
        <w:t xml:space="preserve">he e </w:t>
      </w:r>
      <w:r w:rsidRPr="00C84093">
        <w:rPr>
          <w:rFonts w:ascii="Calibri Light" w:hAnsi="Calibri Light" w:cs="Calibri Light"/>
          <w:color w:val="000000"/>
          <w:lang w:val="it-IT"/>
        </w:rPr>
        <w:t>strett</w:t>
      </w:r>
      <w:r w:rsidR="00C57502" w:rsidRPr="00C84093">
        <w:rPr>
          <w:rFonts w:ascii="Calibri Light" w:hAnsi="Calibri Light" w:cs="Calibri Light"/>
          <w:color w:val="000000"/>
          <w:lang w:val="it-IT"/>
        </w:rPr>
        <w:t>e,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r w:rsidR="00C57502" w:rsidRPr="00C84093">
        <w:rPr>
          <w:rFonts w:ascii="Calibri Light" w:hAnsi="Calibri Light" w:cs="Calibri Light"/>
          <w:color w:val="000000"/>
          <w:lang w:val="it-IT"/>
        </w:rPr>
        <w:t xml:space="preserve">tra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le società di revisione </w:t>
      </w:r>
      <w:r w:rsidR="00C57502" w:rsidRPr="00C84093">
        <w:rPr>
          <w:rFonts w:ascii="Calibri Light" w:hAnsi="Calibri Light" w:cs="Calibri Light"/>
          <w:color w:val="000000"/>
          <w:lang w:val="it-IT"/>
        </w:rPr>
        <w:t>e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i loro "clienti", </w:t>
      </w:r>
      <w:r w:rsidR="00C57502" w:rsidRPr="00C84093">
        <w:rPr>
          <w:rFonts w:ascii="Calibri Light" w:hAnsi="Calibri Light" w:cs="Calibri Light"/>
          <w:color w:val="000000"/>
          <w:lang w:val="it-IT"/>
        </w:rPr>
        <w:t xml:space="preserve">vale a dire </w:t>
      </w:r>
      <w:r w:rsidRPr="00C84093">
        <w:rPr>
          <w:rFonts w:ascii="Calibri Light" w:hAnsi="Calibri Light" w:cs="Calibri Light"/>
          <w:color w:val="000000"/>
          <w:lang w:val="it-IT"/>
        </w:rPr>
        <w:t>le società quotate in bors</w:t>
      </w:r>
      <w:r w:rsidR="00C57502" w:rsidRPr="00C84093">
        <w:rPr>
          <w:rFonts w:ascii="Calibri Light" w:hAnsi="Calibri Light" w:cs="Calibri Light"/>
          <w:color w:val="000000"/>
          <w:lang w:val="it-IT"/>
        </w:rPr>
        <w:t xml:space="preserve">a che dovrebbero essere verificate con gli </w:t>
      </w:r>
      <w:r w:rsidRPr="00C84093">
        <w:rPr>
          <w:rFonts w:ascii="Calibri Light" w:hAnsi="Calibri Light" w:cs="Calibri Light"/>
          <w:color w:val="000000"/>
          <w:lang w:val="it-IT"/>
        </w:rPr>
        <w:t>audit finanziari.</w:t>
      </w:r>
    </w:p>
    <w:p w14:paraId="54338706" w14:textId="5FFC772E" w:rsidR="00085CE7" w:rsidRPr="00C84093" w:rsidRDefault="00311BC2">
      <w:pPr>
        <w:jc w:val="both"/>
        <w:rPr>
          <w:lang w:val="it-IT"/>
        </w:rPr>
      </w:pPr>
      <w:r w:rsidRPr="00C84093">
        <w:rPr>
          <w:rFonts w:ascii="Calibri Light" w:hAnsi="Calibri Light" w:cs="Calibri Light"/>
          <w:noProof/>
          <w:color w:val="0070C0"/>
          <w:lang w:val="it-IT" w:eastAsia="it-IT"/>
        </w:rPr>
        <w:drawing>
          <wp:anchor distT="0" distB="0" distL="114300" distR="114300" simplePos="0" relativeHeight="251657728" behindDoc="0" locked="0" layoutInCell="1" allowOverlap="1" wp14:anchorId="543386F5" wp14:editId="543386F6">
            <wp:simplePos x="0" y="0"/>
            <wp:positionH relativeFrom="margin">
              <wp:posOffset>0</wp:posOffset>
            </wp:positionH>
            <wp:positionV relativeFrom="paragraph">
              <wp:posOffset>617220</wp:posOffset>
            </wp:positionV>
            <wp:extent cx="271147" cy="271147"/>
            <wp:effectExtent l="0" t="0" r="0" b="0"/>
            <wp:wrapThrough wrapText="bothSides">
              <wp:wrapPolygon edited="0">
                <wp:start x="3035" y="0"/>
                <wp:lineTo x="0" y="6070"/>
                <wp:lineTo x="0" y="12141"/>
                <wp:lineTo x="4553" y="19728"/>
                <wp:lineTo x="16693" y="19728"/>
                <wp:lineTo x="19728" y="12141"/>
                <wp:lineTo x="19728" y="6070"/>
                <wp:lineTo x="15176" y="0"/>
                <wp:lineTo x="3035" y="0"/>
              </wp:wrapPolygon>
            </wp:wrapThrough>
            <wp:docPr id="8" name="Graphic 5" descr="Bad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7" cy="2711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4093">
        <w:rPr>
          <w:rFonts w:ascii="Calibri Light" w:hAnsi="Calibri Light" w:cs="Calibri Light"/>
          <w:color w:val="000000"/>
          <w:lang w:val="it-IT"/>
        </w:rPr>
        <w:t xml:space="preserve">Sebbene le informazioni disponibili non siano sufficienti per determinare una responsabilità del revisore </w:t>
      </w:r>
      <w:r w:rsidR="0022647C" w:rsidRPr="00C84093">
        <w:rPr>
          <w:rFonts w:ascii="Calibri Light" w:hAnsi="Calibri Light" w:cs="Calibri Light"/>
          <w:color w:val="000000"/>
          <w:lang w:val="it-IT"/>
        </w:rPr>
        <w:t xml:space="preserve">in carica da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12 anni, </w:t>
      </w:r>
      <w:r w:rsidR="0022647C" w:rsidRPr="00C84093">
        <w:rPr>
          <w:rFonts w:ascii="Calibri Light" w:hAnsi="Calibri Light" w:cs="Calibri Light"/>
          <w:color w:val="000000"/>
          <w:lang w:val="it-IT"/>
        </w:rPr>
        <w:t xml:space="preserve">BETTER FINANCE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ha evidenziato, </w:t>
      </w:r>
      <w:r w:rsidR="0022647C" w:rsidRPr="00C84093">
        <w:rPr>
          <w:rFonts w:ascii="Calibri Light" w:hAnsi="Calibri Light" w:cs="Calibri Light"/>
          <w:color w:val="000000"/>
          <w:lang w:val="it-IT"/>
        </w:rPr>
        <w:t xml:space="preserve">sin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dal 2012, la necessità di garantire che la revisione contabile, in particolare quella finanziaria, rimanga </w:t>
      </w:r>
      <w:r w:rsidR="0022647C" w:rsidRPr="00C84093">
        <w:rPr>
          <w:rFonts w:ascii="Calibri Light" w:hAnsi="Calibri Light" w:cs="Calibri Light"/>
          <w:color w:val="000000"/>
          <w:lang w:val="it-IT"/>
        </w:rPr>
        <w:t xml:space="preserve">veramente </w:t>
      </w:r>
      <w:r w:rsidRPr="00C84093">
        <w:rPr>
          <w:rFonts w:ascii="Calibri Light" w:hAnsi="Calibri Light" w:cs="Calibri Light"/>
          <w:color w:val="000000"/>
          <w:lang w:val="it-IT"/>
        </w:rPr>
        <w:t>imparziale e indipendente dalla società sottoposta a revisione.</w:t>
      </w:r>
    </w:p>
    <w:p w14:paraId="54338707" w14:textId="7EA42057" w:rsidR="00085CE7" w:rsidRPr="00C84093" w:rsidRDefault="0022647C">
      <w:pPr>
        <w:shd w:val="clear" w:color="auto" w:fill="0070C0"/>
        <w:ind w:left="709"/>
        <w:jc w:val="both"/>
        <w:rPr>
          <w:rFonts w:ascii="Calibri Light" w:hAnsi="Calibri Light" w:cs="Calibri Light"/>
          <w:b/>
          <w:bCs/>
          <w:i/>
          <w:iCs/>
          <w:color w:val="FFFFFF"/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INSUFFICIENZA </w:t>
      </w:r>
      <w:r w:rsidR="00311BC2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DELLA GOVERNANCE AZIENDALE: RI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ESAMINARE </w:t>
      </w:r>
      <w:r w:rsidR="00311BC2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LE REGOLE DI CORPORATE GOVERNANCE</w:t>
      </w:r>
    </w:p>
    <w:p w14:paraId="54338708" w14:textId="513DBE96" w:rsidR="00085CE7" w:rsidRPr="00C84093" w:rsidRDefault="003805B9">
      <w:pPr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Nonostante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ad oggi non sia stata dimostrata la responsabilità dei dirigenti di </w:t>
      </w:r>
      <w:proofErr w:type="spellStart"/>
      <w:r w:rsidR="00311BC2"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 AG, </w:t>
      </w:r>
      <w:r w:rsidRPr="00C84093">
        <w:rPr>
          <w:rFonts w:ascii="Calibri Light" w:hAnsi="Calibri Light" w:cs="Calibri Light"/>
          <w:color w:val="000000"/>
          <w:lang w:val="it-IT"/>
        </w:rPr>
        <w:t>e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 le informazioni disponibili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non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sono sufficienti per poterla ragionevolmente dedurre, il fatto che quasi un quarto del bilancio totale della società fosse presumibilmente detenuto in conti opachi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presso terzi </w:t>
      </w:r>
      <w:r w:rsidR="00311BC2" w:rsidRPr="00C84093">
        <w:rPr>
          <w:rFonts w:ascii="Calibri Light" w:hAnsi="Calibri Light" w:cs="Calibri Light"/>
          <w:color w:val="000000"/>
          <w:lang w:val="it-IT"/>
        </w:rPr>
        <w:t>nella regione Asia-Pacifico avrebbe dovuto suscitare sospetti almeno presso il Consiglio di amministrazione di tale società, in particolare in considerazione dei suoi compiti in materia di gestione del rischio.</w:t>
      </w:r>
    </w:p>
    <w:p w14:paraId="54338709" w14:textId="2941D257" w:rsidR="00085CE7" w:rsidRPr="00C84093" w:rsidRDefault="00311BC2">
      <w:pPr>
        <w:jc w:val="both"/>
        <w:rPr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noProof/>
          <w:color w:val="FFFFFF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543386F7" wp14:editId="543386F8">
            <wp:simplePos x="0" y="0"/>
            <wp:positionH relativeFrom="margin">
              <wp:posOffset>-5715</wp:posOffset>
            </wp:positionH>
            <wp:positionV relativeFrom="paragraph">
              <wp:posOffset>6986</wp:posOffset>
            </wp:positionV>
            <wp:extent cx="271147" cy="271147"/>
            <wp:effectExtent l="0" t="0" r="0" b="0"/>
            <wp:wrapThrough wrapText="bothSides">
              <wp:wrapPolygon edited="0">
                <wp:start x="3035" y="0"/>
                <wp:lineTo x="0" y="6070"/>
                <wp:lineTo x="0" y="12141"/>
                <wp:lineTo x="4553" y="19728"/>
                <wp:lineTo x="16693" y="19728"/>
                <wp:lineTo x="19728" y="12141"/>
                <wp:lineTo x="19728" y="6070"/>
                <wp:lineTo x="15176" y="0"/>
                <wp:lineTo x="3035" y="0"/>
              </wp:wrapPolygon>
            </wp:wrapThrough>
            <wp:docPr id="9" name="Graphic 6" descr="Bad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7" cy="2711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 xml:space="preserve">INDENNIZZO DELLE VITTIME: </w:t>
      </w:r>
      <w:r w:rsidR="002D6635"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 xml:space="preserve">FERMARE LE </w:t>
      </w:r>
      <w:r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>DISCRIMINA</w:t>
      </w:r>
      <w:r w:rsidR="002D6635"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>ZIONI CONTRO</w:t>
      </w:r>
      <w:r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 xml:space="preserve"> I SINGOLI INVESTITORI AZIONARI NEL</w:t>
      </w:r>
      <w:r w:rsidR="002D6635"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 xml:space="preserve"> PROGETTO DI NORME </w:t>
      </w:r>
      <w:r w:rsidRPr="00C84093">
        <w:rPr>
          <w:rFonts w:ascii="Calibri Light" w:eastAsia="Times New Roman" w:hAnsi="Calibri Light" w:cs="Calibri Light"/>
          <w:b/>
          <w:bCs/>
          <w:i/>
          <w:iCs/>
          <w:color w:val="FFFFFF"/>
          <w:shd w:val="clear" w:color="auto" w:fill="0070C0"/>
          <w:lang w:val="it-IT"/>
        </w:rPr>
        <w:t>DELL'UE SUI RICORSI COLLETTIVI</w:t>
      </w:r>
    </w:p>
    <w:p w14:paraId="5433870A" w14:textId="2997B1A4" w:rsidR="00085CE7" w:rsidRPr="00C84093" w:rsidRDefault="00311BC2">
      <w:pPr>
        <w:jc w:val="both"/>
        <w:rPr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noProof/>
          <w:color w:val="FFFFFF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543386F9" wp14:editId="543386FA">
            <wp:simplePos x="0" y="0"/>
            <wp:positionH relativeFrom="margin">
              <wp:posOffset>0</wp:posOffset>
            </wp:positionH>
            <wp:positionV relativeFrom="paragraph">
              <wp:posOffset>1508760</wp:posOffset>
            </wp:positionV>
            <wp:extent cx="295278" cy="295278"/>
            <wp:effectExtent l="0" t="0" r="9522" b="9522"/>
            <wp:wrapSquare wrapText="bothSides"/>
            <wp:docPr id="10" name="Graphic 9" descr="Bad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8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4093">
        <w:rPr>
          <w:rFonts w:ascii="Calibri Light" w:eastAsia="Times New Roman" w:hAnsi="Calibri Light" w:cs="Calibri Light"/>
          <w:lang w:val="it-IT"/>
        </w:rPr>
        <w:t>Tranne che nei Paesi Bassi, l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'Europa ha sempre mostrato una </w:t>
      </w:r>
      <w:r w:rsidRPr="00C84093">
        <w:rPr>
          <w:rFonts w:ascii="Calibri Light" w:eastAsia="Times New Roman" w:hAnsi="Calibri Light" w:cs="Calibri Light"/>
          <w:lang w:val="it-IT"/>
        </w:rPr>
        <w:t>benevola negligenza nei confronti delle vittime di tali abusi</w:t>
      </w:r>
      <w:r w:rsidR="00C84093">
        <w:rPr>
          <w:rFonts w:ascii="Calibri Light" w:eastAsia="Times New Roman" w:hAnsi="Calibri Light" w:cs="Calibri Light"/>
          <w:lang w:val="it-IT"/>
        </w:rPr>
        <w:t xml:space="preserve"> – </w:t>
      </w:r>
      <w:r w:rsidRPr="00C84093">
        <w:rPr>
          <w:rFonts w:ascii="Calibri Light" w:eastAsia="Times New Roman" w:hAnsi="Calibri Light" w:cs="Calibri Light"/>
          <w:lang w:val="it-IT"/>
        </w:rPr>
        <w:t>gli investitori e i risparmiatori pensionistici</w:t>
      </w:r>
      <w:r w:rsidR="00C84093">
        <w:rPr>
          <w:rFonts w:ascii="Calibri Light" w:eastAsia="Times New Roman" w:hAnsi="Calibri Light" w:cs="Calibri Light"/>
          <w:lang w:val="it-IT"/>
        </w:rPr>
        <w:t xml:space="preserve"> –</w:t>
      </w:r>
      <w:r w:rsidRPr="00C84093">
        <w:rPr>
          <w:rFonts w:ascii="Calibri Light" w:eastAsia="Times New Roman" w:hAnsi="Calibri Light" w:cs="Calibri Light"/>
          <w:lang w:val="it-IT"/>
        </w:rPr>
        <w:t xml:space="preserve"> </w:t>
      </w:r>
      <w:r w:rsidR="002D6635" w:rsidRPr="00C84093">
        <w:rPr>
          <w:rFonts w:ascii="Calibri Light" w:eastAsia="Times New Roman" w:hAnsi="Calibri Light" w:cs="Calibri Light"/>
          <w:lang w:val="it-IT"/>
        </w:rPr>
        <w:t>e allo stesso tempo si chied</w:t>
      </w:r>
      <w:r w:rsidR="00C84093">
        <w:rPr>
          <w:rFonts w:ascii="Calibri Light" w:eastAsia="Times New Roman" w:hAnsi="Calibri Light" w:cs="Calibri Light"/>
          <w:lang w:val="it-IT"/>
        </w:rPr>
        <w:t>e</w:t>
      </w:r>
      <w:r w:rsidR="002D6635" w:rsidRPr="00C84093">
        <w:rPr>
          <w:rFonts w:ascii="Calibri Light" w:eastAsia="Times New Roman" w:hAnsi="Calibri Light" w:cs="Calibri Light"/>
          <w:lang w:val="it-IT"/>
        </w:rPr>
        <w:t xml:space="preserve"> il perché della loro mancanza di fiducia nei </w:t>
      </w:r>
      <w:r w:rsidRPr="00C84093">
        <w:rPr>
          <w:rFonts w:ascii="Calibri Light" w:eastAsia="Times New Roman" w:hAnsi="Calibri Light" w:cs="Calibri Light"/>
          <w:lang w:val="it-IT"/>
        </w:rPr>
        <w:t xml:space="preserve">mercati finanziari.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L'attuale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proposta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di </w:t>
      </w:r>
      <w:r w:rsidRPr="00C84093">
        <w:rPr>
          <w:rFonts w:ascii="Calibri Light" w:hAnsi="Calibri Light" w:cs="Calibri Light"/>
          <w:lang w:val="it-IT"/>
        </w:rPr>
        <w:t>"</w:t>
      </w:r>
      <w:r w:rsidR="002D6635" w:rsidRPr="00C84093">
        <w:rPr>
          <w:rFonts w:ascii="Calibri Light" w:hAnsi="Calibri Light" w:cs="Calibri Light"/>
          <w:i/>
          <w:iCs/>
          <w:lang w:val="it-IT"/>
        </w:rPr>
        <w:t>d</w:t>
      </w:r>
      <w:r w:rsidRPr="00C84093">
        <w:rPr>
          <w:rFonts w:ascii="Calibri Light" w:hAnsi="Calibri Light" w:cs="Calibri Light"/>
          <w:i/>
          <w:iCs/>
          <w:lang w:val="it-IT"/>
        </w:rPr>
        <w:t xml:space="preserve">irettiva </w:t>
      </w:r>
      <w:r w:rsidR="002D6635" w:rsidRPr="00C84093">
        <w:rPr>
          <w:rFonts w:ascii="Calibri Light" w:hAnsi="Calibri Light" w:cs="Calibri Light"/>
          <w:i/>
          <w:iCs/>
          <w:lang w:val="it-IT"/>
        </w:rPr>
        <w:t>relativa a</w:t>
      </w:r>
      <w:r w:rsidRPr="00C84093">
        <w:rPr>
          <w:rFonts w:ascii="Calibri Light" w:hAnsi="Calibri Light" w:cs="Calibri Light"/>
          <w:i/>
          <w:iCs/>
          <w:lang w:val="it-IT"/>
        </w:rPr>
        <w:t xml:space="preserve">lle azioni rappresentative </w:t>
      </w:r>
      <w:r w:rsidR="002D6635" w:rsidRPr="00C84093">
        <w:rPr>
          <w:rFonts w:ascii="Calibri Light" w:hAnsi="Calibri Light" w:cs="Calibri Light"/>
          <w:i/>
          <w:iCs/>
          <w:lang w:val="it-IT"/>
        </w:rPr>
        <w:t>a</w:t>
      </w:r>
      <w:r w:rsidRPr="00C84093">
        <w:rPr>
          <w:rFonts w:ascii="Calibri Light" w:hAnsi="Calibri Light" w:cs="Calibri Light"/>
          <w:i/>
          <w:iCs/>
          <w:lang w:val="it-IT"/>
        </w:rPr>
        <w:t xml:space="preserve"> tutela degli interessi collettivi dei consumatori</w:t>
      </w:r>
      <w:r w:rsidRPr="00C84093">
        <w:rPr>
          <w:rFonts w:ascii="Calibri Light" w:hAnsi="Calibri Light" w:cs="Calibri Light"/>
          <w:lang w:val="it-IT"/>
        </w:rPr>
        <w:t xml:space="preserve">"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esclude </w:t>
      </w:r>
      <w:r w:rsidRPr="00C84093">
        <w:rPr>
          <w:rFonts w:ascii="Calibri Light" w:hAnsi="Calibri Light" w:cs="Calibri Light"/>
          <w:lang w:val="it-IT"/>
        </w:rPr>
        <w:t xml:space="preserve">ancora una volta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dal suo campo di applicazione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i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singoli </w:t>
      </w:r>
      <w:r w:rsidRPr="00C84093">
        <w:rPr>
          <w:rFonts w:ascii="Calibri Light" w:hAnsi="Calibri Light" w:cs="Calibri Light"/>
          <w:color w:val="000000"/>
          <w:lang w:val="it-IT"/>
        </w:rPr>
        <w:t>investitori non professionali in azioni, discriminandoli rispetto a coloro che investono in prodotti d</w:t>
      </w:r>
      <w:r w:rsidR="002D6635" w:rsidRPr="00C84093">
        <w:rPr>
          <w:rFonts w:ascii="Calibri Light" w:hAnsi="Calibri Light" w:cs="Calibri Light"/>
          <w:color w:val="000000"/>
          <w:lang w:val="it-IT"/>
        </w:rPr>
        <w:t>’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investimento </w:t>
      </w:r>
      <w:proofErr w:type="spellStart"/>
      <w:r w:rsidR="002D6635" w:rsidRPr="00C84093">
        <w:rPr>
          <w:rFonts w:ascii="Calibri Light" w:hAnsi="Calibri Light" w:cs="Calibri Light"/>
          <w:color w:val="000000"/>
          <w:lang w:val="it-IT"/>
        </w:rPr>
        <w:t>preassemblati</w:t>
      </w:r>
      <w:proofErr w:type="spellEnd"/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intermedi, come i fondi e le assicurazioni vita. Il Forum </w:t>
      </w:r>
      <w:r w:rsidR="002D6635" w:rsidRPr="00C84093">
        <w:rPr>
          <w:rFonts w:ascii="Calibri Light" w:hAnsi="Calibri Light" w:cs="Calibri Light"/>
          <w:color w:val="000000"/>
          <w:lang w:val="it-IT"/>
        </w:rPr>
        <w:t>ad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alto livello sull'Unione dei mercati dei capitali ha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di recente </w:t>
      </w:r>
      <w:r w:rsidRPr="00C84093">
        <w:rPr>
          <w:rFonts w:ascii="Calibri Light" w:hAnsi="Calibri Light" w:cs="Calibri Light"/>
          <w:color w:val="000000"/>
          <w:lang w:val="it-IT"/>
        </w:rPr>
        <w:t>raccomandato di includere nuovamente gli investitori azionari nel</w:t>
      </w:r>
      <w:r w:rsidR="002D6635" w:rsidRPr="00C84093">
        <w:rPr>
          <w:rFonts w:ascii="Calibri Light" w:hAnsi="Calibri Light" w:cs="Calibri Light"/>
          <w:color w:val="000000"/>
          <w:lang w:val="it-IT"/>
        </w:rPr>
        <w:t>l’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ambito di applicazione. Il caso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è un ulteriore e sufficiente promemoria del fatto che sarebbe </w:t>
      </w:r>
      <w:r w:rsidR="002D6635" w:rsidRPr="00C84093">
        <w:rPr>
          <w:rFonts w:ascii="Calibri Light" w:hAnsi="Calibri Light" w:cs="Calibri Light"/>
          <w:color w:val="000000"/>
          <w:lang w:val="it-IT"/>
        </w:rPr>
        <w:t xml:space="preserve">invece </w:t>
      </w:r>
      <w:r w:rsidRPr="00C84093">
        <w:rPr>
          <w:rFonts w:ascii="Calibri Light" w:hAnsi="Calibri Light" w:cs="Calibri Light"/>
          <w:color w:val="000000"/>
          <w:lang w:val="it-IT"/>
        </w:rPr>
        <w:t>opportuno che le autorità dell'UE seguissero il suo esempio?</w:t>
      </w:r>
    </w:p>
    <w:p w14:paraId="5433870B" w14:textId="66167677" w:rsidR="00085CE7" w:rsidRPr="00C84093" w:rsidRDefault="00311BC2">
      <w:pPr>
        <w:shd w:val="clear" w:color="auto" w:fill="0070C0"/>
        <w:jc w:val="both"/>
        <w:rPr>
          <w:rFonts w:ascii="Calibri Light" w:hAnsi="Calibri Light" w:cs="Calibri Light"/>
          <w:b/>
          <w:bCs/>
          <w:i/>
          <w:iCs/>
          <w:color w:val="FFFFFF"/>
          <w:lang w:val="it-IT"/>
        </w:rPr>
      </w:pP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GLI INDICI DI BORSA</w:t>
      </w:r>
      <w:r w:rsidR="002D6635"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 xml:space="preserve"> VALORI </w:t>
      </w:r>
      <w:r w:rsidRPr="00C84093">
        <w:rPr>
          <w:rFonts w:ascii="Calibri Light" w:hAnsi="Calibri Light" w:cs="Calibri Light"/>
          <w:b/>
          <w:bCs/>
          <w:i/>
          <w:iCs/>
          <w:color w:val="FFFFFF"/>
          <w:lang w:val="it-IT"/>
        </w:rPr>
        <w:t>DEVONO ESSERE PIÙ FLESSIBILI NELLA QUOTAZIONE E NELLA CANCELLAZIONE DALLA QUOTAZIONE</w:t>
      </w:r>
    </w:p>
    <w:p w14:paraId="5433870C" w14:textId="430F0399" w:rsidR="00085CE7" w:rsidRPr="00C84093" w:rsidRDefault="00311BC2">
      <w:pPr>
        <w:spacing w:after="120"/>
        <w:jc w:val="both"/>
        <w:rPr>
          <w:rFonts w:ascii="Calibri Light" w:hAnsi="Calibri Light" w:cs="Calibri Light"/>
          <w:color w:val="000000"/>
          <w:lang w:val="it-IT"/>
        </w:rPr>
      </w:pP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AG ha</w:t>
      </w:r>
      <w:r w:rsidR="00DD2994" w:rsidRPr="00C84093">
        <w:rPr>
          <w:rFonts w:ascii="Calibri Light" w:hAnsi="Calibri Light" w:cs="Calibri Light"/>
          <w:color w:val="000000"/>
          <w:lang w:val="it-IT"/>
        </w:rPr>
        <w:t xml:space="preserve"> rimosso </w:t>
      </w:r>
      <w:r w:rsidRPr="00C84093">
        <w:rPr>
          <w:rFonts w:ascii="Calibri Light" w:hAnsi="Calibri Light" w:cs="Calibri Light"/>
          <w:color w:val="000000"/>
          <w:lang w:val="it-IT"/>
        </w:rPr>
        <w:t>un'altra grande azienda dall'indice tedesco blue-chip (DAX 30) quando</w:t>
      </w:r>
      <w:r w:rsidR="00DD2994" w:rsidRPr="00C84093">
        <w:rPr>
          <w:rFonts w:ascii="Calibri Light" w:hAnsi="Calibri Light" w:cs="Calibri Light"/>
          <w:color w:val="000000"/>
          <w:lang w:val="it-IT"/>
        </w:rPr>
        <w:t>,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nel 2018</w:t>
      </w:r>
      <w:r w:rsidR="00DD2994" w:rsidRPr="00C84093">
        <w:rPr>
          <w:rFonts w:ascii="Calibri Light" w:hAnsi="Calibri Light" w:cs="Calibri Light"/>
          <w:color w:val="000000"/>
          <w:lang w:val="it-IT"/>
        </w:rPr>
        <w:t>,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ha raggiunto una capitalizzazione di mercato </w:t>
      </w:r>
      <w:r w:rsidR="00DD2994" w:rsidRPr="00C84093">
        <w:rPr>
          <w:rFonts w:ascii="Calibri Light" w:hAnsi="Calibri Light" w:cs="Calibri Light"/>
          <w:color w:val="000000"/>
          <w:lang w:val="it-IT"/>
        </w:rPr>
        <w:t xml:space="preserve">pari a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22,5 miliardi di euro. Oggi, tuttavia, </w:t>
      </w:r>
      <w:proofErr w:type="spellStart"/>
      <w:r w:rsidRPr="00C84093">
        <w:rPr>
          <w:rFonts w:ascii="Calibri Light" w:hAnsi="Calibri Light" w:cs="Calibri Light"/>
          <w:color w:val="000000"/>
          <w:lang w:val="it-IT"/>
        </w:rPr>
        <w:t>Wirecard</w:t>
      </w:r>
      <w:proofErr w:type="spellEnd"/>
      <w:r w:rsidRPr="00C84093">
        <w:rPr>
          <w:rFonts w:ascii="Calibri Light" w:hAnsi="Calibri Light" w:cs="Calibri Light"/>
          <w:color w:val="000000"/>
          <w:lang w:val="it-IT"/>
        </w:rPr>
        <w:t xml:space="preserve"> AG continua a far parte di tale indice, almeno fino alla revisione di settembre 2020.</w:t>
      </w:r>
    </w:p>
    <w:p w14:paraId="5433870D" w14:textId="57886365" w:rsidR="00085CE7" w:rsidRPr="00C84093" w:rsidRDefault="00311BC2">
      <w:pPr>
        <w:spacing w:after="120"/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Ciò è di grande importanza per </w:t>
      </w:r>
      <w:r w:rsidR="00A35F26">
        <w:rPr>
          <w:rFonts w:ascii="Calibri Light" w:hAnsi="Calibri Light" w:cs="Calibri Light"/>
          <w:color w:val="000000"/>
          <w:lang w:val="it-IT"/>
        </w:rPr>
        <w:t>i</w:t>
      </w:r>
      <w:r w:rsidR="00DD2994" w:rsidRPr="00C84093">
        <w:rPr>
          <w:rFonts w:ascii="Calibri Light" w:hAnsi="Calibri Light" w:cs="Calibri Light"/>
          <w:color w:val="000000"/>
          <w:lang w:val="it-IT"/>
        </w:rPr>
        <w:t xml:space="preserve"> singoli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investitori non professionali, in quanto molti prodotti finanziari "al dettaglio", come gli OICVM, gli ETF OICVM, i fondi pensione o </w:t>
      </w:r>
      <w:r w:rsidR="00DD2994" w:rsidRPr="00C84093">
        <w:rPr>
          <w:rFonts w:ascii="Calibri Light" w:hAnsi="Calibri Light" w:cs="Calibri Light"/>
          <w:color w:val="000000"/>
          <w:lang w:val="it-IT"/>
        </w:rPr>
        <w:t>le assicurazioni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vita multi-opzione (IBIP), tracciano e mirano a replicare le componenti degli indici blue chip, lasciandole per il momento con perdite considerevoli.</w:t>
      </w:r>
    </w:p>
    <w:p w14:paraId="5433870E" w14:textId="65AF4541" w:rsidR="00085CE7" w:rsidRPr="00C84093" w:rsidRDefault="00DD2994">
      <w:pPr>
        <w:jc w:val="both"/>
        <w:rPr>
          <w:rFonts w:ascii="Calibri Light" w:hAnsi="Calibri Light" w:cs="Calibri Light"/>
          <w:color w:val="000000"/>
          <w:lang w:val="it-IT"/>
        </w:rPr>
      </w:pPr>
      <w:r w:rsidRPr="00C84093">
        <w:rPr>
          <w:rFonts w:ascii="Calibri Light" w:hAnsi="Calibri Light" w:cs="Calibri Light"/>
          <w:color w:val="000000"/>
          <w:lang w:val="it-IT"/>
        </w:rPr>
        <w:t xml:space="preserve">Anche se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non tutti i gruppi di borsa valori 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hanno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le stesse regole, la </w:t>
      </w:r>
      <w:r w:rsidRPr="00C84093">
        <w:rPr>
          <w:rFonts w:ascii="Calibri Light" w:hAnsi="Calibri Light" w:cs="Calibri Light"/>
          <w:color w:val="000000"/>
          <w:lang w:val="it-IT"/>
        </w:rPr>
        <w:t>normativ</w:t>
      </w:r>
      <w:r w:rsidR="00A35F26">
        <w:rPr>
          <w:rFonts w:ascii="Calibri Light" w:hAnsi="Calibri Light" w:cs="Calibri Light"/>
          <w:color w:val="000000"/>
          <w:lang w:val="it-IT"/>
        </w:rPr>
        <w:t>a</w:t>
      </w:r>
      <w:r w:rsidRPr="00C84093">
        <w:rPr>
          <w:rFonts w:ascii="Calibri Light" w:hAnsi="Calibri Light" w:cs="Calibri Light"/>
          <w:color w:val="000000"/>
          <w:lang w:val="it-IT"/>
        </w:rPr>
        <w:t xml:space="preserve"> </w:t>
      </w:r>
      <w:r w:rsidR="00311BC2" w:rsidRPr="00C84093">
        <w:rPr>
          <w:rFonts w:ascii="Calibri Light" w:hAnsi="Calibri Light" w:cs="Calibri Light"/>
          <w:color w:val="000000"/>
          <w:lang w:val="it-IT"/>
        </w:rPr>
        <w:t xml:space="preserve">finanziaria dell'UE dovrebbe armonizzare l'obbligo per gli operatori dei sistemi di negoziazione di consentire l'immediata </w:t>
      </w:r>
      <w:r w:rsidR="00311BC2" w:rsidRPr="00C84093">
        <w:rPr>
          <w:rFonts w:ascii="Calibri Light" w:hAnsi="Calibri Light" w:cs="Calibri Light"/>
          <w:color w:val="000000"/>
          <w:lang w:val="it-IT"/>
        </w:rPr>
        <w:lastRenderedPageBreak/>
        <w:t>esclusione delle società nei casi in cui, per una serie di ragioni diverse, si verifichi un calo significativo del prezzo delle azioni.</w:t>
      </w:r>
    </w:p>
    <w:p w14:paraId="5433870F" w14:textId="77777777" w:rsidR="00085CE7" w:rsidRPr="00C84093" w:rsidRDefault="00085CE7">
      <w:pPr>
        <w:jc w:val="both"/>
        <w:rPr>
          <w:rFonts w:ascii="Calibri Light" w:hAnsi="Calibri Light" w:cs="Calibri Light"/>
          <w:color w:val="000000"/>
          <w:lang w:val="it-IT"/>
        </w:rPr>
      </w:pPr>
    </w:p>
    <w:p w14:paraId="54338710" w14:textId="7A6BCC32" w:rsidR="00085CE7" w:rsidRPr="00C84093" w:rsidRDefault="00A35F26">
      <w:pPr>
        <w:jc w:val="both"/>
        <w:rPr>
          <w:lang w:val="it-IT"/>
        </w:rPr>
      </w:pPr>
      <w:r>
        <w:rPr>
          <w:rFonts w:ascii="Calibri Light" w:hAnsi="Calibri Light" w:cs="Calibri Light"/>
          <w:color w:val="000000"/>
          <w:lang w:val="it-IT"/>
        </w:rPr>
        <w:t xml:space="preserve">Guillaume </w:t>
      </w:r>
      <w:proofErr w:type="spellStart"/>
      <w:r>
        <w:rPr>
          <w:rFonts w:ascii="Calibri Light" w:hAnsi="Calibri Light" w:cs="Calibri Light"/>
          <w:color w:val="000000"/>
          <w:lang w:val="it-IT"/>
        </w:rPr>
        <w:t>Prache</w:t>
      </w:r>
      <w:proofErr w:type="spellEnd"/>
      <w:r>
        <w:rPr>
          <w:rFonts w:ascii="Calibri Light" w:hAnsi="Calibri Light" w:cs="Calibri Light"/>
          <w:color w:val="000000"/>
          <w:lang w:val="it-IT"/>
        </w:rPr>
        <w:t>, a</w:t>
      </w:r>
      <w:r w:rsidR="00311BC2" w:rsidRPr="00C84093">
        <w:rPr>
          <w:rFonts w:ascii="Calibri Light" w:hAnsi="Calibri Light" w:cs="Calibri Light"/>
          <w:color w:val="000000"/>
          <w:lang w:val="it-IT"/>
        </w:rPr>
        <w:t>mministratore delegato di BETTER FINANCE ha avvertito che "</w:t>
      </w:r>
      <w:proofErr w:type="spellStart"/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>Wirecard</w:t>
      </w:r>
      <w:proofErr w:type="spellEnd"/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 è un terribile caso di 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carenze e insufficienze 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>accumulat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>e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 da </w:t>
      </w:r>
      <w:r>
        <w:rPr>
          <w:rFonts w:ascii="Calibri Light" w:hAnsi="Calibri Light" w:cs="Calibri Light"/>
          <w:i/>
          <w:iCs/>
          <w:color w:val="000000"/>
          <w:lang w:val="it-IT"/>
        </w:rPr>
        <w:t>autorità di vigilanza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, revisori dei conti e organi di governo 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della 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>societ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>à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, che 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>comporta danni enormi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 per gli investitori 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e </w:t>
      </w:r>
      <w:r>
        <w:rPr>
          <w:rFonts w:ascii="Calibri Light" w:hAnsi="Calibri Light" w:cs="Calibri Light"/>
          <w:i/>
          <w:iCs/>
          <w:color w:val="000000"/>
          <w:lang w:val="it-IT"/>
        </w:rPr>
        <w:t>i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 risparmiatori pensionistici 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non addetti ai lavori. I responsabili politici dell'UE devono trarre le dovute lezioni e agire rapidamente. 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In caso contrario, i 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>loro obiettivi dichiarati di raggiungere un'Unione dei mercati dei capitali "</w:t>
      </w:r>
      <w:r w:rsidR="00DD2994" w:rsidRPr="00C84093">
        <w:rPr>
          <w:rFonts w:ascii="Calibri Light" w:hAnsi="Calibri Light" w:cs="Calibri Light"/>
          <w:i/>
          <w:iCs/>
          <w:color w:val="000000"/>
          <w:lang w:val="it-IT"/>
        </w:rPr>
        <w:t>al servizio del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>l</w:t>
      </w:r>
      <w:r>
        <w:rPr>
          <w:rFonts w:ascii="Calibri Light" w:hAnsi="Calibri Light" w:cs="Calibri Light"/>
          <w:i/>
          <w:iCs/>
          <w:color w:val="000000"/>
          <w:lang w:val="it-IT"/>
        </w:rPr>
        <w:t>e persone"</w:t>
      </w:r>
      <w:r w:rsidR="00311BC2" w:rsidRPr="00C84093">
        <w:rPr>
          <w:rFonts w:ascii="Calibri Light" w:hAnsi="Calibri Light" w:cs="Calibri Light"/>
          <w:i/>
          <w:iCs/>
          <w:color w:val="000000"/>
          <w:lang w:val="it-IT"/>
        </w:rPr>
        <w:t xml:space="preserve"> e di ripristinare la fiducia degli investitori rimarranno un pio desiderio</w:t>
      </w:r>
      <w:r w:rsidR="00311BC2" w:rsidRPr="00C84093">
        <w:rPr>
          <w:rFonts w:ascii="Calibri Light" w:hAnsi="Calibri Light" w:cs="Calibri Light"/>
          <w:color w:val="000000"/>
          <w:lang w:val="it-IT"/>
        </w:rPr>
        <w:t>".</w:t>
      </w:r>
    </w:p>
    <w:p w14:paraId="54338711" w14:textId="77777777" w:rsidR="00085CE7" w:rsidRPr="00C84093" w:rsidRDefault="00085CE7">
      <w:pPr>
        <w:jc w:val="both"/>
        <w:rPr>
          <w:rFonts w:ascii="Calibri Light" w:hAnsi="Calibri Light" w:cs="Calibri Light"/>
          <w:color w:val="000000"/>
          <w:lang w:val="it-IT"/>
        </w:rPr>
      </w:pPr>
    </w:p>
    <w:p w14:paraId="54338712" w14:textId="77777777" w:rsidR="00085CE7" w:rsidRPr="00C84093" w:rsidRDefault="00311BC2">
      <w:pPr>
        <w:spacing w:after="0" w:line="240" w:lineRule="auto"/>
        <w:jc w:val="center"/>
        <w:rPr>
          <w:rFonts w:ascii="Calibri Light" w:hAnsi="Calibri Light" w:cs="Calibri Light"/>
          <w:lang w:val="it-IT"/>
        </w:rPr>
      </w:pPr>
      <w:r w:rsidRPr="00C84093">
        <w:rPr>
          <w:rFonts w:ascii="Calibri Light" w:hAnsi="Calibri Light" w:cs="Calibri Light"/>
          <w:lang w:val="it-IT"/>
        </w:rPr>
        <w:t>***</w:t>
      </w:r>
    </w:p>
    <w:p w14:paraId="54338713" w14:textId="77777777" w:rsidR="00085CE7" w:rsidRPr="00C84093" w:rsidRDefault="00311BC2">
      <w:pPr>
        <w:pStyle w:val="Corpotesto"/>
        <w:spacing w:before="120" w:after="0" w:line="240" w:lineRule="auto"/>
        <w:jc w:val="center"/>
        <w:rPr>
          <w:lang w:val="it-IT"/>
        </w:rPr>
      </w:pPr>
      <w:r w:rsidRPr="00C84093">
        <w:rPr>
          <w:rFonts w:ascii="Calibri Light" w:hAnsi="Calibri Light" w:cs="Calibri Light"/>
          <w:sz w:val="20"/>
          <w:u w:val="single"/>
          <w:lang w:val="it-IT"/>
        </w:rPr>
        <w:t>Contatto</w:t>
      </w:r>
      <w:r w:rsidRPr="00C84093">
        <w:rPr>
          <w:rFonts w:ascii="Calibri Light" w:hAnsi="Calibri Light" w:cs="Calibri Light"/>
          <w:sz w:val="20"/>
          <w:lang w:val="it-IT"/>
        </w:rPr>
        <w:t xml:space="preserve">: Direttore delle comunicazioni ǀ </w:t>
      </w:r>
      <w:proofErr w:type="spellStart"/>
      <w:r w:rsidRPr="00C84093">
        <w:rPr>
          <w:rFonts w:ascii="Calibri Light" w:hAnsi="Calibri Light" w:cs="Calibri Light"/>
          <w:sz w:val="20"/>
          <w:lang w:val="it-IT"/>
        </w:rPr>
        <w:t>Arnaud</w:t>
      </w:r>
      <w:proofErr w:type="spellEnd"/>
      <w:r w:rsidRPr="00C84093">
        <w:rPr>
          <w:rFonts w:ascii="Calibri Light" w:hAnsi="Calibri Light" w:cs="Calibri Light"/>
          <w:sz w:val="20"/>
          <w:lang w:val="it-IT"/>
        </w:rPr>
        <w:t xml:space="preserve"> </w:t>
      </w:r>
      <w:proofErr w:type="spellStart"/>
      <w:r w:rsidRPr="00C84093">
        <w:rPr>
          <w:rFonts w:ascii="Calibri Light" w:hAnsi="Calibri Light" w:cs="Calibri Light"/>
          <w:sz w:val="20"/>
          <w:lang w:val="it-IT"/>
        </w:rPr>
        <w:t>Houdmont</w:t>
      </w:r>
      <w:proofErr w:type="spellEnd"/>
      <w:r w:rsidRPr="00C84093">
        <w:rPr>
          <w:rFonts w:ascii="Calibri Light" w:hAnsi="Calibri Light" w:cs="Calibri Light"/>
          <w:sz w:val="20"/>
          <w:lang w:val="it-IT"/>
        </w:rPr>
        <w:t xml:space="preserve"> ǀ +32 (0)2 514 37 77 ǀ </w:t>
      </w:r>
      <w:hyperlink r:id="rId44" w:history="1">
        <w:r w:rsidRPr="00C84093">
          <w:rPr>
            <w:rStyle w:val="Collegamentoipertestuale"/>
            <w:rFonts w:ascii="Calibri Light" w:hAnsi="Calibri Light" w:cs="Calibri Light"/>
            <w:sz w:val="20"/>
            <w:lang w:val="it-IT"/>
          </w:rPr>
          <w:t>houdmont@betterfinance.eu</w:t>
        </w:r>
      </w:hyperlink>
    </w:p>
    <w:p w14:paraId="54338714" w14:textId="77777777" w:rsidR="00085CE7" w:rsidRPr="00C84093" w:rsidRDefault="00085CE7">
      <w:pPr>
        <w:jc w:val="both"/>
        <w:rPr>
          <w:rFonts w:ascii="Calibri Light" w:hAnsi="Calibri Light" w:cs="Calibri Light"/>
          <w:color w:val="000000"/>
          <w:lang w:val="it-IT"/>
        </w:rPr>
      </w:pPr>
      <w:bookmarkStart w:id="0" w:name="_GoBack"/>
      <w:bookmarkEnd w:id="0"/>
    </w:p>
    <w:sectPr w:rsidR="00085CE7" w:rsidRPr="00C8409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54E99" w14:textId="77777777" w:rsidR="00FE197B" w:rsidRDefault="00FE197B">
      <w:pPr>
        <w:spacing w:after="0" w:line="240" w:lineRule="auto"/>
      </w:pPr>
      <w:r>
        <w:separator/>
      </w:r>
    </w:p>
  </w:endnote>
  <w:endnote w:type="continuationSeparator" w:id="0">
    <w:p w14:paraId="0D40498A" w14:textId="77777777" w:rsidR="00FE197B" w:rsidRDefault="00FE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8707" w14:textId="77777777" w:rsidR="00396AEB" w:rsidRDefault="00311BC2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en-US"/>
      </w:rPr>
    </w:pPr>
    <w:r>
      <w:rPr>
        <w:b/>
        <w:color w:val="006FB4"/>
        <w:sz w:val="16"/>
        <w:szCs w:val="16"/>
        <w:lang w:val="en-US"/>
      </w:rPr>
      <w:t xml:space="preserve">La </w:t>
    </w:r>
    <w:proofErr w:type="spellStart"/>
    <w:r>
      <w:rPr>
        <w:b/>
        <w:color w:val="006FB4"/>
        <w:sz w:val="16"/>
        <w:szCs w:val="16"/>
        <w:lang w:val="en-US"/>
      </w:rPr>
      <w:t>Federazione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europea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investitori</w:t>
    </w:r>
    <w:proofErr w:type="spellEnd"/>
    <w:r>
      <w:rPr>
        <w:b/>
        <w:color w:val="006FB4"/>
        <w:sz w:val="16"/>
        <w:szCs w:val="16"/>
        <w:lang w:val="en-US"/>
      </w:rPr>
      <w:t xml:space="preserve"> e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utenti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servizi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finanziari</w:t>
    </w:r>
    <w:proofErr w:type="spellEnd"/>
  </w:p>
  <w:p w14:paraId="54338708" w14:textId="77777777" w:rsidR="00396AEB" w:rsidRDefault="00311BC2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 xml:space="preserve">44, Rue </w:t>
    </w:r>
    <w:proofErr w:type="spellStart"/>
    <w:r>
      <w:rPr>
        <w:color w:val="006FB4"/>
        <w:sz w:val="16"/>
        <w:szCs w:val="16"/>
        <w:lang w:val="de-DE"/>
      </w:rPr>
      <w:t>d'Arenberg</w:t>
    </w:r>
    <w:proofErr w:type="spellEnd"/>
    <w:r>
      <w:rPr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color w:val="006FB4"/>
        <w:sz w:val="16"/>
        <w:szCs w:val="16"/>
        <w:lang w:val="de-DE"/>
      </w:rPr>
      <w:t>Belgio</w:t>
    </w:r>
    <w:proofErr w:type="spellEnd"/>
  </w:p>
  <w:p w14:paraId="54338709" w14:textId="77777777" w:rsidR="00396AEB" w:rsidRDefault="00311BC2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5433870A" w14:textId="77777777" w:rsidR="00396AEB" w:rsidRDefault="00311BC2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E-mail: info@betterfinance.eu - </w:t>
    </w:r>
    <w:bookmarkStart w:id="1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4086" w14:textId="77777777" w:rsidR="00FE197B" w:rsidRDefault="00FE19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F7C8DF" w14:textId="77777777" w:rsidR="00FE197B" w:rsidRDefault="00FE197B">
      <w:pPr>
        <w:spacing w:after="0" w:line="240" w:lineRule="auto"/>
      </w:pPr>
      <w:r>
        <w:continuationSeparator/>
      </w:r>
    </w:p>
  </w:footnote>
  <w:footnote w:id="1">
    <w:p w14:paraId="543386FD" w14:textId="43C4ECAE" w:rsidR="00085CE7" w:rsidRPr="00C9031C" w:rsidRDefault="00311BC2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hyperlink r:id="rId1" w:history="1">
        <w:r w:rsidRPr="00C9031C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 xml:space="preserve"> </w:t>
        </w:r>
      </w:hyperlink>
      <w:r w:rsidR="00C9031C">
        <w:rPr>
          <w:rFonts w:ascii="Calibri Light" w:hAnsi="Calibri Light" w:cs="Calibri Light"/>
          <w:sz w:val="16"/>
          <w:szCs w:val="16"/>
          <w:lang w:val="it-IT"/>
        </w:rPr>
        <w:t>Cfr.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l'articolo d</w:t>
      </w:r>
      <w:r w:rsidR="00C9031C">
        <w:rPr>
          <w:rFonts w:ascii="Calibri Light" w:hAnsi="Calibri Light" w:cs="Calibri Light"/>
          <w:sz w:val="16"/>
          <w:szCs w:val="16"/>
          <w:lang w:val="it-IT"/>
        </w:rPr>
        <w:t>el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FT: </w:t>
      </w:r>
      <w:hyperlink r:id="rId2" w:history="1">
        <w:r w:rsidR="00C9031C" w:rsidRPr="00577731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https://ftalphaville.ft.com/2015/11/20/2145256/jcap-on-wirecard-a-search-for-the-asian-business/</w:t>
        </w:r>
      </w:hyperlink>
      <w:r w:rsidR="00C9031C">
        <w:rPr>
          <w:rFonts w:ascii="Calibri Light" w:hAnsi="Calibri Light" w:cs="Calibri Light"/>
          <w:sz w:val="16"/>
          <w:szCs w:val="16"/>
          <w:lang w:val="it-IT"/>
        </w:rPr>
        <w:t xml:space="preserve"> (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da Dan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McCrum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>, '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JCap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r w:rsidR="00C9031C">
        <w:rPr>
          <w:rFonts w:ascii="Calibri Light" w:hAnsi="Calibri Light" w:cs="Calibri Light"/>
          <w:sz w:val="16"/>
          <w:szCs w:val="16"/>
          <w:lang w:val="it-IT"/>
        </w:rPr>
        <w:t>on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Wirecard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: A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Search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for the Asian Business' 20/11/2015).</w:t>
      </w:r>
    </w:p>
  </w:footnote>
  <w:footnote w:id="2">
    <w:p w14:paraId="543386FE" w14:textId="0BCA7E06" w:rsidR="00085CE7" w:rsidRPr="00C9031C" w:rsidRDefault="00311BC2">
      <w:pPr>
        <w:shd w:val="clear" w:color="auto" w:fill="FFFFFF"/>
        <w:spacing w:after="0"/>
        <w:rPr>
          <w:lang w:val="it-IT"/>
        </w:rPr>
      </w:pPr>
      <w:r w:rsidRPr="00C9031C">
        <w:rPr>
          <w:rStyle w:val="Rimandonotaapidipagina"/>
          <w:lang w:val="it-IT"/>
        </w:rPr>
        <w:footnoteRef/>
      </w:r>
      <w:hyperlink r:id="rId3" w:history="1">
        <w:r w:rsidRPr="00C9031C">
          <w:rPr>
            <w:rStyle w:val="Collegamentoipertestuale"/>
            <w:rFonts w:ascii="Calibri Light" w:hAnsi="Calibri Light" w:cs="Calibri Light"/>
            <w:color w:val="0070C0"/>
            <w:sz w:val="16"/>
            <w:szCs w:val="16"/>
            <w:lang w:val="it-IT"/>
          </w:rPr>
          <w:t xml:space="preserve"> </w:t>
        </w:r>
      </w:hyperlink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Cfr. l'articolo d</w:t>
      </w:r>
      <w:r w:rsid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ella</w:t>
      </w:r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REUTERS: </w:t>
      </w:r>
      <w:hyperlink r:id="rId4" w:history="1">
        <w:r w:rsidRPr="00C9031C">
          <w:rPr>
            <w:rStyle w:val="Collegamentoipertestuale"/>
            <w:rFonts w:ascii="Calibri Light" w:hAnsi="Calibri Light" w:cs="Calibri Light"/>
            <w:color w:val="0070C0"/>
            <w:sz w:val="16"/>
            <w:szCs w:val="16"/>
            <w:lang w:val="it-IT"/>
          </w:rPr>
          <w:t>https://uk.reuters.com/article/uk-wirecard-report/head-of-germanys-wirecard-rejects-fraud-allegations-by-short-seller-idUKKCN0WH1I4</w:t>
        </w:r>
      </w:hyperlink>
      <w:r w:rsid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(</w:t>
      </w:r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E.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Auchard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, J.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Poltz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, A.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Pal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, 'Head of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Germany's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Wirecard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Rejects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Fraud</w:t>
      </w:r>
      <w:proofErr w:type="spellEnd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A</w:t>
      </w:r>
      <w:r w:rsid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>llegations</w:t>
      </w:r>
      <w:proofErr w:type="spellEnd"/>
      <w:r w:rsid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 by </w:t>
      </w:r>
      <w:r w:rsidRPr="00C9031C">
        <w:rPr>
          <w:rFonts w:ascii="Calibri Light" w:hAnsi="Calibri Light" w:cs="Calibri Light"/>
          <w:color w:val="000000"/>
          <w:sz w:val="16"/>
          <w:szCs w:val="16"/>
          <w:lang w:val="it-IT"/>
        </w:rPr>
        <w:t xml:space="preserve">Short-Seller' 15/03/2016). </w:t>
      </w:r>
    </w:p>
  </w:footnote>
  <w:footnote w:id="3">
    <w:p w14:paraId="543386FF" w14:textId="1651CCE9" w:rsidR="00085CE7" w:rsidRPr="00C9031C" w:rsidRDefault="00311BC2">
      <w:pPr>
        <w:pStyle w:val="Testonotaapidipagina"/>
        <w:jc w:val="both"/>
        <w:rPr>
          <w:lang w:val="it-IT"/>
        </w:rPr>
      </w:pPr>
      <w:r w:rsidRPr="00C9031C">
        <w:rPr>
          <w:rStyle w:val="Rimandonotaapidipagina"/>
          <w:lang w:val="it-IT"/>
        </w:rPr>
        <w:footnoteRef/>
      </w:r>
      <w:hyperlink r:id="rId5" w:history="1">
        <w:r w:rsidRPr="00C9031C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 xml:space="preserve"> </w:t>
        </w:r>
      </w:hyperlink>
      <w:r w:rsidRPr="00C9031C">
        <w:rPr>
          <w:rFonts w:ascii="Calibri Light" w:hAnsi="Calibri Light" w:cs="Calibri Light"/>
          <w:sz w:val="16"/>
          <w:szCs w:val="16"/>
          <w:lang w:val="it-IT"/>
        </w:rPr>
        <w:t>Cfr. l'articolo d</w:t>
      </w:r>
      <w:r w:rsidR="00C9031C">
        <w:rPr>
          <w:rFonts w:ascii="Calibri Light" w:hAnsi="Calibri Light" w:cs="Calibri Light"/>
          <w:sz w:val="16"/>
          <w:szCs w:val="16"/>
          <w:lang w:val="it-IT"/>
        </w:rPr>
        <w:t>el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FT: </w:t>
      </w:r>
      <w:hyperlink r:id="rId6" w:history="1">
        <w:r w:rsidRPr="00C9031C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https://www.ft.com/content/79bd8da2-2830-11e9-a5ab-ff8ef2b976c7</w:t>
        </w:r>
      </w:hyperlink>
      <w:r w:rsidR="00C9031C">
        <w:rPr>
          <w:rFonts w:ascii="Calibri Light" w:hAnsi="Calibri Light" w:cs="Calibri Light"/>
          <w:sz w:val="16"/>
          <w:szCs w:val="16"/>
          <w:lang w:val="it-IT"/>
        </w:rPr>
        <w:t xml:space="preserve"> (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Olaf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Storbeck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,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Stephania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Palma, "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Wirecard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Discloses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Investigation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into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Accounting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A</w:t>
      </w:r>
      <w:r w:rsidR="00C9031C">
        <w:rPr>
          <w:rFonts w:ascii="Calibri Light" w:hAnsi="Calibri Light" w:cs="Calibri Light"/>
          <w:sz w:val="16"/>
          <w:szCs w:val="16"/>
          <w:lang w:val="it-IT"/>
        </w:rPr>
        <w:t>llegations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>" 04/02/2019).</w:t>
      </w:r>
    </w:p>
  </w:footnote>
  <w:footnote w:id="4">
    <w:p w14:paraId="54338700" w14:textId="7A57B63C" w:rsidR="00085CE7" w:rsidRPr="00C9031C" w:rsidRDefault="00311BC2">
      <w:pPr>
        <w:pStyle w:val="Testonotaapidipagina"/>
        <w:jc w:val="both"/>
        <w:rPr>
          <w:lang w:val="it-IT"/>
        </w:rPr>
      </w:pPr>
      <w:r w:rsidRPr="00C9031C">
        <w:rPr>
          <w:rStyle w:val="Rimandonotaapidipagina"/>
          <w:lang w:val="it-IT"/>
        </w:rPr>
        <w:footnoteRef/>
      </w:r>
      <w:r w:rsidR="00C9031C">
        <w:rPr>
          <w:rFonts w:ascii="Calibri Light" w:hAnsi="Calibri Light" w:cs="Calibri Light"/>
          <w:sz w:val="16"/>
          <w:szCs w:val="16"/>
          <w:lang w:val="it-IT"/>
        </w:rPr>
        <w:t xml:space="preserve"> Cfr. 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l'articolo </w:t>
      </w:r>
      <w:r w:rsidR="00C9031C">
        <w:rPr>
          <w:rFonts w:ascii="Calibri Light" w:hAnsi="Calibri Light" w:cs="Calibri Light"/>
          <w:sz w:val="16"/>
          <w:szCs w:val="16"/>
          <w:lang w:val="it-IT"/>
        </w:rPr>
        <w:t xml:space="preserve">del 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FT: </w:t>
      </w:r>
      <w:hyperlink r:id="rId7" w:history="1">
        <w:r w:rsidRPr="00C9031C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https://www.ft.com/content/2997a4b2-255f-11e9-8ce6-5db4543da632</w:t>
        </w:r>
      </w:hyperlink>
      <w:r w:rsidR="00C9031C">
        <w:rPr>
          <w:rFonts w:ascii="Calibri Light" w:hAnsi="Calibri Light" w:cs="Calibri Light"/>
          <w:sz w:val="16"/>
          <w:szCs w:val="16"/>
          <w:lang w:val="it-IT"/>
        </w:rPr>
        <w:t xml:space="preserve"> (</w:t>
      </w:r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Olaf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Storbeck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>, '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German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Regulators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Probe Price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Decline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at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proofErr w:type="spellStart"/>
      <w:r w:rsidRPr="00C9031C">
        <w:rPr>
          <w:rFonts w:ascii="Calibri Light" w:hAnsi="Calibri Light" w:cs="Calibri Light"/>
          <w:sz w:val="16"/>
          <w:szCs w:val="16"/>
          <w:lang w:val="it-IT"/>
        </w:rPr>
        <w:t>Wirecard</w:t>
      </w:r>
      <w:proofErr w:type="spellEnd"/>
      <w:r w:rsidRPr="00C9031C">
        <w:rPr>
          <w:rFonts w:ascii="Calibri Light" w:hAnsi="Calibri Light" w:cs="Calibri Light"/>
          <w:sz w:val="16"/>
          <w:szCs w:val="16"/>
          <w:lang w:val="it-IT"/>
        </w:rPr>
        <w:t xml:space="preserve">' 31/01/2019). </w:t>
      </w:r>
    </w:p>
  </w:footnote>
  <w:footnote w:id="5">
    <w:p w14:paraId="54338701" w14:textId="195744EB" w:rsidR="00085CE7" w:rsidRDefault="00311BC2">
      <w:pPr>
        <w:pStyle w:val="Testonotaapidipagina"/>
        <w:jc w:val="both"/>
      </w:pPr>
      <w:r>
        <w:rPr>
          <w:rStyle w:val="Rimandonotaapidipagina"/>
        </w:rPr>
        <w:footnoteRef/>
      </w:r>
      <w:r w:rsidR="00C9031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C9031C">
        <w:rPr>
          <w:rFonts w:ascii="Calibri Light" w:hAnsi="Calibri Light" w:cs="Calibri Light"/>
          <w:sz w:val="16"/>
          <w:szCs w:val="16"/>
        </w:rPr>
        <w:t>Cfr</w:t>
      </w:r>
      <w:proofErr w:type="spellEnd"/>
      <w:r w:rsidR="00C9031C">
        <w:rPr>
          <w:rFonts w:ascii="Calibri Light" w:hAnsi="Calibri Light" w:cs="Calibri Light"/>
          <w:sz w:val="16"/>
          <w:szCs w:val="16"/>
        </w:rPr>
        <w:t xml:space="preserve">. </w:t>
      </w:r>
      <w:proofErr w:type="spellStart"/>
      <w:r w:rsidR="00C84093">
        <w:rPr>
          <w:rFonts w:ascii="Calibri Light" w:hAnsi="Calibri Light" w:cs="Calibri Light"/>
          <w:sz w:val="16"/>
          <w:szCs w:val="16"/>
        </w:rPr>
        <w:t>l’</w:t>
      </w:r>
      <w:r>
        <w:rPr>
          <w:rFonts w:ascii="Calibri Light" w:hAnsi="Calibri Light" w:cs="Calibri Light"/>
          <w:sz w:val="16"/>
          <w:szCs w:val="16"/>
        </w:rPr>
        <w:t>articolo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 </w:t>
      </w:r>
      <w:r w:rsidR="00C9031C">
        <w:rPr>
          <w:rFonts w:ascii="Calibri Light" w:hAnsi="Calibri Light" w:cs="Calibri Light"/>
          <w:sz w:val="16"/>
          <w:szCs w:val="16"/>
        </w:rPr>
        <w:t xml:space="preserve">del </w:t>
      </w:r>
      <w:r>
        <w:rPr>
          <w:rFonts w:ascii="Calibri Light" w:hAnsi="Calibri Light" w:cs="Calibri Light"/>
          <w:sz w:val="16"/>
          <w:szCs w:val="16"/>
        </w:rPr>
        <w:t xml:space="preserve">FT: </w:t>
      </w:r>
      <w:hyperlink r:id="rId8" w:history="1">
        <w:r>
          <w:rPr>
            <w:rStyle w:val="Collegamentoipertestuale"/>
            <w:rFonts w:ascii="Calibri Light" w:hAnsi="Calibri Light" w:cs="Calibri Light"/>
            <w:sz w:val="16"/>
            <w:szCs w:val="16"/>
          </w:rPr>
          <w:t>https://www.ft.com/content/4bed8775-01aa-457f-9dbb-1740e67a684d</w:t>
        </w:r>
      </w:hyperlink>
      <w:r w:rsidR="00C9031C">
        <w:rPr>
          <w:rFonts w:ascii="Calibri Light" w:hAnsi="Calibri Light" w:cs="Calibri Light"/>
          <w:sz w:val="16"/>
          <w:szCs w:val="16"/>
        </w:rPr>
        <w:t xml:space="preserve"> (</w:t>
      </w:r>
      <w:r>
        <w:rPr>
          <w:rFonts w:ascii="Calibri Light" w:hAnsi="Calibri Light" w:cs="Calibri Light"/>
          <w:sz w:val="16"/>
          <w:szCs w:val="16"/>
        </w:rPr>
        <w:t xml:space="preserve">Dan </w:t>
      </w:r>
      <w:proofErr w:type="spellStart"/>
      <w:r>
        <w:rPr>
          <w:rFonts w:ascii="Calibri Light" w:hAnsi="Calibri Light" w:cs="Calibri Light"/>
          <w:sz w:val="16"/>
          <w:szCs w:val="16"/>
        </w:rPr>
        <w:t>McCrum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, Olaf </w:t>
      </w:r>
      <w:proofErr w:type="spellStart"/>
      <w:r>
        <w:rPr>
          <w:rFonts w:ascii="Calibri Light" w:hAnsi="Calibri Light" w:cs="Calibri Light"/>
          <w:sz w:val="16"/>
          <w:szCs w:val="16"/>
        </w:rPr>
        <w:t>Storbeck</w:t>
      </w:r>
      <w:proofErr w:type="spellEnd"/>
      <w:r>
        <w:rPr>
          <w:rFonts w:ascii="Calibri Light" w:hAnsi="Calibri Light" w:cs="Calibri Light"/>
          <w:sz w:val="16"/>
          <w:szCs w:val="16"/>
        </w:rPr>
        <w:t>, '</w:t>
      </w:r>
      <w:proofErr w:type="spellStart"/>
      <w:r>
        <w:rPr>
          <w:rFonts w:ascii="Calibri Light" w:hAnsi="Calibri Light" w:cs="Calibri Light"/>
          <w:sz w:val="16"/>
          <w:szCs w:val="16"/>
        </w:rPr>
        <w:t>Wirecard</w:t>
      </w:r>
      <w:proofErr w:type="spellEnd"/>
      <w:r>
        <w:rPr>
          <w:rFonts w:ascii="Calibri Light" w:hAnsi="Calibri Light" w:cs="Calibri Light"/>
          <w:sz w:val="16"/>
          <w:szCs w:val="16"/>
        </w:rPr>
        <w:t>: What KPMG's Report Found' 29/04/2020)</w:t>
      </w:r>
    </w:p>
  </w:footnote>
  <w:footnote w:id="6">
    <w:p w14:paraId="54338702" w14:textId="045FFD48" w:rsidR="00085CE7" w:rsidRPr="00C9031C" w:rsidRDefault="00311BC2">
      <w:pPr>
        <w:pStyle w:val="Testonotaapidipagina"/>
        <w:jc w:val="both"/>
        <w:rPr>
          <w:rFonts w:asciiTheme="majorHAnsi" w:hAnsiTheme="majorHAnsi"/>
        </w:rPr>
      </w:pPr>
      <w:r>
        <w:rPr>
          <w:rStyle w:val="Rimandonotaapidipagina"/>
        </w:rPr>
        <w:footnoteRef/>
      </w:r>
      <w:r w:rsidR="00C9031C">
        <w:rPr>
          <w:rFonts w:ascii="Calibri Light" w:hAnsi="Calibri Light"/>
          <w:sz w:val="16"/>
          <w:szCs w:val="16"/>
        </w:rPr>
        <w:t xml:space="preserve"> </w:t>
      </w:r>
      <w:proofErr w:type="spellStart"/>
      <w:r w:rsidR="00C9031C">
        <w:rPr>
          <w:rFonts w:ascii="Calibri Light" w:hAnsi="Calibri Light"/>
          <w:sz w:val="16"/>
          <w:szCs w:val="16"/>
        </w:rPr>
        <w:t>Cfr</w:t>
      </w:r>
      <w:proofErr w:type="spellEnd"/>
      <w:r w:rsidR="00C9031C">
        <w:rPr>
          <w:rFonts w:ascii="Calibri Light" w:hAnsi="Calibri Light"/>
          <w:sz w:val="16"/>
          <w:szCs w:val="16"/>
        </w:rPr>
        <w:t xml:space="preserve">. ad </w:t>
      </w:r>
      <w:proofErr w:type="spellStart"/>
      <w:r w:rsidR="00C9031C">
        <w:rPr>
          <w:rFonts w:ascii="Calibri Light" w:hAnsi="Calibri Light"/>
          <w:sz w:val="16"/>
          <w:szCs w:val="16"/>
        </w:rPr>
        <w:t>esempio</w:t>
      </w:r>
      <w:proofErr w:type="spellEnd"/>
      <w:r w:rsidR="00C9031C">
        <w:rPr>
          <w:rFonts w:ascii="Calibri Light" w:hAnsi="Calibri Light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hAnsi="Calibri Light"/>
          <w:sz w:val="16"/>
          <w:szCs w:val="16"/>
        </w:rPr>
        <w:t>il</w:t>
      </w:r>
      <w:proofErr w:type="spellEnd"/>
      <w:proofErr w:type="gramEnd"/>
      <w:r>
        <w:rPr>
          <w:rFonts w:ascii="Calibri Light" w:hAnsi="Calibri Light"/>
          <w:sz w:val="16"/>
          <w:szCs w:val="16"/>
        </w:rPr>
        <w:t xml:space="preserve"> </w:t>
      </w:r>
      <w:proofErr w:type="spellStart"/>
      <w:r>
        <w:rPr>
          <w:rFonts w:ascii="Calibri Light" w:hAnsi="Calibri Light"/>
          <w:i/>
          <w:iCs/>
          <w:sz w:val="16"/>
          <w:szCs w:val="16"/>
        </w:rPr>
        <w:t>Robo</w:t>
      </w:r>
      <w:proofErr w:type="spellEnd"/>
      <w:r>
        <w:rPr>
          <w:rFonts w:ascii="Calibri Light" w:hAnsi="Calibri Light"/>
          <w:i/>
          <w:iCs/>
          <w:sz w:val="16"/>
          <w:szCs w:val="16"/>
        </w:rPr>
        <w:t xml:space="preserve">-Advice Report </w:t>
      </w:r>
      <w:r>
        <w:rPr>
          <w:rFonts w:ascii="Calibri Light" w:hAnsi="Calibri Light"/>
          <w:sz w:val="16"/>
          <w:szCs w:val="16"/>
        </w:rPr>
        <w:t xml:space="preserve">di BETTER FINANCE del 2019: </w:t>
      </w:r>
      <w:hyperlink r:id="rId9" w:history="1">
        <w:r w:rsidR="00C9031C" w:rsidRPr="008D7994">
          <w:rPr>
            <w:rStyle w:val="Collegamentoipertestuale"/>
            <w:rFonts w:asciiTheme="majorHAnsi" w:hAnsiTheme="majorHAnsi"/>
            <w:sz w:val="16"/>
            <w:szCs w:val="16"/>
          </w:rPr>
          <w:t>https://betterfinance.eu/wp-content/uploads/Robo-Advice-Report-2019-FINAL.pdf</w:t>
        </w:r>
      </w:hyperlink>
      <w:r w:rsidR="00C9031C">
        <w:rPr>
          <w:rFonts w:asciiTheme="majorHAnsi" w:hAnsiTheme="majorHAnsi"/>
          <w:sz w:val="16"/>
          <w:szCs w:val="16"/>
        </w:rPr>
        <w:t>.</w:t>
      </w:r>
      <w:r>
        <w:rPr>
          <w:rFonts w:ascii="Calibri Light" w:hAnsi="Calibri Light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8703" w14:textId="77777777" w:rsidR="00396AEB" w:rsidRDefault="00311BC2">
    <w:pPr>
      <w:pStyle w:val="Intestazione"/>
      <w:spacing w:after="120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3386FB" wp14:editId="543386FC">
          <wp:simplePos x="0" y="0"/>
          <wp:positionH relativeFrom="margin">
            <wp:posOffset>2617470</wp:posOffset>
          </wp:positionH>
          <wp:positionV relativeFrom="paragraph">
            <wp:posOffset>-219712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4338704" w14:textId="77777777" w:rsidR="00396AEB" w:rsidRDefault="00FE197B">
    <w:pPr>
      <w:pStyle w:val="Intestazione"/>
      <w:rPr>
        <w:sz w:val="20"/>
        <w:szCs w:val="20"/>
      </w:rPr>
    </w:pPr>
  </w:p>
  <w:p w14:paraId="54338705" w14:textId="77777777" w:rsidR="00396AEB" w:rsidRDefault="00FE197B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21F0B"/>
    <w:multiLevelType w:val="multilevel"/>
    <w:tmpl w:val="23CE1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7"/>
    <w:rsid w:val="00011EDE"/>
    <w:rsid w:val="00085CE7"/>
    <w:rsid w:val="0015713A"/>
    <w:rsid w:val="00182A36"/>
    <w:rsid w:val="0022647C"/>
    <w:rsid w:val="002D6635"/>
    <w:rsid w:val="00311BC2"/>
    <w:rsid w:val="00317700"/>
    <w:rsid w:val="0033044F"/>
    <w:rsid w:val="00340B21"/>
    <w:rsid w:val="003805B9"/>
    <w:rsid w:val="00617BD1"/>
    <w:rsid w:val="00835D09"/>
    <w:rsid w:val="008A0E6B"/>
    <w:rsid w:val="00A35F26"/>
    <w:rsid w:val="00C57502"/>
    <w:rsid w:val="00C84093"/>
    <w:rsid w:val="00C9031C"/>
    <w:rsid w:val="00CA63BE"/>
    <w:rsid w:val="00DD2994"/>
    <w:rsid w:val="00DE574B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6E8"/>
  <w15:docId w15:val="{C501738E-6293-42B4-AC96-171C109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pPr>
      <w:spacing w:after="0" w:line="240" w:lineRule="auto"/>
      <w:ind w:left="720"/>
    </w:pPr>
    <w:rPr>
      <w:rFonts w:cs="Calibri"/>
      <w:lang w:val="fr-B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customStyle="1" w:styleId="bylinebarreading-time">
    <w:name w:val="bylinebar_reading-time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Carpredefinitoparagrafo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otesto">
    <w:name w:val="Body Text"/>
    <w:basedOn w:val="Normale"/>
    <w:pPr>
      <w:spacing w:after="200" w:line="240" w:lineRule="exact"/>
    </w:pPr>
    <w:rPr>
      <w:rFonts w:ascii="Tahoma" w:eastAsia="Times New Roman" w:hAnsi="Tahoma"/>
      <w:spacing w:val="10"/>
      <w:sz w:val="17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styleId="Enfasigrassetto">
    <w:name w:val="Strong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0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talphaville.ft.com/2019/10/14/1571059326000/The-Wirecard-documents--explained/" TargetMode="External"/><Relationship Id="rId18" Type="http://schemas.openxmlformats.org/officeDocument/2006/relationships/hyperlink" Target="https://www.ft.com/content/03a5e318-2479-11e9-8ce6-5db4543da632" TargetMode="External"/><Relationship Id="rId26" Type="http://schemas.openxmlformats.org/officeDocument/2006/relationships/hyperlink" Target="https://www.nytimes.com/reuters/2020/06/29/business/29reuters-wirecard-accounts.html" TargetMode="External"/><Relationship Id="rId39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hyperlink" Target="https://www.ft.com/content/8e1948be-6060-11e9-b285-3acd5d43599e" TargetMode="External"/><Relationship Id="rId34" Type="http://schemas.openxmlformats.org/officeDocument/2006/relationships/image" Target="media/image2.png"/><Relationship Id="rId42" Type="http://schemas.openxmlformats.org/officeDocument/2006/relationships/image" Target="media/image6.pn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talphaville.ft.com/2019/10/14/1571059326000/The-Wirecard-documents--explained/" TargetMode="External"/><Relationship Id="rId17" Type="http://schemas.openxmlformats.org/officeDocument/2006/relationships/hyperlink" Target="https://www.ft.com/content/d51a012e-1d6f-11e9-b126-46fc3ad87c65" TargetMode="External"/><Relationship Id="rId25" Type="http://schemas.openxmlformats.org/officeDocument/2006/relationships/hyperlink" Target="https://www.frep.info/" TargetMode="External"/><Relationship Id="rId33" Type="http://schemas.openxmlformats.org/officeDocument/2006/relationships/image" Target="media/image2.svg"/><Relationship Id="rId38" Type="http://schemas.openxmlformats.org/officeDocument/2006/relationships/image" Target="media/image4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eddeutsche.de/wirtschaft/wirecard-angriff-aus-dem-hinterhalt-1.2878377" TargetMode="External"/><Relationship Id="rId20" Type="http://schemas.openxmlformats.org/officeDocument/2006/relationships/hyperlink" Target="https://www.ft.com/content/f6e8a58a-2b93-11e9-88a4-c32129756dd8" TargetMode="External"/><Relationship Id="rId29" Type="http://schemas.openxmlformats.org/officeDocument/2006/relationships/hyperlink" Target="https://www.ft.com/content/1e753e2b-f576-4f32-aa19-d240be26e773" TargetMode="External"/><Relationship Id="rId41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talphaville.ft.com/series/House%20of%20Wirecard" TargetMode="External"/><Relationship Id="rId24" Type="http://schemas.openxmlformats.org/officeDocument/2006/relationships/hyperlink" Target="https://www.ft.com/content/0026b76c-d062-44e4-85b8-23a454534170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6.svg"/><Relationship Id="rId40" Type="http://schemas.openxmlformats.org/officeDocument/2006/relationships/image" Target="media/image5.png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t.com/content/284fb1ad-ddc0-45df-a075-0709b36868db" TargetMode="External"/><Relationship Id="rId23" Type="http://schemas.openxmlformats.org/officeDocument/2006/relationships/hyperlink" Target="https://www.reuters.com/article/us-wirecard-stocks-idUSKCN1Q70GZ" TargetMode="External"/><Relationship Id="rId28" Type="http://schemas.openxmlformats.org/officeDocument/2006/relationships/hyperlink" Target="https://www.ft.com/content/eeb18c70-f3ce-11e9-a79c-bc9acae3b654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s://www.afr.com/companies/financial-services/aussie-researcher-questioned-embattled-german-fintech-wirecard-20200622-p554v7" TargetMode="External"/><Relationship Id="rId19" Type="http://schemas.openxmlformats.org/officeDocument/2006/relationships/hyperlink" Target="https://www.ft.com/content/d51a012e-1d6f-11e9-b126-46fc3ad87c65" TargetMode="External"/><Relationship Id="rId31" Type="http://schemas.openxmlformats.org/officeDocument/2006/relationships/hyperlink" Target="https://ir.wirecard.com/websites/wirecard/English/5110/news-detail.html?newsID=1988247&amp;fromID=5000" TargetMode="External"/><Relationship Id="rId44" Type="http://schemas.openxmlformats.org/officeDocument/2006/relationships/hyperlink" Target="mailto:houdmont@betterfinan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talphaville.ft.com/2015/04/27/2126473/the-wirecard-documents/" TargetMode="External"/><Relationship Id="rId22" Type="http://schemas.openxmlformats.org/officeDocument/2006/relationships/hyperlink" Target="https://www.esma.europa.eu/press-news/esma-news/esma-issues-positive-opinion-short-selling-ban-bafin" TargetMode="External"/><Relationship Id="rId27" Type="http://schemas.openxmlformats.org/officeDocument/2006/relationships/hyperlink" Target="https://www.reuters.com/article/us-wirecard-accounts/wirecard-collapse-leads-to-call-for-german-parliamentary-inquiry-idUSKBN2401Y7" TargetMode="External"/><Relationship Id="rId30" Type="http://schemas.openxmlformats.org/officeDocument/2006/relationships/hyperlink" Target="https://www.reuters.com/article/us-wirecard-accounts/wirecard-says-missing-2-1-billion-never-existed-rips-up-earlier-accounts-idUSKBN23T06V?il=0" TargetMode="External"/><Relationship Id="rId35" Type="http://schemas.openxmlformats.org/officeDocument/2006/relationships/image" Target="media/image4.svg"/><Relationship Id="rId43" Type="http://schemas.openxmlformats.org/officeDocument/2006/relationships/image" Target="media/image12.svg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content/4bed8775-01aa-457f-9dbb-1740e67a684d" TargetMode="External"/><Relationship Id="rId3" Type="http://schemas.openxmlformats.org/officeDocument/2006/relationships/hyperlink" Target="https://uk.reuters.com/article/uk-wirecard-report/head-of-germanys-wirecard-rejects-fraud-allegations-by-short-seller-idUKKCN0WH1I4" TargetMode="External"/><Relationship Id="rId7" Type="http://schemas.openxmlformats.org/officeDocument/2006/relationships/hyperlink" Target="https://www.ft.com/content/2997a4b2-255f-11e9-8ce6-5db4543da632" TargetMode="External"/><Relationship Id="rId2" Type="http://schemas.openxmlformats.org/officeDocument/2006/relationships/hyperlink" Target="https://ftalphaville.ft.com/2015/11/20/2145256/jcap-on-wirecard-a-search-for-the-asian-business/" TargetMode="External"/><Relationship Id="rId1" Type="http://schemas.openxmlformats.org/officeDocument/2006/relationships/hyperlink" Target="https://ftalphaville.ft.com/2015/11/20/2145256/jcap-on-wirecard-a-search-for-the-asian-business/" TargetMode="External"/><Relationship Id="rId6" Type="http://schemas.openxmlformats.org/officeDocument/2006/relationships/hyperlink" Target="https://www.ft.com/content/79bd8da2-2830-11e9-a5ab-ff8ef2b976c7" TargetMode="External"/><Relationship Id="rId5" Type="http://schemas.openxmlformats.org/officeDocument/2006/relationships/hyperlink" Target="https://www.ft.com/content/79bd8da2-2830-11e9-a5ab-ff8ef2b976c7" TargetMode="External"/><Relationship Id="rId4" Type="http://schemas.openxmlformats.org/officeDocument/2006/relationships/hyperlink" Target="https://uk.reuters.com/article/uk-wirecard-report/head-of-germanys-wirecard-rejects-fraud-allegations-by-short-seller-idUKKCN0WH1I4" TargetMode="External"/><Relationship Id="rId9" Type="http://schemas.openxmlformats.org/officeDocument/2006/relationships/hyperlink" Target="https://betterfinance.eu/wp-content/uploads/Robo-Advice-Report-2019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474FC-E4F8-4098-A3AA-EC4A820F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8B404-62A4-41AC-B159-36B9E28D0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2CE5D-3968-4775-BB92-6C2AC5945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Voicu</dc:creator>
  <dc:description/>
  <cp:lastModifiedBy>Angelo Veglia</cp:lastModifiedBy>
  <cp:revision>15</cp:revision>
  <dcterms:created xsi:type="dcterms:W3CDTF">2021-01-02T10:08:00Z</dcterms:created>
  <dcterms:modified xsi:type="dcterms:W3CDTF">2021-01-03T11:05:00Z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