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295EA" w14:textId="63684AEE" w:rsidR="006D21BB" w:rsidRPr="008A2FE8" w:rsidRDefault="006D21BB">
      <w:pPr>
        <w:rPr>
          <w:lang w:val="it-IT"/>
        </w:rPr>
      </w:pPr>
    </w:p>
    <w:p w14:paraId="56B295EB" w14:textId="77777777" w:rsidR="006D21BB" w:rsidRPr="008A2FE8" w:rsidRDefault="009075A4">
      <w:pPr>
        <w:pStyle w:val="Corpotesto"/>
        <w:spacing w:after="120" w:line="240" w:lineRule="auto"/>
        <w:jc w:val="both"/>
        <w:rPr>
          <w:lang w:val="it-IT"/>
        </w:rPr>
      </w:pPr>
      <w:r w:rsidRPr="008A2FE8">
        <w:rPr>
          <w:rStyle w:val="Enfasigrassetto"/>
          <w:rFonts w:ascii="Calibri Light" w:hAnsi="Calibri Light" w:cs="Calibri Light"/>
          <w:sz w:val="22"/>
          <w:szCs w:val="24"/>
          <w:lang w:val="it-IT"/>
        </w:rPr>
        <w:t>COMUNICATO STAMPA</w:t>
      </w:r>
    </w:p>
    <w:p w14:paraId="56B295EC" w14:textId="750F7059" w:rsidR="006D21BB" w:rsidRPr="008A2FE8" w:rsidRDefault="009075A4">
      <w:pPr>
        <w:pStyle w:val="Titolo2"/>
        <w:jc w:val="both"/>
        <w:rPr>
          <w:rFonts w:eastAsia="Calibri" w:cs="Calibri Light"/>
          <w:b/>
          <w:color w:val="365F91"/>
          <w:spacing w:val="20"/>
          <w:kern w:val="3"/>
          <w:sz w:val="28"/>
          <w:szCs w:val="28"/>
          <w:lang w:val="it-IT"/>
        </w:rPr>
      </w:pPr>
      <w:r w:rsidRPr="008A2FE8">
        <w:rPr>
          <w:rFonts w:eastAsia="Calibri" w:cs="Calibri Light"/>
          <w:b/>
          <w:color w:val="365F91"/>
          <w:spacing w:val="20"/>
          <w:kern w:val="3"/>
          <w:sz w:val="28"/>
          <w:szCs w:val="28"/>
          <w:lang w:val="it-IT"/>
        </w:rPr>
        <w:t>L'</w:t>
      </w:r>
      <w:r w:rsidR="000C749B">
        <w:rPr>
          <w:rFonts w:eastAsia="Calibri" w:cs="Calibri Light"/>
          <w:b/>
          <w:color w:val="365F91"/>
          <w:spacing w:val="20"/>
          <w:kern w:val="3"/>
          <w:sz w:val="28"/>
          <w:szCs w:val="28"/>
          <w:lang w:val="it-IT"/>
        </w:rPr>
        <w:t>a</w:t>
      </w:r>
      <w:r w:rsidRPr="008A2FE8">
        <w:rPr>
          <w:rFonts w:eastAsia="Calibri" w:cs="Calibri Light"/>
          <w:b/>
          <w:color w:val="365F91"/>
          <w:spacing w:val="20"/>
          <w:kern w:val="3"/>
          <w:sz w:val="28"/>
          <w:szCs w:val="28"/>
          <w:lang w:val="it-IT"/>
        </w:rPr>
        <w:t xml:space="preserve">vvento delle </w:t>
      </w:r>
      <w:r w:rsidR="000C749B">
        <w:rPr>
          <w:rFonts w:eastAsia="Calibri" w:cs="Calibri Light"/>
          <w:b/>
          <w:color w:val="365F91"/>
          <w:spacing w:val="20"/>
          <w:kern w:val="3"/>
          <w:sz w:val="28"/>
          <w:szCs w:val="28"/>
          <w:lang w:val="it-IT"/>
        </w:rPr>
        <w:t>p</w:t>
      </w:r>
      <w:r w:rsidRPr="008A2FE8">
        <w:rPr>
          <w:rFonts w:eastAsia="Calibri" w:cs="Calibri Light"/>
          <w:b/>
          <w:color w:val="365F91"/>
          <w:spacing w:val="20"/>
          <w:kern w:val="3"/>
          <w:sz w:val="28"/>
          <w:szCs w:val="28"/>
          <w:lang w:val="it-IT"/>
        </w:rPr>
        <w:t xml:space="preserve">ensioni </w:t>
      </w:r>
      <w:r w:rsidR="000C749B">
        <w:rPr>
          <w:rFonts w:eastAsia="Calibri" w:cs="Calibri Light"/>
          <w:b/>
          <w:color w:val="365F91"/>
          <w:spacing w:val="20"/>
          <w:kern w:val="3"/>
          <w:sz w:val="28"/>
          <w:szCs w:val="28"/>
          <w:lang w:val="it-IT"/>
        </w:rPr>
        <w:t>c</w:t>
      </w:r>
      <w:r w:rsidRPr="008A2FE8">
        <w:rPr>
          <w:rFonts w:eastAsia="Calibri" w:cs="Calibri Light"/>
          <w:b/>
          <w:color w:val="365F91"/>
          <w:spacing w:val="20"/>
          <w:kern w:val="3"/>
          <w:sz w:val="28"/>
          <w:szCs w:val="28"/>
          <w:lang w:val="it-IT"/>
        </w:rPr>
        <w:t>orona</w:t>
      </w:r>
      <w:r w:rsidR="000C749B">
        <w:rPr>
          <w:rFonts w:eastAsia="Calibri" w:cs="Calibri Light"/>
          <w:b/>
          <w:color w:val="365F91"/>
          <w:spacing w:val="20"/>
          <w:kern w:val="3"/>
          <w:sz w:val="28"/>
          <w:szCs w:val="28"/>
          <w:lang w:val="it-IT"/>
        </w:rPr>
        <w:t>virus</w:t>
      </w:r>
      <w:r w:rsidRPr="008A2FE8">
        <w:rPr>
          <w:rFonts w:eastAsia="Calibri" w:cs="Calibri Light"/>
          <w:b/>
          <w:color w:val="365F91"/>
          <w:spacing w:val="20"/>
          <w:kern w:val="3"/>
          <w:sz w:val="28"/>
          <w:szCs w:val="28"/>
          <w:lang w:val="it-IT"/>
        </w:rPr>
        <w:t xml:space="preserve"> </w:t>
      </w:r>
      <w:r w:rsidR="000C749B">
        <w:rPr>
          <w:rFonts w:eastAsia="Calibri" w:cs="Calibri Light"/>
          <w:b/>
          <w:color w:val="365F91"/>
          <w:spacing w:val="20"/>
          <w:kern w:val="3"/>
          <w:sz w:val="28"/>
          <w:szCs w:val="28"/>
          <w:lang w:val="it-IT"/>
        </w:rPr>
        <w:t>–</w:t>
      </w:r>
      <w:r w:rsidRPr="008A2FE8">
        <w:rPr>
          <w:rFonts w:eastAsia="Calibri" w:cs="Calibri Light"/>
          <w:b/>
          <w:color w:val="365F91"/>
          <w:spacing w:val="20"/>
          <w:kern w:val="3"/>
          <w:sz w:val="28"/>
          <w:szCs w:val="28"/>
          <w:lang w:val="it-IT"/>
        </w:rPr>
        <w:t xml:space="preserve"> </w:t>
      </w:r>
      <w:r w:rsidR="000C749B">
        <w:rPr>
          <w:rFonts w:eastAsia="Calibri" w:cs="Calibri Light"/>
          <w:b/>
          <w:color w:val="365F91"/>
          <w:spacing w:val="20"/>
          <w:kern w:val="3"/>
          <w:sz w:val="28"/>
          <w:szCs w:val="28"/>
          <w:lang w:val="it-IT"/>
        </w:rPr>
        <w:t>i</w:t>
      </w:r>
      <w:r w:rsidRPr="008A2FE8">
        <w:rPr>
          <w:rFonts w:eastAsia="Calibri" w:cs="Calibri Light"/>
          <w:b/>
          <w:color w:val="365F91"/>
          <w:spacing w:val="20"/>
          <w:kern w:val="3"/>
          <w:sz w:val="28"/>
          <w:szCs w:val="28"/>
          <w:lang w:val="it-IT"/>
        </w:rPr>
        <w:t>l 2020 è il punto di svolta per le politiche pensionistiche</w:t>
      </w:r>
    </w:p>
    <w:p w14:paraId="56B295ED" w14:textId="05CA8433" w:rsidR="006D21BB" w:rsidRPr="008A2FE8" w:rsidRDefault="009075A4">
      <w:pPr>
        <w:spacing w:before="120" w:after="120" w:line="240" w:lineRule="auto"/>
        <w:jc w:val="both"/>
        <w:rPr>
          <w:lang w:val="it-IT"/>
        </w:rPr>
      </w:pPr>
      <w:r w:rsidRPr="008A2FE8">
        <w:rPr>
          <w:rFonts w:ascii="Calibri Light" w:hAnsi="Calibri Light" w:cs="Calibri Light"/>
          <w:b/>
          <w:bCs/>
          <w:color w:val="000000"/>
          <w:lang w:val="it-IT"/>
        </w:rPr>
        <w:t xml:space="preserve">25 settembre 2020 </w:t>
      </w:r>
      <w:r w:rsidRPr="008A2FE8">
        <w:rPr>
          <w:rFonts w:ascii="Calibri Light" w:hAnsi="Calibri Light" w:cs="Calibri Light"/>
          <w:color w:val="000000"/>
          <w:lang w:val="it-IT"/>
        </w:rPr>
        <w:t xml:space="preserve">- BETTER FINANCE pubblica l'ottava edizione del rapporto sul </w:t>
      </w:r>
      <w:hyperlink r:id="rId10" w:history="1">
        <w:r w:rsidR="000C749B">
          <w:rPr>
            <w:rStyle w:val="Collegamentoipertestuale"/>
            <w:rFonts w:ascii="Calibri Light" w:hAnsi="Calibri Light" w:cs="Calibri Light"/>
            <w:b/>
            <w:bCs/>
            <w:i/>
            <w:iCs/>
            <w:lang w:val="it-IT"/>
          </w:rPr>
          <w:t>Rendimento reale dei risparmi pensionistici a lungo termine</w:t>
        </w:r>
      </w:hyperlink>
      <w:r w:rsidRPr="008A2FE8">
        <w:rPr>
          <w:rFonts w:ascii="Calibri Light" w:hAnsi="Calibri Light" w:cs="Calibri Light"/>
          <w:color w:val="000000"/>
          <w:lang w:val="it-IT"/>
        </w:rPr>
        <w:t xml:space="preserve">, una nuova pietra miliare </w:t>
      </w:r>
      <w:r w:rsidR="000C749B">
        <w:rPr>
          <w:rFonts w:ascii="Calibri Light" w:hAnsi="Calibri Light" w:cs="Calibri Light"/>
          <w:color w:val="000000"/>
          <w:lang w:val="it-IT"/>
        </w:rPr>
        <w:t>nel</w:t>
      </w:r>
      <w:r w:rsidRPr="008A2FE8">
        <w:rPr>
          <w:rFonts w:ascii="Calibri Light" w:hAnsi="Calibri Light" w:cs="Calibri Light"/>
          <w:color w:val="000000"/>
          <w:lang w:val="it-IT"/>
        </w:rPr>
        <w:t>la serie</w:t>
      </w:r>
      <w:r w:rsidR="000C749B">
        <w:rPr>
          <w:rFonts w:ascii="Calibri Light" w:hAnsi="Calibri Light" w:cs="Calibri Light"/>
          <w:color w:val="000000"/>
          <w:lang w:val="it-IT"/>
        </w:rPr>
        <w:t xml:space="preserve"> di pubblicazioni</w:t>
      </w:r>
      <w:r w:rsidRPr="008A2FE8">
        <w:rPr>
          <w:rFonts w:ascii="Calibri Light" w:hAnsi="Calibri Light" w:cs="Calibri Light"/>
          <w:color w:val="000000"/>
          <w:lang w:val="it-IT"/>
        </w:rPr>
        <w:t>, in quanto è la prima a coprire 20 anni di storia de</w:t>
      </w:r>
      <w:r w:rsidR="000C749B">
        <w:rPr>
          <w:rFonts w:ascii="Calibri Light" w:hAnsi="Calibri Light" w:cs="Calibri Light"/>
          <w:color w:val="000000"/>
          <w:lang w:val="it-IT"/>
        </w:rPr>
        <w:t>gli strumenti pensionistici</w:t>
      </w:r>
      <w:r w:rsidRPr="008A2FE8">
        <w:rPr>
          <w:rFonts w:ascii="Calibri Light" w:hAnsi="Calibri Light" w:cs="Calibri Light"/>
          <w:color w:val="000000"/>
          <w:lang w:val="it-IT"/>
        </w:rPr>
        <w:t xml:space="preserve">. Allo stesso tempo, il rapporto si </w:t>
      </w:r>
      <w:r w:rsidR="000C749B">
        <w:rPr>
          <w:rFonts w:ascii="Calibri Light" w:hAnsi="Calibri Light" w:cs="Calibri Light"/>
          <w:color w:val="000000"/>
          <w:lang w:val="it-IT"/>
        </w:rPr>
        <w:t xml:space="preserve">inserisce nel contesto </w:t>
      </w:r>
      <w:r w:rsidRPr="008A2FE8">
        <w:rPr>
          <w:rFonts w:ascii="Calibri Light" w:hAnsi="Calibri Light" w:cs="Calibri Light"/>
          <w:color w:val="000000"/>
          <w:lang w:val="it-IT"/>
        </w:rPr>
        <w:t>di una pandemia che si ripercuote anche sulle pensioni. Ciò che accadrà ora detterà le prospettive pensionistiche per i decenni a venire.</w:t>
      </w:r>
    </w:p>
    <w:p w14:paraId="56B295EE" w14:textId="028B7795" w:rsidR="006D21BB" w:rsidRPr="008A2FE8" w:rsidRDefault="00A52540">
      <w:pPr>
        <w:spacing w:before="120" w:after="120" w:line="240" w:lineRule="auto"/>
        <w:jc w:val="both"/>
        <w:rPr>
          <w:rFonts w:ascii="Calibri Light" w:hAnsi="Calibri Light" w:cs="Calibri Light"/>
          <w:color w:val="000000"/>
          <w:lang w:val="it-IT"/>
        </w:rPr>
      </w:pPr>
      <w:r>
        <w:rPr>
          <w:rFonts w:ascii="Calibri Light" w:hAnsi="Calibri Light" w:cs="Calibri Light"/>
          <w:color w:val="000000"/>
          <w:lang w:val="it-IT"/>
        </w:rPr>
        <w:t>Nonostante</w:t>
      </w:r>
      <w:r w:rsidR="009075A4" w:rsidRPr="008A2FE8">
        <w:rPr>
          <w:rFonts w:ascii="Calibri Light" w:hAnsi="Calibri Light" w:cs="Calibri Light"/>
          <w:color w:val="000000"/>
          <w:lang w:val="it-IT"/>
        </w:rPr>
        <w:t xml:space="preserve"> tutti i rendimenti siano migliorati nel 2019 grazie alle </w:t>
      </w:r>
      <w:r>
        <w:rPr>
          <w:rFonts w:ascii="Calibri Light" w:hAnsi="Calibri Light" w:cs="Calibri Light"/>
          <w:color w:val="000000"/>
          <w:lang w:val="it-IT"/>
        </w:rPr>
        <w:t xml:space="preserve">solide </w:t>
      </w:r>
      <w:r w:rsidR="009075A4" w:rsidRPr="008A2FE8">
        <w:rPr>
          <w:rFonts w:ascii="Calibri Light" w:hAnsi="Calibri Light" w:cs="Calibri Light"/>
          <w:color w:val="000000"/>
          <w:lang w:val="it-IT"/>
        </w:rPr>
        <w:t xml:space="preserve">performance dei mercati azionari e obbligazionari, troppi regimi pensionistici </w:t>
      </w:r>
      <w:r>
        <w:rPr>
          <w:rFonts w:ascii="Calibri Light" w:hAnsi="Calibri Light" w:cs="Calibri Light"/>
          <w:color w:val="000000"/>
          <w:lang w:val="it-IT"/>
        </w:rPr>
        <w:t xml:space="preserve">trattati nel </w:t>
      </w:r>
      <w:r w:rsidR="009075A4" w:rsidRPr="008A2FE8">
        <w:rPr>
          <w:rFonts w:ascii="Calibri Light" w:hAnsi="Calibri Light" w:cs="Calibri Light"/>
          <w:color w:val="000000"/>
          <w:lang w:val="it-IT"/>
        </w:rPr>
        <w:t xml:space="preserve">rapporto </w:t>
      </w:r>
      <w:r>
        <w:rPr>
          <w:rFonts w:ascii="Calibri Light" w:hAnsi="Calibri Light" w:cs="Calibri Light"/>
          <w:color w:val="000000"/>
          <w:lang w:val="it-IT"/>
        </w:rPr>
        <w:t xml:space="preserve">mostrano </w:t>
      </w:r>
      <w:r w:rsidR="009075A4" w:rsidRPr="008A2FE8">
        <w:rPr>
          <w:rFonts w:ascii="Calibri Light" w:hAnsi="Calibri Light" w:cs="Calibri Light"/>
          <w:color w:val="000000"/>
          <w:lang w:val="it-IT"/>
        </w:rPr>
        <w:t>ancora rendimenti a lungo termine negativi o molto bassi una volta de</w:t>
      </w:r>
      <w:r>
        <w:rPr>
          <w:rFonts w:ascii="Calibri Light" w:hAnsi="Calibri Light" w:cs="Calibri Light"/>
          <w:color w:val="000000"/>
          <w:lang w:val="it-IT"/>
        </w:rPr>
        <w:t xml:space="preserve">tratti gli oneri e considerata </w:t>
      </w:r>
      <w:r w:rsidR="009075A4" w:rsidRPr="008A2FE8">
        <w:rPr>
          <w:rFonts w:ascii="Calibri Light" w:hAnsi="Calibri Light" w:cs="Calibri Light"/>
          <w:color w:val="000000"/>
          <w:lang w:val="it-IT"/>
        </w:rPr>
        <w:t>l'inflazione. Inoltre, dalla fine del 2019, questi attivi hanno perso valore, annullando molto probabilmente gran parte dei guadagni del</w:t>
      </w:r>
      <w:r w:rsidR="00ED56BF">
        <w:rPr>
          <w:rFonts w:ascii="Calibri Light" w:hAnsi="Calibri Light" w:cs="Calibri Light"/>
          <w:color w:val="000000"/>
          <w:lang w:val="it-IT"/>
        </w:rPr>
        <w:t xml:space="preserve">lo scorso </w:t>
      </w:r>
      <w:r w:rsidR="009075A4" w:rsidRPr="008A2FE8">
        <w:rPr>
          <w:rFonts w:ascii="Calibri Light" w:hAnsi="Calibri Light" w:cs="Calibri Light"/>
          <w:color w:val="000000"/>
          <w:lang w:val="it-IT"/>
        </w:rPr>
        <w:t>anno. L</w:t>
      </w:r>
      <w:r w:rsidR="00ED56BF">
        <w:rPr>
          <w:rFonts w:ascii="Calibri Light" w:hAnsi="Calibri Light" w:cs="Calibri Light"/>
          <w:color w:val="000000"/>
          <w:lang w:val="it-IT"/>
        </w:rPr>
        <w:t xml:space="preserve">’odierna </w:t>
      </w:r>
      <w:r w:rsidR="009075A4" w:rsidRPr="008A2FE8">
        <w:rPr>
          <w:rFonts w:ascii="Calibri Light" w:hAnsi="Calibri Light" w:cs="Calibri Light"/>
          <w:color w:val="000000"/>
          <w:lang w:val="it-IT"/>
        </w:rPr>
        <w:t xml:space="preserve">grave recessione genera </w:t>
      </w:r>
      <w:r w:rsidR="00ED56BF">
        <w:rPr>
          <w:rFonts w:ascii="Calibri Light" w:hAnsi="Calibri Light" w:cs="Calibri Light"/>
          <w:color w:val="000000"/>
          <w:lang w:val="it-IT"/>
        </w:rPr>
        <w:t xml:space="preserve">inoltre </w:t>
      </w:r>
      <w:r w:rsidR="009075A4" w:rsidRPr="008A2FE8">
        <w:rPr>
          <w:rFonts w:ascii="Calibri Light" w:hAnsi="Calibri Light" w:cs="Calibri Light"/>
          <w:color w:val="000000"/>
          <w:lang w:val="it-IT"/>
        </w:rPr>
        <w:t xml:space="preserve">un rallentamento dei contributi </w:t>
      </w:r>
      <w:r w:rsidR="00ED56BF">
        <w:rPr>
          <w:rFonts w:ascii="Calibri Light" w:hAnsi="Calibri Light" w:cs="Calibri Light"/>
          <w:color w:val="000000"/>
          <w:lang w:val="it-IT"/>
        </w:rPr>
        <w:t xml:space="preserve">ai piani </w:t>
      </w:r>
      <w:r w:rsidR="009075A4" w:rsidRPr="008A2FE8">
        <w:rPr>
          <w:rFonts w:ascii="Calibri Light" w:hAnsi="Calibri Light" w:cs="Calibri Light"/>
          <w:color w:val="000000"/>
          <w:lang w:val="it-IT"/>
        </w:rPr>
        <w:t xml:space="preserve">pensionistici. </w:t>
      </w:r>
    </w:p>
    <w:p w14:paraId="56B295EF" w14:textId="6855A73E" w:rsidR="006D21BB" w:rsidRPr="008A2FE8" w:rsidRDefault="009075A4">
      <w:pPr>
        <w:spacing w:before="120" w:after="120" w:line="240" w:lineRule="auto"/>
        <w:jc w:val="both"/>
        <w:rPr>
          <w:rFonts w:ascii="Calibri Light" w:hAnsi="Calibri Light" w:cs="Calibri Light"/>
          <w:color w:val="000000"/>
          <w:lang w:val="it-IT"/>
        </w:rPr>
      </w:pPr>
      <w:r w:rsidRPr="008A2FE8">
        <w:rPr>
          <w:rFonts w:ascii="Calibri Light" w:hAnsi="Calibri Light" w:cs="Calibri Light"/>
          <w:color w:val="000000"/>
          <w:lang w:val="it-IT"/>
        </w:rPr>
        <w:t xml:space="preserve">Con </w:t>
      </w:r>
      <w:r w:rsidR="00ED56BF">
        <w:rPr>
          <w:rFonts w:ascii="Calibri Light" w:hAnsi="Calibri Light" w:cs="Calibri Light"/>
          <w:color w:val="000000"/>
          <w:lang w:val="it-IT"/>
        </w:rPr>
        <w:t xml:space="preserve">20 anni </w:t>
      </w:r>
      <w:r w:rsidRPr="008A2FE8">
        <w:rPr>
          <w:rFonts w:ascii="Calibri Light" w:hAnsi="Calibri Light" w:cs="Calibri Light"/>
          <w:color w:val="000000"/>
          <w:lang w:val="it-IT"/>
        </w:rPr>
        <w:t xml:space="preserve">di </w:t>
      </w:r>
      <w:r w:rsidR="00ED56BF">
        <w:rPr>
          <w:rFonts w:ascii="Calibri Light" w:hAnsi="Calibri Light" w:cs="Calibri Light"/>
          <w:color w:val="000000"/>
          <w:lang w:val="it-IT"/>
        </w:rPr>
        <w:t xml:space="preserve">dati su </w:t>
      </w:r>
      <w:r w:rsidRPr="008A2FE8">
        <w:rPr>
          <w:rFonts w:ascii="Calibri Light" w:hAnsi="Calibri Light" w:cs="Calibri Light"/>
          <w:color w:val="000000"/>
          <w:lang w:val="it-IT"/>
        </w:rPr>
        <w:t xml:space="preserve">rendimenti, oneri e </w:t>
      </w:r>
      <w:proofErr w:type="spellStart"/>
      <w:r w:rsidRPr="008A2FE8">
        <w:rPr>
          <w:rFonts w:ascii="Calibri Light" w:hAnsi="Calibri Light" w:cs="Calibri Light"/>
          <w:color w:val="000000"/>
          <w:lang w:val="it-IT"/>
        </w:rPr>
        <w:t>asset</w:t>
      </w:r>
      <w:proofErr w:type="spellEnd"/>
      <w:r w:rsidRPr="008A2FE8">
        <w:rPr>
          <w:rFonts w:ascii="Calibri Light" w:hAnsi="Calibri Light" w:cs="Calibri Light"/>
          <w:color w:val="000000"/>
          <w:lang w:val="it-IT"/>
        </w:rPr>
        <w:t xml:space="preserve"> </w:t>
      </w:r>
      <w:proofErr w:type="spellStart"/>
      <w:r w:rsidRPr="008A2FE8">
        <w:rPr>
          <w:rFonts w:ascii="Calibri Light" w:hAnsi="Calibri Light" w:cs="Calibri Light"/>
          <w:color w:val="000000"/>
          <w:lang w:val="it-IT"/>
        </w:rPr>
        <w:t>allocation</w:t>
      </w:r>
      <w:proofErr w:type="spellEnd"/>
      <w:r w:rsidRPr="008A2FE8">
        <w:rPr>
          <w:rFonts w:ascii="Calibri Light" w:hAnsi="Calibri Light" w:cs="Calibri Light"/>
          <w:color w:val="000000"/>
          <w:lang w:val="it-IT"/>
        </w:rPr>
        <w:t xml:space="preserve">, BETTER FINANCE lancia ancora una volta l'allarme e sottolinea </w:t>
      </w:r>
      <w:r w:rsidR="00ED56BF">
        <w:rPr>
          <w:rFonts w:ascii="Calibri Light" w:hAnsi="Calibri Light" w:cs="Calibri Light"/>
          <w:color w:val="000000"/>
          <w:lang w:val="it-IT"/>
        </w:rPr>
        <w:t xml:space="preserve">la necessità di </w:t>
      </w:r>
      <w:r w:rsidRPr="008A2FE8">
        <w:rPr>
          <w:rFonts w:ascii="Calibri Light" w:hAnsi="Calibri Light" w:cs="Calibri Light"/>
          <w:color w:val="000000"/>
          <w:lang w:val="it-IT"/>
        </w:rPr>
        <w:t xml:space="preserve">una riforma delle politiche pensionistiche e del mercato dei capitali per </w:t>
      </w:r>
      <w:r w:rsidR="00ED56BF">
        <w:rPr>
          <w:rFonts w:ascii="Calibri Light" w:hAnsi="Calibri Light" w:cs="Calibri Light"/>
          <w:color w:val="000000"/>
          <w:lang w:val="it-IT"/>
        </w:rPr>
        <w:t xml:space="preserve">attenuare </w:t>
      </w:r>
      <w:r w:rsidRPr="008A2FE8">
        <w:rPr>
          <w:rFonts w:ascii="Calibri Light" w:hAnsi="Calibri Light" w:cs="Calibri Light"/>
          <w:color w:val="000000"/>
          <w:lang w:val="it-IT"/>
        </w:rPr>
        <w:t>gli effetti della crisi sanitaria sull'adeguatezza delle pensioni.</w:t>
      </w:r>
    </w:p>
    <w:p w14:paraId="56B295F0" w14:textId="6354A70A" w:rsidR="006D21BB" w:rsidRPr="008A2FE8" w:rsidRDefault="00ED56BF">
      <w:pPr>
        <w:spacing w:before="120" w:after="0" w:line="240" w:lineRule="auto"/>
        <w:jc w:val="both"/>
        <w:rPr>
          <w:lang w:val="it-IT"/>
        </w:rPr>
      </w:pPr>
      <w:r>
        <w:rPr>
          <w:rFonts w:ascii="Calibri Light" w:hAnsi="Calibri Light" w:cs="Calibri Light"/>
          <w:color w:val="000000"/>
          <w:lang w:val="it-IT"/>
        </w:rPr>
        <w:t>Alcune questioni chiave che tuttora constatiamo</w:t>
      </w:r>
      <w:r w:rsidR="009075A4" w:rsidRPr="008A2FE8">
        <w:rPr>
          <w:rStyle w:val="Rimandonotaapidipagina"/>
          <w:rFonts w:ascii="Calibri Light" w:hAnsi="Calibri Light" w:cs="Calibri Light"/>
          <w:color w:val="000000"/>
          <w:lang w:val="it-IT"/>
        </w:rPr>
        <w:footnoteReference w:id="1"/>
      </w:r>
      <w:r w:rsidR="009075A4" w:rsidRPr="008A2FE8">
        <w:rPr>
          <w:rFonts w:ascii="Calibri Light" w:hAnsi="Calibri Light" w:cs="Calibri Light"/>
          <w:color w:val="000000"/>
          <w:lang w:val="it-IT"/>
        </w:rPr>
        <w:t>:</w:t>
      </w:r>
    </w:p>
    <w:p w14:paraId="56B295F1" w14:textId="77777777" w:rsidR="006D21BB" w:rsidRPr="008A2FE8" w:rsidRDefault="006D21BB">
      <w:pPr>
        <w:spacing w:after="0" w:line="240" w:lineRule="auto"/>
        <w:jc w:val="both"/>
        <w:rPr>
          <w:rFonts w:ascii="Calibri Light" w:hAnsi="Calibri Light" w:cs="Calibri Light"/>
          <w:color w:val="000000"/>
          <w:lang w:val="it-IT"/>
        </w:rPr>
      </w:pPr>
    </w:p>
    <w:p w14:paraId="56B295F2" w14:textId="739B6029" w:rsidR="006D21BB" w:rsidRPr="008A2FE8" w:rsidRDefault="00ED56BF">
      <w:pPr>
        <w:pStyle w:val="Paragrafoelenco"/>
        <w:numPr>
          <w:ilvl w:val="0"/>
          <w:numId w:val="1"/>
        </w:numPr>
        <w:ind w:left="426" w:hanging="284"/>
        <w:jc w:val="both"/>
        <w:rPr>
          <w:rFonts w:ascii="Calibri Light" w:hAnsi="Calibri Light" w:cs="Calibri Light"/>
          <w:color w:val="000000"/>
          <w:lang w:val="it-IT"/>
        </w:rPr>
      </w:pPr>
      <w:r>
        <w:rPr>
          <w:rFonts w:ascii="Calibri Light" w:hAnsi="Calibri Light" w:cs="Calibri Light"/>
          <w:color w:val="000000"/>
          <w:lang w:val="it-IT"/>
        </w:rPr>
        <w:t>I regimi di p</w:t>
      </w:r>
      <w:r w:rsidR="009075A4" w:rsidRPr="008A2FE8">
        <w:rPr>
          <w:rFonts w:ascii="Calibri Light" w:hAnsi="Calibri Light" w:cs="Calibri Light"/>
          <w:color w:val="000000"/>
          <w:lang w:val="it-IT"/>
        </w:rPr>
        <w:t xml:space="preserve">revidenza complementare </w:t>
      </w:r>
      <w:r>
        <w:rPr>
          <w:rFonts w:ascii="Calibri Light" w:hAnsi="Calibri Light" w:cs="Calibri Light"/>
          <w:color w:val="000000"/>
          <w:lang w:val="it-IT"/>
        </w:rPr>
        <w:t>–</w:t>
      </w:r>
      <w:r w:rsidR="009075A4" w:rsidRPr="008A2FE8">
        <w:rPr>
          <w:rFonts w:ascii="Calibri Light" w:hAnsi="Calibri Light" w:cs="Calibri Light"/>
          <w:color w:val="000000"/>
          <w:lang w:val="it-IT"/>
        </w:rPr>
        <w:t xml:space="preserve"> per lo più individuale (III pilastro) </w:t>
      </w:r>
      <w:r>
        <w:rPr>
          <w:rFonts w:ascii="Calibri Light" w:hAnsi="Calibri Light" w:cs="Calibri Light"/>
          <w:color w:val="000000"/>
          <w:lang w:val="it-IT"/>
        </w:rPr>
        <w:t xml:space="preserve">– </w:t>
      </w:r>
      <w:r w:rsidR="00260B32">
        <w:rPr>
          <w:rFonts w:ascii="Calibri Light" w:hAnsi="Calibri Light" w:cs="Calibri Light"/>
          <w:color w:val="000000"/>
          <w:lang w:val="it-IT"/>
        </w:rPr>
        <w:t xml:space="preserve">hanno risultati inferiori rispetto ai </w:t>
      </w:r>
      <w:r w:rsidR="009075A4" w:rsidRPr="008A2FE8">
        <w:rPr>
          <w:rFonts w:ascii="Calibri Light" w:hAnsi="Calibri Light" w:cs="Calibri Light"/>
          <w:color w:val="000000"/>
          <w:lang w:val="it-IT"/>
        </w:rPr>
        <w:t xml:space="preserve">piani di previdenza professionale </w:t>
      </w:r>
      <w:r w:rsidR="00260B32">
        <w:rPr>
          <w:rFonts w:ascii="Calibri Light" w:hAnsi="Calibri Light" w:cs="Calibri Light"/>
          <w:color w:val="000000"/>
          <w:lang w:val="it-IT"/>
        </w:rPr>
        <w:t>–</w:t>
      </w:r>
      <w:r w:rsidR="009075A4" w:rsidRPr="008A2FE8">
        <w:rPr>
          <w:rFonts w:ascii="Calibri Light" w:hAnsi="Calibri Light" w:cs="Calibri Light"/>
          <w:color w:val="000000"/>
          <w:lang w:val="it-IT"/>
        </w:rPr>
        <w:t xml:space="preserve"> collettiv</w:t>
      </w:r>
      <w:r w:rsidR="00260B32">
        <w:rPr>
          <w:rFonts w:ascii="Calibri Light" w:hAnsi="Calibri Light" w:cs="Calibri Light"/>
          <w:color w:val="000000"/>
          <w:lang w:val="it-IT"/>
        </w:rPr>
        <w:t>i</w:t>
      </w:r>
      <w:r w:rsidR="009075A4" w:rsidRPr="008A2FE8">
        <w:rPr>
          <w:rFonts w:ascii="Calibri Light" w:hAnsi="Calibri Light" w:cs="Calibri Light"/>
          <w:color w:val="000000"/>
          <w:lang w:val="it-IT"/>
        </w:rPr>
        <w:t xml:space="preserve"> (II pilastro)</w:t>
      </w:r>
      <w:r w:rsidR="00260B32">
        <w:rPr>
          <w:rFonts w:ascii="Calibri Light" w:hAnsi="Calibri Light" w:cs="Calibri Light"/>
          <w:color w:val="000000"/>
          <w:lang w:val="it-IT"/>
        </w:rPr>
        <w:t>.</w:t>
      </w:r>
    </w:p>
    <w:p w14:paraId="56B295F3" w14:textId="21BEF4D3" w:rsidR="006D21BB" w:rsidRPr="008A2FE8" w:rsidRDefault="009075A4">
      <w:pPr>
        <w:pStyle w:val="Paragrafoelenco"/>
        <w:numPr>
          <w:ilvl w:val="0"/>
          <w:numId w:val="1"/>
        </w:numPr>
        <w:ind w:left="426" w:hanging="284"/>
        <w:jc w:val="both"/>
        <w:rPr>
          <w:lang w:val="it-IT"/>
        </w:rPr>
      </w:pPr>
      <w:r w:rsidRPr="008A2FE8">
        <w:rPr>
          <w:rFonts w:ascii="Calibri Light" w:hAnsi="Calibri Light" w:cs="Calibri Light"/>
          <w:color w:val="000000"/>
          <w:lang w:val="it-IT"/>
        </w:rPr>
        <w:t>La stragrande maggioranza dei prodotti pensionistici non raggiunge</w:t>
      </w:r>
      <w:r w:rsidRPr="008A2FE8">
        <w:rPr>
          <w:rStyle w:val="Rimandonotaapidipagina"/>
          <w:rFonts w:ascii="Calibri Light" w:hAnsi="Calibri Light" w:cs="Calibri Light"/>
          <w:color w:val="000000"/>
          <w:lang w:val="it-IT"/>
        </w:rPr>
        <w:footnoteReference w:id="2"/>
      </w:r>
      <w:r w:rsidRPr="008A2FE8">
        <w:rPr>
          <w:rFonts w:ascii="Calibri Light" w:hAnsi="Calibri Light" w:cs="Calibri Light"/>
          <w:color w:val="000000"/>
          <w:lang w:val="it-IT"/>
        </w:rPr>
        <w:t xml:space="preserve"> il benchmark dei mercati dei capitali (50% azioni - 50% obbligazioni)</w:t>
      </w:r>
      <w:r w:rsidR="00260B32">
        <w:rPr>
          <w:rFonts w:ascii="Calibri Light" w:hAnsi="Calibri Light" w:cs="Calibri Light"/>
          <w:color w:val="000000"/>
          <w:lang w:val="it-IT"/>
        </w:rPr>
        <w:t>.</w:t>
      </w:r>
      <w:r w:rsidRPr="008A2FE8">
        <w:rPr>
          <w:rStyle w:val="Rimandonotaapidipagina"/>
          <w:rFonts w:ascii="Calibri Light" w:hAnsi="Calibri Light" w:cs="Calibri Light"/>
          <w:color w:val="000000"/>
          <w:lang w:val="it-IT"/>
        </w:rPr>
        <w:footnoteReference w:id="3"/>
      </w:r>
    </w:p>
    <w:p w14:paraId="56B295F4" w14:textId="494B7A14" w:rsidR="006D21BB" w:rsidRPr="008A2FE8" w:rsidRDefault="009075A4">
      <w:pPr>
        <w:pStyle w:val="Paragrafoelenco"/>
        <w:numPr>
          <w:ilvl w:val="0"/>
          <w:numId w:val="1"/>
        </w:numPr>
        <w:ind w:left="426" w:hanging="284"/>
        <w:jc w:val="both"/>
        <w:rPr>
          <w:rFonts w:ascii="Calibri Light" w:hAnsi="Calibri Light" w:cs="Calibri Light"/>
          <w:color w:val="000000"/>
          <w:lang w:val="it-IT"/>
        </w:rPr>
      </w:pPr>
      <w:r w:rsidRPr="008A2FE8">
        <w:rPr>
          <w:rFonts w:ascii="Calibri Light" w:hAnsi="Calibri Light" w:cs="Calibri Light"/>
          <w:color w:val="000000"/>
          <w:lang w:val="it-IT"/>
        </w:rPr>
        <w:t xml:space="preserve">Le commissioni continuano a </w:t>
      </w:r>
      <w:r w:rsidR="00260B32">
        <w:rPr>
          <w:rFonts w:ascii="Calibri Light" w:hAnsi="Calibri Light" w:cs="Calibri Light"/>
          <w:color w:val="000000"/>
          <w:lang w:val="it-IT"/>
        </w:rPr>
        <w:t xml:space="preserve">gravare </w:t>
      </w:r>
      <w:r w:rsidRPr="008A2FE8">
        <w:rPr>
          <w:rFonts w:ascii="Calibri Light" w:hAnsi="Calibri Light" w:cs="Calibri Light"/>
          <w:color w:val="000000"/>
          <w:lang w:val="it-IT"/>
        </w:rPr>
        <w:t xml:space="preserve">pesantemente sui rendimenti nominali, poiché i conflitti di interesse nella distribuzione continuano </w:t>
      </w:r>
      <w:r w:rsidR="00260B32">
        <w:rPr>
          <w:rFonts w:ascii="Calibri Light" w:hAnsi="Calibri Light" w:cs="Calibri Light"/>
          <w:color w:val="000000"/>
          <w:lang w:val="it-IT"/>
        </w:rPr>
        <w:t>senza variazioni.</w:t>
      </w:r>
    </w:p>
    <w:p w14:paraId="56B295F5" w14:textId="399C3A94" w:rsidR="006D21BB" w:rsidRPr="008A2FE8" w:rsidRDefault="009075A4">
      <w:pPr>
        <w:pStyle w:val="Paragrafoelenco"/>
        <w:numPr>
          <w:ilvl w:val="0"/>
          <w:numId w:val="1"/>
        </w:numPr>
        <w:spacing w:after="120"/>
        <w:ind w:left="426" w:hanging="284"/>
        <w:jc w:val="both"/>
        <w:rPr>
          <w:rFonts w:ascii="Calibri Light" w:hAnsi="Calibri Light" w:cs="Calibri Light"/>
          <w:color w:val="000000"/>
          <w:lang w:val="it-IT"/>
        </w:rPr>
      </w:pPr>
      <w:r w:rsidRPr="008A2FE8">
        <w:rPr>
          <w:rFonts w:ascii="Calibri Light" w:hAnsi="Calibri Light" w:cs="Calibri Light"/>
          <w:color w:val="000000"/>
          <w:lang w:val="it-IT"/>
        </w:rPr>
        <w:t>L</w:t>
      </w:r>
      <w:r w:rsidR="00260B32">
        <w:rPr>
          <w:rFonts w:ascii="Calibri Light" w:hAnsi="Calibri Light" w:cs="Calibri Light"/>
          <w:color w:val="000000"/>
          <w:lang w:val="it-IT"/>
        </w:rPr>
        <w:t>a distribuzione degli attivi (</w:t>
      </w:r>
      <w:proofErr w:type="spellStart"/>
      <w:r w:rsidR="00260B32">
        <w:rPr>
          <w:rFonts w:ascii="Calibri Light" w:hAnsi="Calibri Light" w:cs="Calibri Light"/>
          <w:color w:val="000000"/>
          <w:lang w:val="it-IT"/>
        </w:rPr>
        <w:t>asset</w:t>
      </w:r>
      <w:proofErr w:type="spellEnd"/>
      <w:r w:rsidR="00260B32">
        <w:rPr>
          <w:rFonts w:ascii="Calibri Light" w:hAnsi="Calibri Light" w:cs="Calibri Light"/>
          <w:color w:val="000000"/>
          <w:lang w:val="it-IT"/>
        </w:rPr>
        <w:t xml:space="preserve"> </w:t>
      </w:r>
      <w:proofErr w:type="spellStart"/>
      <w:r w:rsidR="00260B32">
        <w:rPr>
          <w:rFonts w:ascii="Calibri Light" w:hAnsi="Calibri Light" w:cs="Calibri Light"/>
          <w:color w:val="000000"/>
          <w:lang w:val="it-IT"/>
        </w:rPr>
        <w:t>allocation</w:t>
      </w:r>
      <w:proofErr w:type="spellEnd"/>
      <w:r w:rsidR="00260B32">
        <w:rPr>
          <w:rFonts w:ascii="Calibri Light" w:hAnsi="Calibri Light" w:cs="Calibri Light"/>
          <w:color w:val="000000"/>
          <w:lang w:val="it-IT"/>
        </w:rPr>
        <w:t xml:space="preserve">) </w:t>
      </w:r>
      <w:r w:rsidRPr="008A2FE8">
        <w:rPr>
          <w:rFonts w:ascii="Calibri Light" w:hAnsi="Calibri Light" w:cs="Calibri Light"/>
          <w:color w:val="000000"/>
          <w:lang w:val="it-IT"/>
        </w:rPr>
        <w:t>de</w:t>
      </w:r>
      <w:r w:rsidR="00260B32">
        <w:rPr>
          <w:rFonts w:ascii="Calibri Light" w:hAnsi="Calibri Light" w:cs="Calibri Light"/>
          <w:color w:val="000000"/>
          <w:lang w:val="it-IT"/>
        </w:rPr>
        <w:t xml:space="preserve">i fondi </w:t>
      </w:r>
      <w:r w:rsidRPr="008A2FE8">
        <w:rPr>
          <w:rFonts w:ascii="Calibri Light" w:hAnsi="Calibri Light" w:cs="Calibri Light"/>
          <w:color w:val="000000"/>
          <w:lang w:val="it-IT"/>
        </w:rPr>
        <w:t>pension</w:t>
      </w:r>
      <w:r w:rsidR="00260B32">
        <w:rPr>
          <w:rFonts w:ascii="Calibri Light" w:hAnsi="Calibri Light" w:cs="Calibri Light"/>
          <w:color w:val="000000"/>
          <w:lang w:val="it-IT"/>
        </w:rPr>
        <w:t>e</w:t>
      </w:r>
      <w:r w:rsidRPr="008A2FE8">
        <w:rPr>
          <w:rFonts w:ascii="Calibri Light" w:hAnsi="Calibri Light" w:cs="Calibri Light"/>
          <w:color w:val="000000"/>
          <w:lang w:val="it-IT"/>
        </w:rPr>
        <w:t xml:space="preserve"> si è </w:t>
      </w:r>
      <w:r w:rsidR="00260B32">
        <w:rPr>
          <w:rFonts w:ascii="Calibri Light" w:hAnsi="Calibri Light" w:cs="Calibri Light"/>
          <w:color w:val="000000"/>
          <w:lang w:val="it-IT"/>
        </w:rPr>
        <w:t xml:space="preserve">concentrata </w:t>
      </w:r>
      <w:r w:rsidRPr="008A2FE8">
        <w:rPr>
          <w:rFonts w:ascii="Calibri Light" w:hAnsi="Calibri Light" w:cs="Calibri Light"/>
          <w:color w:val="000000"/>
          <w:lang w:val="it-IT"/>
        </w:rPr>
        <w:t>sempre più sul reddito fisso e su</w:t>
      </w:r>
      <w:r w:rsidR="00260B32">
        <w:rPr>
          <w:rFonts w:ascii="Calibri Light" w:hAnsi="Calibri Light" w:cs="Calibri Light"/>
          <w:color w:val="000000"/>
          <w:lang w:val="it-IT"/>
        </w:rPr>
        <w:t xml:space="preserve">lle attività </w:t>
      </w:r>
      <w:proofErr w:type="spellStart"/>
      <w:r w:rsidR="00260B32">
        <w:rPr>
          <w:rFonts w:ascii="Calibri Light" w:hAnsi="Calibri Light" w:cs="Calibri Light"/>
          <w:color w:val="000000"/>
          <w:lang w:val="it-IT"/>
        </w:rPr>
        <w:t>preassemblate</w:t>
      </w:r>
      <w:proofErr w:type="spellEnd"/>
      <w:r w:rsidRPr="008A2FE8">
        <w:rPr>
          <w:rFonts w:ascii="Calibri Light" w:hAnsi="Calibri Light" w:cs="Calibri Light"/>
          <w:color w:val="000000"/>
          <w:lang w:val="it-IT"/>
        </w:rPr>
        <w:t xml:space="preserve"> (organismi d'investimento collettivo) rispetto alla detenzione diretta di titoli.</w:t>
      </w:r>
    </w:p>
    <w:p w14:paraId="56B295F6" w14:textId="305AB96C" w:rsidR="006D21BB" w:rsidRPr="008A2FE8" w:rsidRDefault="009075A4">
      <w:pPr>
        <w:spacing w:after="240"/>
        <w:jc w:val="both"/>
        <w:rPr>
          <w:lang w:val="it-IT"/>
        </w:rPr>
      </w:pPr>
      <w:r w:rsidRPr="008A2FE8">
        <w:rPr>
          <w:rFonts w:ascii="Calibri Light" w:hAnsi="Calibri Light" w:cs="Calibri Light"/>
          <w:color w:val="000000"/>
          <w:lang w:val="it-IT"/>
        </w:rPr>
        <w:t>Per Guillaum</w:t>
      </w:r>
      <w:r w:rsidR="00201F69">
        <w:rPr>
          <w:rFonts w:ascii="Calibri Light" w:hAnsi="Calibri Light" w:cs="Calibri Light"/>
          <w:color w:val="000000"/>
          <w:lang w:val="it-IT"/>
        </w:rPr>
        <w:t xml:space="preserve">e </w:t>
      </w:r>
      <w:proofErr w:type="spellStart"/>
      <w:r w:rsidR="00201F69">
        <w:rPr>
          <w:rFonts w:ascii="Calibri Light" w:hAnsi="Calibri Light" w:cs="Calibri Light"/>
          <w:color w:val="000000"/>
          <w:lang w:val="it-IT"/>
        </w:rPr>
        <w:t>Prache</w:t>
      </w:r>
      <w:proofErr w:type="spellEnd"/>
      <w:r w:rsidR="00201F69">
        <w:rPr>
          <w:rFonts w:ascii="Calibri Light" w:hAnsi="Calibri Light" w:cs="Calibri Light"/>
          <w:color w:val="000000"/>
          <w:lang w:val="it-IT"/>
        </w:rPr>
        <w:t>, a</w:t>
      </w:r>
      <w:bookmarkStart w:id="0" w:name="_GoBack"/>
      <w:bookmarkEnd w:id="0"/>
      <w:r w:rsidRPr="008A2FE8">
        <w:rPr>
          <w:rFonts w:ascii="Calibri Light" w:hAnsi="Calibri Light" w:cs="Calibri Light"/>
          <w:color w:val="000000"/>
          <w:lang w:val="it-IT"/>
        </w:rPr>
        <w:t>mministratore delegato di BETTER FINANCE, "</w:t>
      </w:r>
      <w:r w:rsidRPr="008A2FE8">
        <w:rPr>
          <w:rFonts w:ascii="Calibri Light" w:hAnsi="Calibri Light" w:cs="Calibri Light"/>
          <w:i/>
          <w:iCs/>
          <w:color w:val="000000"/>
          <w:lang w:val="it-IT"/>
        </w:rPr>
        <w:t>questo è il mix perfetto per distruggere il valore rea</w:t>
      </w:r>
      <w:r w:rsidR="000630D0">
        <w:rPr>
          <w:rFonts w:ascii="Calibri Light" w:hAnsi="Calibri Light" w:cs="Calibri Light"/>
          <w:i/>
          <w:iCs/>
          <w:color w:val="000000"/>
          <w:lang w:val="it-IT"/>
        </w:rPr>
        <w:t>le del risparmio pensionistico sul</w:t>
      </w:r>
      <w:r w:rsidRPr="008A2FE8">
        <w:rPr>
          <w:rFonts w:ascii="Calibri Light" w:hAnsi="Calibri Light" w:cs="Calibri Light"/>
          <w:i/>
          <w:iCs/>
          <w:color w:val="000000"/>
          <w:lang w:val="it-IT"/>
        </w:rPr>
        <w:t xml:space="preserve"> lungo </w:t>
      </w:r>
      <w:r w:rsidR="000630D0">
        <w:rPr>
          <w:rFonts w:ascii="Calibri Light" w:hAnsi="Calibri Light" w:cs="Calibri Light"/>
          <w:i/>
          <w:iCs/>
          <w:color w:val="000000"/>
          <w:lang w:val="it-IT"/>
        </w:rPr>
        <w:t>termine</w:t>
      </w:r>
      <w:r w:rsidRPr="008A2FE8">
        <w:rPr>
          <w:rFonts w:ascii="Calibri Light" w:hAnsi="Calibri Light" w:cs="Calibri Light"/>
          <w:i/>
          <w:iCs/>
          <w:color w:val="000000"/>
          <w:lang w:val="it-IT"/>
        </w:rPr>
        <w:t xml:space="preserve">, soprattutto perché siamo entrati in un nuovo periodo di massima repressione finanziaria, con le autorità pubbliche che hanno esplicitamente scelto di sacrificare la protezione dei risparmiatori a lungo termine </w:t>
      </w:r>
      <w:r w:rsidR="000630D0">
        <w:rPr>
          <w:rFonts w:ascii="Calibri Light" w:hAnsi="Calibri Light" w:cs="Calibri Light"/>
          <w:i/>
          <w:iCs/>
          <w:color w:val="000000"/>
          <w:lang w:val="it-IT"/>
        </w:rPr>
        <w:t>in favore de</w:t>
      </w:r>
      <w:r w:rsidRPr="008A2FE8">
        <w:rPr>
          <w:rFonts w:ascii="Calibri Light" w:hAnsi="Calibri Light" w:cs="Calibri Light"/>
          <w:i/>
          <w:iCs/>
          <w:color w:val="000000"/>
          <w:lang w:val="it-IT"/>
        </w:rPr>
        <w:t>lla riduzione artificiale del costo del debito degli Stati membri, concedendo sussidi senza precedenti a governi e banche (sotto forma di tassi di interesse</w:t>
      </w:r>
      <w:r w:rsidR="00B81858">
        <w:rPr>
          <w:rFonts w:ascii="Calibri Light" w:hAnsi="Calibri Light" w:cs="Calibri Light"/>
          <w:i/>
          <w:iCs/>
          <w:color w:val="000000"/>
          <w:lang w:val="it-IT"/>
        </w:rPr>
        <w:t xml:space="preserve"> negativi e massicci acquisti del</w:t>
      </w:r>
      <w:r w:rsidRPr="008A2FE8">
        <w:rPr>
          <w:rFonts w:ascii="Calibri Light" w:hAnsi="Calibri Light" w:cs="Calibri Light"/>
          <w:i/>
          <w:iCs/>
          <w:color w:val="000000"/>
          <w:lang w:val="it-IT"/>
        </w:rPr>
        <w:t xml:space="preserve"> debito pubblico). Alcuni Stati membri hanno persino consentito ai risparmiatori pensionistici di attingere ai loro </w:t>
      </w:r>
      <w:r w:rsidR="00B81858">
        <w:rPr>
          <w:rFonts w:ascii="Calibri Light" w:hAnsi="Calibri Light" w:cs="Calibri Light"/>
          <w:i/>
          <w:iCs/>
          <w:color w:val="000000"/>
          <w:lang w:val="it-IT"/>
        </w:rPr>
        <w:t>‘</w:t>
      </w:r>
      <w:r w:rsidRPr="008A2FE8">
        <w:rPr>
          <w:rFonts w:ascii="Calibri Light" w:hAnsi="Calibri Light" w:cs="Calibri Light"/>
          <w:i/>
          <w:iCs/>
          <w:color w:val="000000"/>
          <w:lang w:val="it-IT"/>
        </w:rPr>
        <w:t>salvadanai</w:t>
      </w:r>
      <w:r w:rsidR="00B81858">
        <w:rPr>
          <w:rFonts w:ascii="Calibri Light" w:hAnsi="Calibri Light" w:cs="Calibri Light"/>
          <w:i/>
          <w:iCs/>
          <w:color w:val="000000"/>
          <w:lang w:val="it-IT"/>
        </w:rPr>
        <w:t>’</w:t>
      </w:r>
      <w:r w:rsidRPr="008A2FE8">
        <w:rPr>
          <w:rFonts w:ascii="Calibri Light" w:hAnsi="Calibri Light" w:cs="Calibri Light"/>
          <w:i/>
          <w:iCs/>
          <w:color w:val="000000"/>
          <w:lang w:val="it-IT"/>
        </w:rPr>
        <w:t xml:space="preserve"> autorizzando prelievi anticipati, e alcuni regimi pensionistici hanno già annunciato che </w:t>
      </w:r>
      <w:r w:rsidR="00B81858">
        <w:rPr>
          <w:rFonts w:ascii="Calibri Light" w:hAnsi="Calibri Light" w:cs="Calibri Light"/>
          <w:i/>
          <w:iCs/>
          <w:color w:val="000000"/>
          <w:lang w:val="it-IT"/>
        </w:rPr>
        <w:t xml:space="preserve">il </w:t>
      </w:r>
      <w:r w:rsidRPr="008A2FE8">
        <w:rPr>
          <w:rFonts w:ascii="Calibri Light" w:hAnsi="Calibri Light" w:cs="Calibri Light"/>
          <w:i/>
          <w:iCs/>
          <w:color w:val="000000"/>
          <w:lang w:val="it-IT"/>
        </w:rPr>
        <w:t xml:space="preserve">Covid-19 potrebbe costringerli </w:t>
      </w:r>
      <w:r w:rsidR="00B81858">
        <w:rPr>
          <w:rFonts w:ascii="Calibri Light" w:hAnsi="Calibri Light" w:cs="Calibri Light"/>
          <w:i/>
          <w:iCs/>
          <w:color w:val="000000"/>
          <w:lang w:val="it-IT"/>
        </w:rPr>
        <w:t xml:space="preserve">persino </w:t>
      </w:r>
      <w:r w:rsidRPr="008A2FE8">
        <w:rPr>
          <w:rFonts w:ascii="Calibri Light" w:hAnsi="Calibri Light" w:cs="Calibri Light"/>
          <w:i/>
          <w:iCs/>
          <w:color w:val="000000"/>
          <w:lang w:val="it-IT"/>
        </w:rPr>
        <w:t>a</w:t>
      </w:r>
      <w:r w:rsidR="00B81858">
        <w:rPr>
          <w:rFonts w:ascii="Calibri Light" w:hAnsi="Calibri Light" w:cs="Calibri Light"/>
          <w:i/>
          <w:iCs/>
          <w:color w:val="000000"/>
          <w:lang w:val="it-IT"/>
        </w:rPr>
        <w:t xml:space="preserve"> ridurre </w:t>
      </w:r>
      <w:r w:rsidRPr="008A2FE8">
        <w:rPr>
          <w:rFonts w:ascii="Calibri Light" w:hAnsi="Calibri Light" w:cs="Calibri Light"/>
          <w:i/>
          <w:iCs/>
          <w:color w:val="000000"/>
          <w:lang w:val="it-IT"/>
        </w:rPr>
        <w:t xml:space="preserve">i diritti </w:t>
      </w:r>
      <w:r w:rsidR="00B81858">
        <w:rPr>
          <w:rFonts w:ascii="Calibri Light" w:hAnsi="Calibri Light" w:cs="Calibri Light"/>
          <w:i/>
          <w:iCs/>
          <w:color w:val="000000"/>
          <w:lang w:val="it-IT"/>
        </w:rPr>
        <w:t>alla pensione nominale</w:t>
      </w:r>
      <w:r w:rsidRPr="008A2FE8">
        <w:rPr>
          <w:rFonts w:ascii="Calibri Light" w:hAnsi="Calibri Light" w:cs="Calibri Light"/>
          <w:i/>
          <w:iCs/>
          <w:color w:val="000000"/>
          <w:lang w:val="it-IT"/>
        </w:rPr>
        <w:t>.</w:t>
      </w:r>
    </w:p>
    <w:p w14:paraId="56B295F7" w14:textId="7E2CF858" w:rsidR="006D21BB" w:rsidRPr="008A2FE8" w:rsidRDefault="009075A4">
      <w:pPr>
        <w:spacing w:after="240"/>
        <w:jc w:val="both"/>
        <w:rPr>
          <w:rFonts w:ascii="Calibri Light" w:hAnsi="Calibri Light" w:cs="Calibri Light"/>
          <w:i/>
          <w:iCs/>
          <w:lang w:val="it-IT"/>
        </w:rPr>
      </w:pPr>
      <w:r w:rsidRPr="008A2FE8">
        <w:rPr>
          <w:rFonts w:ascii="Calibri Light" w:hAnsi="Calibri Light" w:cs="Calibri Light"/>
          <w:i/>
          <w:iCs/>
          <w:lang w:val="it-IT"/>
        </w:rPr>
        <w:t>L'avvento d</w:t>
      </w:r>
      <w:r w:rsidR="00B81858">
        <w:rPr>
          <w:rFonts w:ascii="Calibri Light" w:hAnsi="Calibri Light" w:cs="Calibri Light"/>
          <w:i/>
          <w:iCs/>
          <w:lang w:val="it-IT"/>
        </w:rPr>
        <w:t xml:space="preserve">elle </w:t>
      </w:r>
      <w:r w:rsidRPr="008A2FE8">
        <w:rPr>
          <w:rFonts w:ascii="Calibri Light" w:hAnsi="Calibri Light" w:cs="Calibri Light"/>
          <w:i/>
          <w:iCs/>
          <w:lang w:val="it-IT"/>
        </w:rPr>
        <w:t>"</w:t>
      </w:r>
      <w:r w:rsidR="00B81858">
        <w:rPr>
          <w:rFonts w:ascii="Calibri Light" w:hAnsi="Calibri Light" w:cs="Calibri Light"/>
          <w:i/>
          <w:iCs/>
          <w:lang w:val="it-IT"/>
        </w:rPr>
        <w:t>pensioni coronavirus</w:t>
      </w:r>
      <w:r w:rsidRPr="008A2FE8">
        <w:rPr>
          <w:rFonts w:ascii="Calibri Light" w:hAnsi="Calibri Light" w:cs="Calibri Light"/>
          <w:i/>
          <w:iCs/>
          <w:lang w:val="it-IT"/>
        </w:rPr>
        <w:t xml:space="preserve">" è un </w:t>
      </w:r>
      <w:r w:rsidR="00B81858">
        <w:rPr>
          <w:rFonts w:ascii="Calibri Light" w:hAnsi="Calibri Light" w:cs="Calibri Light"/>
          <w:i/>
          <w:iCs/>
          <w:lang w:val="it-IT"/>
        </w:rPr>
        <w:t xml:space="preserve">nuovo </w:t>
      </w:r>
      <w:r w:rsidRPr="008A2FE8">
        <w:rPr>
          <w:rFonts w:ascii="Calibri Light" w:hAnsi="Calibri Light" w:cs="Calibri Light"/>
          <w:i/>
          <w:iCs/>
          <w:lang w:val="it-IT"/>
        </w:rPr>
        <w:t xml:space="preserve">colpo </w:t>
      </w:r>
      <w:r w:rsidR="00B81858">
        <w:rPr>
          <w:rFonts w:ascii="Calibri Light" w:hAnsi="Calibri Light" w:cs="Calibri Light"/>
          <w:i/>
          <w:iCs/>
          <w:lang w:val="it-IT"/>
        </w:rPr>
        <w:t>inferto ai</w:t>
      </w:r>
      <w:r w:rsidRPr="008A2FE8">
        <w:rPr>
          <w:rFonts w:ascii="Calibri Light" w:hAnsi="Calibri Light" w:cs="Calibri Light"/>
          <w:i/>
          <w:iCs/>
          <w:lang w:val="it-IT"/>
        </w:rPr>
        <w:t xml:space="preserve"> risparmiatori pensionistici europei. ”</w:t>
      </w:r>
    </w:p>
    <w:p w14:paraId="56B295F8" w14:textId="7883BCFD" w:rsidR="006D21BB" w:rsidRPr="008A2FE8" w:rsidRDefault="009075A4">
      <w:pPr>
        <w:spacing w:after="240"/>
        <w:jc w:val="both"/>
        <w:rPr>
          <w:rFonts w:ascii="Calibri Light" w:hAnsi="Calibri Light" w:cs="Calibri Light"/>
          <w:color w:val="000000"/>
          <w:lang w:val="it-IT"/>
        </w:rPr>
      </w:pPr>
      <w:r w:rsidRPr="008A2FE8">
        <w:rPr>
          <w:rFonts w:ascii="Calibri Light" w:hAnsi="Calibri Light" w:cs="Calibri Light"/>
          <w:color w:val="000000"/>
          <w:lang w:val="it-IT"/>
        </w:rPr>
        <w:lastRenderedPageBreak/>
        <w:t xml:space="preserve">BETTER FINANCE ha presentato 11 raccomandazioni politiche chiave per affrontare le questioni più urgenti </w:t>
      </w:r>
      <w:r w:rsidR="00965A26">
        <w:rPr>
          <w:rFonts w:ascii="Calibri Light" w:hAnsi="Calibri Light" w:cs="Calibri Light"/>
          <w:color w:val="000000"/>
          <w:lang w:val="it-IT"/>
        </w:rPr>
        <w:t xml:space="preserve">in materia di </w:t>
      </w:r>
      <w:r w:rsidRPr="008A2FE8">
        <w:rPr>
          <w:rFonts w:ascii="Calibri Light" w:hAnsi="Calibri Light" w:cs="Calibri Light"/>
          <w:color w:val="000000"/>
          <w:lang w:val="it-IT"/>
        </w:rPr>
        <w:t>pensioni private e creare un ambiente che stimoli rendimenti dec</w:t>
      </w:r>
      <w:r w:rsidR="00965A26">
        <w:rPr>
          <w:rFonts w:ascii="Calibri Light" w:hAnsi="Calibri Light" w:cs="Calibri Light"/>
          <w:color w:val="000000"/>
          <w:lang w:val="it-IT"/>
        </w:rPr>
        <w:t xml:space="preserve">orosi </w:t>
      </w:r>
      <w:r w:rsidRPr="008A2FE8">
        <w:rPr>
          <w:rFonts w:ascii="Calibri Light" w:hAnsi="Calibri Light" w:cs="Calibri Light"/>
          <w:color w:val="000000"/>
          <w:lang w:val="it-IT"/>
        </w:rPr>
        <w:t>a lungo termine. Tra queste, ribadiamo le più importanti qui di seguito:</w:t>
      </w:r>
    </w:p>
    <w:p w14:paraId="56B295F9" w14:textId="5C63ED09" w:rsidR="006D21BB" w:rsidRPr="008A2FE8" w:rsidRDefault="009075A4">
      <w:pPr>
        <w:pStyle w:val="Paragrafoelenco"/>
        <w:numPr>
          <w:ilvl w:val="0"/>
          <w:numId w:val="2"/>
        </w:numPr>
        <w:spacing w:after="200" w:line="276" w:lineRule="auto"/>
        <w:ind w:left="426"/>
        <w:jc w:val="both"/>
        <w:rPr>
          <w:rFonts w:ascii="Calibri Light" w:hAnsi="Calibri Light" w:cs="Calibri Light"/>
          <w:bCs/>
          <w:i/>
          <w:iCs/>
          <w:color w:val="0070C0"/>
          <w:lang w:val="it-IT"/>
        </w:rPr>
      </w:pPr>
      <w:r w:rsidRPr="008A2FE8">
        <w:rPr>
          <w:rFonts w:ascii="Calibri Light" w:hAnsi="Calibri Light" w:cs="Calibri Light"/>
          <w:bCs/>
          <w:i/>
          <w:iCs/>
          <w:color w:val="0070C0"/>
          <w:lang w:val="it-IT"/>
        </w:rPr>
        <w:t xml:space="preserve">Armonizzare e rafforzare le regole per limitare efficacemente i conflitti d'interesse nella distribuzione di prodotti di risparmio </w:t>
      </w:r>
      <w:r w:rsidR="00965A26">
        <w:rPr>
          <w:rFonts w:ascii="Calibri Light" w:hAnsi="Calibri Light" w:cs="Calibri Light"/>
          <w:bCs/>
          <w:i/>
          <w:iCs/>
          <w:color w:val="0070C0"/>
          <w:lang w:val="it-IT"/>
        </w:rPr>
        <w:t xml:space="preserve">pensionistici e </w:t>
      </w:r>
      <w:r w:rsidRPr="008A2FE8">
        <w:rPr>
          <w:rFonts w:ascii="Calibri Light" w:hAnsi="Calibri Light" w:cs="Calibri Light"/>
          <w:bCs/>
          <w:i/>
          <w:iCs/>
          <w:color w:val="0070C0"/>
          <w:lang w:val="it-IT"/>
        </w:rPr>
        <w:t>a lungo termine.</w:t>
      </w:r>
    </w:p>
    <w:p w14:paraId="56B295FA" w14:textId="305F3056" w:rsidR="006D21BB" w:rsidRPr="008A2FE8" w:rsidRDefault="009075A4">
      <w:pPr>
        <w:pStyle w:val="Paragrafoelenco"/>
        <w:numPr>
          <w:ilvl w:val="0"/>
          <w:numId w:val="2"/>
        </w:numPr>
        <w:spacing w:after="200" w:line="276" w:lineRule="auto"/>
        <w:ind w:left="426"/>
        <w:jc w:val="both"/>
        <w:rPr>
          <w:rFonts w:ascii="Calibri Light" w:hAnsi="Calibri Light" w:cs="Calibri Light"/>
          <w:bCs/>
          <w:i/>
          <w:iCs/>
          <w:color w:val="0070C0"/>
          <w:lang w:val="it-IT"/>
        </w:rPr>
      </w:pPr>
      <w:r w:rsidRPr="008A2FE8">
        <w:rPr>
          <w:rFonts w:ascii="Calibri Light" w:hAnsi="Calibri Light" w:cs="Calibri Light"/>
          <w:bCs/>
          <w:i/>
          <w:iCs/>
          <w:color w:val="0070C0"/>
          <w:lang w:val="it-IT"/>
        </w:rPr>
        <w:t>R</w:t>
      </w:r>
      <w:r w:rsidR="00965A26">
        <w:rPr>
          <w:rFonts w:ascii="Calibri Light" w:hAnsi="Calibri Light" w:cs="Calibri Light"/>
          <w:bCs/>
          <w:i/>
          <w:iCs/>
          <w:color w:val="0070C0"/>
          <w:lang w:val="it-IT"/>
        </w:rPr>
        <w:t xml:space="preserve">eintegrare </w:t>
      </w:r>
      <w:r w:rsidRPr="008A2FE8">
        <w:rPr>
          <w:rFonts w:ascii="Calibri Light" w:hAnsi="Calibri Light" w:cs="Calibri Light"/>
          <w:bCs/>
          <w:i/>
          <w:iCs/>
          <w:color w:val="0070C0"/>
          <w:lang w:val="it-IT"/>
        </w:rPr>
        <w:t>le informazioni standardizzate su</w:t>
      </w:r>
      <w:r w:rsidR="00965A26">
        <w:rPr>
          <w:rFonts w:ascii="Calibri Light" w:hAnsi="Calibri Light" w:cs="Calibri Light"/>
          <w:bCs/>
          <w:i/>
          <w:iCs/>
          <w:color w:val="0070C0"/>
          <w:lang w:val="it-IT"/>
        </w:rPr>
        <w:t xml:space="preserve">i risultati passati relativi e </w:t>
      </w:r>
      <w:r w:rsidRPr="008A2FE8">
        <w:rPr>
          <w:rFonts w:ascii="Calibri Light" w:hAnsi="Calibri Light" w:cs="Calibri Light"/>
          <w:bCs/>
          <w:i/>
          <w:iCs/>
          <w:color w:val="0070C0"/>
          <w:lang w:val="it-IT"/>
        </w:rPr>
        <w:t xml:space="preserve">a lungo termine per tutti i prodotti di risparmio </w:t>
      </w:r>
      <w:r w:rsidR="00965A26">
        <w:rPr>
          <w:rFonts w:ascii="Calibri Light" w:hAnsi="Calibri Light" w:cs="Calibri Light"/>
          <w:bCs/>
          <w:i/>
          <w:iCs/>
          <w:color w:val="0070C0"/>
          <w:lang w:val="it-IT"/>
        </w:rPr>
        <w:t xml:space="preserve">pensionistici e </w:t>
      </w:r>
      <w:r w:rsidRPr="008A2FE8">
        <w:rPr>
          <w:rFonts w:ascii="Calibri Light" w:hAnsi="Calibri Light" w:cs="Calibri Light"/>
          <w:bCs/>
          <w:i/>
          <w:iCs/>
          <w:color w:val="0070C0"/>
          <w:lang w:val="it-IT"/>
        </w:rPr>
        <w:t>a lungo termine.</w:t>
      </w:r>
    </w:p>
    <w:p w14:paraId="56B295FB" w14:textId="7E7C6947" w:rsidR="006D21BB" w:rsidRPr="008A2FE8" w:rsidRDefault="009075A4">
      <w:pPr>
        <w:pStyle w:val="Paragrafoelenco"/>
        <w:numPr>
          <w:ilvl w:val="0"/>
          <w:numId w:val="2"/>
        </w:numPr>
        <w:spacing w:after="200" w:line="276" w:lineRule="auto"/>
        <w:ind w:left="426"/>
        <w:jc w:val="both"/>
        <w:rPr>
          <w:rFonts w:ascii="Calibri Light" w:hAnsi="Calibri Light" w:cs="Calibri Light"/>
          <w:bCs/>
          <w:i/>
          <w:iCs/>
          <w:color w:val="0070C0"/>
          <w:lang w:val="it-IT"/>
        </w:rPr>
      </w:pPr>
      <w:r w:rsidRPr="008A2FE8">
        <w:rPr>
          <w:rFonts w:ascii="Calibri Light" w:hAnsi="Calibri Light" w:cs="Calibri Light"/>
          <w:bCs/>
          <w:i/>
          <w:iCs/>
          <w:color w:val="0070C0"/>
          <w:lang w:val="it-IT"/>
        </w:rPr>
        <w:t xml:space="preserve">Concedere un trattamento speciale attraverso </w:t>
      </w:r>
      <w:r w:rsidR="00965A26">
        <w:rPr>
          <w:rFonts w:ascii="Calibri Light" w:hAnsi="Calibri Light" w:cs="Calibri Light"/>
          <w:bCs/>
          <w:i/>
          <w:iCs/>
          <w:color w:val="0070C0"/>
          <w:lang w:val="it-IT"/>
        </w:rPr>
        <w:t>normative prudenziali</w:t>
      </w:r>
      <w:r w:rsidRPr="008A2FE8">
        <w:rPr>
          <w:rFonts w:ascii="Calibri Light" w:hAnsi="Calibri Light" w:cs="Calibri Light"/>
          <w:bCs/>
          <w:i/>
          <w:iCs/>
          <w:color w:val="0070C0"/>
          <w:lang w:val="it-IT"/>
        </w:rPr>
        <w:t xml:space="preserve"> per tutt</w:t>
      </w:r>
      <w:r w:rsidR="00965A26">
        <w:rPr>
          <w:rFonts w:ascii="Calibri Light" w:hAnsi="Calibri Light" w:cs="Calibri Light"/>
          <w:bCs/>
          <w:i/>
          <w:iCs/>
          <w:color w:val="0070C0"/>
          <w:lang w:val="it-IT"/>
        </w:rPr>
        <w:t xml:space="preserve">e le passività </w:t>
      </w:r>
      <w:r w:rsidRPr="008A2FE8">
        <w:rPr>
          <w:rFonts w:ascii="Calibri Light" w:hAnsi="Calibri Light" w:cs="Calibri Light"/>
          <w:bCs/>
          <w:i/>
          <w:iCs/>
          <w:color w:val="0070C0"/>
          <w:lang w:val="it-IT"/>
        </w:rPr>
        <w:t>a lungo termine e pensioni</w:t>
      </w:r>
      <w:r w:rsidR="00965A26">
        <w:rPr>
          <w:rFonts w:ascii="Calibri Light" w:hAnsi="Calibri Light" w:cs="Calibri Light"/>
          <w:bCs/>
          <w:i/>
          <w:iCs/>
          <w:color w:val="0070C0"/>
          <w:lang w:val="it-IT"/>
        </w:rPr>
        <w:t>stiche</w:t>
      </w:r>
      <w:r w:rsidRPr="008A2FE8">
        <w:rPr>
          <w:rFonts w:ascii="Calibri Light" w:hAnsi="Calibri Light" w:cs="Calibri Light"/>
          <w:bCs/>
          <w:i/>
          <w:iCs/>
          <w:color w:val="0070C0"/>
          <w:lang w:val="it-IT"/>
        </w:rPr>
        <w:t xml:space="preserve"> (eliminare la distorsione del debito).</w:t>
      </w:r>
    </w:p>
    <w:p w14:paraId="56B295FC" w14:textId="43CC2D91" w:rsidR="006D21BB" w:rsidRPr="008A2FE8" w:rsidRDefault="009075A4">
      <w:pPr>
        <w:pStyle w:val="Paragrafoelenco"/>
        <w:numPr>
          <w:ilvl w:val="0"/>
          <w:numId w:val="2"/>
        </w:numPr>
        <w:spacing w:after="200" w:line="276" w:lineRule="auto"/>
        <w:ind w:left="426"/>
        <w:jc w:val="both"/>
        <w:rPr>
          <w:rFonts w:ascii="Calibri Light" w:hAnsi="Calibri Light" w:cs="Calibri Light"/>
          <w:bCs/>
          <w:i/>
          <w:iCs/>
          <w:color w:val="0070C0"/>
          <w:lang w:val="it-IT"/>
        </w:rPr>
      </w:pPr>
      <w:r w:rsidRPr="008A2FE8">
        <w:rPr>
          <w:rFonts w:ascii="Calibri Light" w:hAnsi="Calibri Light" w:cs="Calibri Light"/>
          <w:bCs/>
          <w:i/>
          <w:iCs/>
          <w:color w:val="0070C0"/>
          <w:lang w:val="it-IT"/>
        </w:rPr>
        <w:t xml:space="preserve">Semplificare il "PEPP di base" e consentire investimenti diretti nei mercati dei capitali (azioni </w:t>
      </w:r>
      <w:r w:rsidR="00750E23">
        <w:rPr>
          <w:rFonts w:ascii="Calibri Light" w:hAnsi="Calibri Light" w:cs="Calibri Light"/>
          <w:bCs/>
          <w:i/>
          <w:iCs/>
          <w:color w:val="0070C0"/>
          <w:lang w:val="it-IT"/>
        </w:rPr>
        <w:t>‘</w:t>
      </w:r>
      <w:proofErr w:type="spellStart"/>
      <w:r w:rsidRPr="008A2FE8">
        <w:rPr>
          <w:rFonts w:ascii="Calibri Light" w:hAnsi="Calibri Light" w:cs="Calibri Light"/>
          <w:bCs/>
          <w:i/>
          <w:iCs/>
          <w:color w:val="0070C0"/>
          <w:lang w:val="it-IT"/>
        </w:rPr>
        <w:t>plain</w:t>
      </w:r>
      <w:proofErr w:type="spellEnd"/>
      <w:r w:rsidRPr="008A2FE8">
        <w:rPr>
          <w:rFonts w:ascii="Calibri Light" w:hAnsi="Calibri Light" w:cs="Calibri Light"/>
          <w:bCs/>
          <w:i/>
          <w:iCs/>
          <w:color w:val="0070C0"/>
          <w:lang w:val="it-IT"/>
        </w:rPr>
        <w:t xml:space="preserve"> </w:t>
      </w:r>
      <w:proofErr w:type="spellStart"/>
      <w:r w:rsidRPr="008A2FE8">
        <w:rPr>
          <w:rFonts w:ascii="Calibri Light" w:hAnsi="Calibri Light" w:cs="Calibri Light"/>
          <w:bCs/>
          <w:i/>
          <w:iCs/>
          <w:color w:val="0070C0"/>
          <w:lang w:val="it-IT"/>
        </w:rPr>
        <w:t>vanilla</w:t>
      </w:r>
      <w:proofErr w:type="spellEnd"/>
      <w:r w:rsidR="00750E23">
        <w:rPr>
          <w:rFonts w:ascii="Calibri Light" w:hAnsi="Calibri Light" w:cs="Calibri Light"/>
          <w:bCs/>
          <w:i/>
          <w:iCs/>
          <w:color w:val="0070C0"/>
          <w:lang w:val="it-IT"/>
        </w:rPr>
        <w:t>’</w:t>
      </w:r>
      <w:r w:rsidRPr="008A2FE8">
        <w:rPr>
          <w:rFonts w:ascii="Calibri Light" w:hAnsi="Calibri Light" w:cs="Calibri Light"/>
          <w:bCs/>
          <w:i/>
          <w:iCs/>
          <w:color w:val="0070C0"/>
          <w:lang w:val="it-IT"/>
        </w:rPr>
        <w:t>, obbligazion</w:t>
      </w:r>
      <w:r w:rsidR="00750E23">
        <w:rPr>
          <w:rFonts w:ascii="Calibri Light" w:hAnsi="Calibri Light" w:cs="Calibri Light"/>
          <w:bCs/>
          <w:i/>
          <w:iCs/>
          <w:color w:val="0070C0"/>
          <w:lang w:val="it-IT"/>
        </w:rPr>
        <w:t xml:space="preserve">i </w:t>
      </w:r>
      <w:r w:rsidRPr="008A2FE8">
        <w:rPr>
          <w:rFonts w:ascii="Calibri Light" w:hAnsi="Calibri Light" w:cs="Calibri Light"/>
          <w:bCs/>
          <w:i/>
          <w:iCs/>
          <w:color w:val="0070C0"/>
          <w:lang w:val="it-IT"/>
        </w:rPr>
        <w:t>ETF</w:t>
      </w:r>
      <w:r w:rsidR="00750E23">
        <w:rPr>
          <w:rFonts w:ascii="Calibri Light" w:hAnsi="Calibri Light" w:cs="Calibri Light"/>
          <w:bCs/>
          <w:i/>
          <w:iCs/>
          <w:color w:val="0070C0"/>
          <w:lang w:val="it-IT"/>
        </w:rPr>
        <w:t xml:space="preserve"> indicizzati</w:t>
      </w:r>
      <w:r w:rsidRPr="008A2FE8">
        <w:rPr>
          <w:rFonts w:ascii="Calibri Light" w:hAnsi="Calibri Light" w:cs="Calibri Light"/>
          <w:bCs/>
          <w:i/>
          <w:iCs/>
          <w:color w:val="0070C0"/>
          <w:lang w:val="it-IT"/>
        </w:rPr>
        <w:t xml:space="preserve">) per i risparmiatori </w:t>
      </w:r>
      <w:r w:rsidR="00750E23">
        <w:rPr>
          <w:rFonts w:ascii="Calibri Light" w:hAnsi="Calibri Light" w:cs="Calibri Light"/>
          <w:bCs/>
          <w:i/>
          <w:iCs/>
          <w:color w:val="0070C0"/>
          <w:lang w:val="it-IT"/>
        </w:rPr>
        <w:t xml:space="preserve">di prodotti </w:t>
      </w:r>
      <w:r w:rsidRPr="008A2FE8">
        <w:rPr>
          <w:rFonts w:ascii="Calibri Light" w:hAnsi="Calibri Light" w:cs="Calibri Light"/>
          <w:bCs/>
          <w:i/>
          <w:iCs/>
          <w:color w:val="0070C0"/>
          <w:lang w:val="it-IT"/>
        </w:rPr>
        <w:t>PEPP.</w:t>
      </w:r>
    </w:p>
    <w:p w14:paraId="56B295FD" w14:textId="40ACC6B3" w:rsidR="006D21BB" w:rsidRPr="008A2FE8" w:rsidRDefault="009075A4">
      <w:pPr>
        <w:pStyle w:val="Paragrafoelenco"/>
        <w:numPr>
          <w:ilvl w:val="0"/>
          <w:numId w:val="2"/>
        </w:numPr>
        <w:spacing w:after="200" w:line="276" w:lineRule="auto"/>
        <w:ind w:left="426"/>
        <w:jc w:val="both"/>
        <w:rPr>
          <w:rFonts w:ascii="Calibri Light" w:hAnsi="Calibri Light" w:cs="Calibri Light"/>
          <w:bCs/>
          <w:i/>
          <w:iCs/>
          <w:color w:val="0070C0"/>
          <w:lang w:val="it-IT"/>
        </w:rPr>
      </w:pPr>
      <w:r w:rsidRPr="008A2FE8">
        <w:rPr>
          <w:rFonts w:ascii="Calibri Light" w:hAnsi="Calibri Light" w:cs="Calibri Light"/>
          <w:bCs/>
          <w:i/>
          <w:iCs/>
          <w:color w:val="0070C0"/>
          <w:lang w:val="it-IT"/>
        </w:rPr>
        <w:t>Imporre con urgenza sistemi di garanzia assicurativa armonizzati e completi in tutta l'UE, poiché la maggior parte de</w:t>
      </w:r>
      <w:r w:rsidR="00750E23">
        <w:rPr>
          <w:rFonts w:ascii="Calibri Light" w:hAnsi="Calibri Light" w:cs="Calibri Light"/>
          <w:bCs/>
          <w:i/>
          <w:iCs/>
          <w:color w:val="0070C0"/>
          <w:lang w:val="it-IT"/>
        </w:rPr>
        <w:t xml:space="preserve">i prodotti pensionistici individuali </w:t>
      </w:r>
      <w:r w:rsidRPr="008A2FE8">
        <w:rPr>
          <w:rFonts w:ascii="Calibri Light" w:hAnsi="Calibri Light" w:cs="Calibri Light"/>
          <w:bCs/>
          <w:i/>
          <w:iCs/>
          <w:color w:val="0070C0"/>
          <w:lang w:val="it-IT"/>
        </w:rPr>
        <w:t>è regolamentata</w:t>
      </w:r>
      <w:r w:rsidR="00750E23">
        <w:rPr>
          <w:rFonts w:ascii="Calibri Light" w:hAnsi="Calibri Light" w:cs="Calibri Light"/>
          <w:bCs/>
          <w:i/>
          <w:iCs/>
          <w:color w:val="0070C0"/>
          <w:lang w:val="it-IT"/>
        </w:rPr>
        <w:t xml:space="preserve"> e di tipo assicurativo</w:t>
      </w:r>
      <w:r w:rsidRPr="008A2FE8">
        <w:rPr>
          <w:rFonts w:ascii="Calibri Light" w:hAnsi="Calibri Light" w:cs="Calibri Light"/>
          <w:bCs/>
          <w:i/>
          <w:iCs/>
          <w:color w:val="0070C0"/>
          <w:lang w:val="it-IT"/>
        </w:rPr>
        <w:t>.</w:t>
      </w:r>
    </w:p>
    <w:p w14:paraId="56B295FE" w14:textId="77777777" w:rsidR="006D21BB" w:rsidRPr="008A2FE8" w:rsidRDefault="006D21BB">
      <w:pPr>
        <w:pStyle w:val="Paragrafoelenco"/>
        <w:spacing w:line="276" w:lineRule="auto"/>
        <w:ind w:left="357"/>
        <w:jc w:val="both"/>
        <w:rPr>
          <w:rFonts w:ascii="Calibri Light" w:hAnsi="Calibri Light" w:cs="Calibri Light"/>
          <w:bCs/>
          <w:i/>
          <w:iCs/>
          <w:color w:val="0070C0"/>
          <w:lang w:val="it-IT"/>
        </w:rPr>
      </w:pPr>
    </w:p>
    <w:p w14:paraId="56B295FF" w14:textId="77777777" w:rsidR="006D21BB" w:rsidRPr="008A2FE8" w:rsidRDefault="009075A4">
      <w:pPr>
        <w:spacing w:after="0"/>
        <w:jc w:val="both"/>
        <w:rPr>
          <w:rFonts w:ascii="Calibri Light" w:hAnsi="Calibri Light" w:cs="Calibri Light"/>
          <w:color w:val="000000"/>
          <w:lang w:val="it-IT"/>
        </w:rPr>
      </w:pPr>
      <w:r w:rsidRPr="008A2FE8">
        <w:rPr>
          <w:rFonts w:ascii="Calibri Light" w:hAnsi="Calibri Light" w:cs="Calibri Light"/>
          <w:color w:val="000000"/>
          <w:lang w:val="it-IT"/>
        </w:rPr>
        <w:t>Ulteriori informazioni:</w:t>
      </w:r>
    </w:p>
    <w:p w14:paraId="56B29600" w14:textId="77777777" w:rsidR="006D21BB" w:rsidRPr="008A2FE8" w:rsidRDefault="006D21BB">
      <w:pPr>
        <w:spacing w:after="0"/>
        <w:jc w:val="both"/>
        <w:rPr>
          <w:rFonts w:ascii="Calibri Light" w:hAnsi="Calibri Light" w:cs="Calibri Light"/>
          <w:color w:val="000000"/>
          <w:sz w:val="20"/>
          <w:szCs w:val="20"/>
          <w:lang w:val="it-IT"/>
        </w:rPr>
      </w:pPr>
    </w:p>
    <w:p w14:paraId="56B29601" w14:textId="6402AEB7" w:rsidR="006D21BB" w:rsidRPr="008A2FE8" w:rsidRDefault="00750E23">
      <w:pPr>
        <w:pStyle w:val="Paragrafoelenco"/>
        <w:numPr>
          <w:ilvl w:val="0"/>
          <w:numId w:val="3"/>
        </w:numPr>
        <w:jc w:val="both"/>
        <w:rPr>
          <w:lang w:val="it-IT"/>
        </w:rPr>
      </w:pPr>
      <w:r>
        <w:rPr>
          <w:rFonts w:ascii="Calibri Light" w:hAnsi="Calibri Light" w:cs="Calibri Light"/>
          <w:color w:val="000000"/>
          <w:lang w:val="it-IT"/>
        </w:rPr>
        <w:t xml:space="preserve">Download del </w:t>
      </w:r>
      <w:hyperlink r:id="rId11" w:history="1">
        <w:r>
          <w:rPr>
            <w:rStyle w:val="Collegamentoipertestuale"/>
            <w:rFonts w:ascii="Calibri Light" w:hAnsi="Calibri Light" w:cs="Calibri Light"/>
            <w:lang w:val="it-IT"/>
          </w:rPr>
          <w:t>Rapporto integrale 2020</w:t>
        </w:r>
      </w:hyperlink>
      <w:r>
        <w:rPr>
          <w:rFonts w:ascii="Calibri Light" w:hAnsi="Calibri Light" w:cs="Calibri Light"/>
          <w:color w:val="000000"/>
          <w:lang w:val="it-IT"/>
        </w:rPr>
        <w:t xml:space="preserve"> da</w:t>
      </w:r>
      <w:r w:rsidR="009075A4" w:rsidRPr="008A2FE8">
        <w:rPr>
          <w:rFonts w:ascii="Calibri Light" w:hAnsi="Calibri Light" w:cs="Calibri Light"/>
          <w:color w:val="000000"/>
          <w:lang w:val="it-IT"/>
        </w:rPr>
        <w:t xml:space="preserve">l sito web di BETTER FINANCE. </w:t>
      </w:r>
    </w:p>
    <w:p w14:paraId="56B29602" w14:textId="4810E895" w:rsidR="006D21BB" w:rsidRPr="008A2FE8" w:rsidRDefault="009075A4">
      <w:pPr>
        <w:pStyle w:val="Paragrafoelenco"/>
        <w:numPr>
          <w:ilvl w:val="0"/>
          <w:numId w:val="3"/>
        </w:numPr>
        <w:jc w:val="both"/>
        <w:rPr>
          <w:lang w:val="it-IT"/>
        </w:rPr>
      </w:pPr>
      <w:r w:rsidRPr="008A2FE8">
        <w:rPr>
          <w:rFonts w:ascii="Calibri Light" w:hAnsi="Calibri Light" w:cs="Calibri Light"/>
          <w:color w:val="000000"/>
          <w:lang w:val="it-IT"/>
        </w:rPr>
        <w:t>BETTER FINANCE ha creato una versione semplificata del Rapporto sulle pensioni (</w:t>
      </w:r>
      <w:hyperlink r:id="rId12" w:history="1">
        <w:r w:rsidR="00750E23">
          <w:rPr>
            <w:rStyle w:val="Collegamentoipertestuale"/>
            <w:rFonts w:ascii="Calibri Light" w:hAnsi="Calibri Light" w:cs="Calibri Light"/>
            <w:lang w:val="it-IT"/>
          </w:rPr>
          <w:t>Opuscolo</w:t>
        </w:r>
      </w:hyperlink>
      <w:r w:rsidRPr="008A2FE8">
        <w:rPr>
          <w:rFonts w:ascii="Calibri Light" w:hAnsi="Calibri Light" w:cs="Calibri Light"/>
          <w:color w:val="000000"/>
          <w:lang w:val="it-IT"/>
        </w:rPr>
        <w:t>)</w:t>
      </w:r>
      <w:r w:rsidR="00750E23">
        <w:rPr>
          <w:rFonts w:ascii="Calibri Light" w:hAnsi="Calibri Light" w:cs="Calibri Light"/>
          <w:color w:val="000000"/>
          <w:lang w:val="it-IT"/>
        </w:rPr>
        <w:t>.</w:t>
      </w:r>
    </w:p>
    <w:p w14:paraId="56B29603" w14:textId="3E9E0654" w:rsidR="006D21BB" w:rsidRPr="008A2FE8" w:rsidRDefault="009075A4">
      <w:pPr>
        <w:pStyle w:val="Paragrafoelenco"/>
        <w:numPr>
          <w:ilvl w:val="0"/>
          <w:numId w:val="3"/>
        </w:numPr>
        <w:spacing w:after="120"/>
        <w:jc w:val="both"/>
        <w:rPr>
          <w:lang w:val="it-IT"/>
        </w:rPr>
      </w:pPr>
      <w:r w:rsidRPr="008A2FE8">
        <w:rPr>
          <w:rFonts w:ascii="Calibri Light" w:hAnsi="Calibri Light" w:cs="Calibri Light"/>
          <w:color w:val="000000"/>
          <w:lang w:val="it-IT"/>
        </w:rPr>
        <w:t xml:space="preserve">BETTER FINANCE ha digitalizzato </w:t>
      </w:r>
      <w:r w:rsidR="00750E23">
        <w:rPr>
          <w:rFonts w:ascii="Calibri Light" w:hAnsi="Calibri Light" w:cs="Calibri Light"/>
          <w:color w:val="000000"/>
          <w:lang w:val="it-IT"/>
        </w:rPr>
        <w:t xml:space="preserve">i rendimenti </w:t>
      </w:r>
      <w:r w:rsidRPr="008A2FE8">
        <w:rPr>
          <w:rFonts w:ascii="Calibri Light" w:hAnsi="Calibri Light" w:cs="Calibri Light"/>
          <w:color w:val="000000"/>
          <w:lang w:val="it-IT"/>
        </w:rPr>
        <w:t xml:space="preserve">nominali e reali di tutti i prodotti previdenziali oggetto del Rapporto </w:t>
      </w:r>
      <w:hyperlink r:id="rId13" w:history="1">
        <w:r w:rsidR="00750E23">
          <w:rPr>
            <w:rStyle w:val="Collegamentoipertestuale"/>
            <w:rFonts w:ascii="Calibri Light" w:hAnsi="Calibri Light" w:cs="Calibri Light"/>
            <w:lang w:val="it-IT"/>
          </w:rPr>
          <w:t>su un'intuitiva interfaccia online</w:t>
        </w:r>
      </w:hyperlink>
      <w:r w:rsidRPr="008A2FE8">
        <w:rPr>
          <w:rFonts w:ascii="Calibri Light" w:hAnsi="Calibri Light" w:cs="Calibri Light"/>
          <w:color w:val="000000"/>
          <w:lang w:val="it-IT"/>
        </w:rPr>
        <w:t xml:space="preserve">. </w:t>
      </w:r>
    </w:p>
    <w:p w14:paraId="56B29604" w14:textId="77777777" w:rsidR="006D21BB" w:rsidRPr="008A2FE8" w:rsidRDefault="006D21BB">
      <w:pPr>
        <w:spacing w:after="120" w:line="240" w:lineRule="auto"/>
        <w:jc w:val="center"/>
        <w:rPr>
          <w:rFonts w:ascii="Calibri Light" w:hAnsi="Calibri Light" w:cs="Calibri Light"/>
          <w:lang w:val="it-IT"/>
        </w:rPr>
      </w:pPr>
    </w:p>
    <w:p w14:paraId="56B29605" w14:textId="77777777" w:rsidR="006D21BB" w:rsidRPr="008A2FE8" w:rsidRDefault="009075A4">
      <w:pPr>
        <w:spacing w:after="120" w:line="240" w:lineRule="auto"/>
        <w:jc w:val="center"/>
        <w:rPr>
          <w:rFonts w:ascii="Calibri Light" w:hAnsi="Calibri Light" w:cs="Calibri Light"/>
          <w:lang w:val="it-IT"/>
        </w:rPr>
      </w:pPr>
      <w:r w:rsidRPr="008A2FE8">
        <w:rPr>
          <w:rFonts w:ascii="Calibri Light" w:hAnsi="Calibri Light" w:cs="Calibri Light"/>
          <w:lang w:val="it-IT"/>
        </w:rPr>
        <w:t>***</w:t>
      </w:r>
    </w:p>
    <w:p w14:paraId="56B29606" w14:textId="77777777" w:rsidR="006D21BB" w:rsidRPr="008A2FE8" w:rsidRDefault="009075A4">
      <w:pPr>
        <w:pStyle w:val="Corpotesto"/>
        <w:spacing w:after="0" w:line="240" w:lineRule="auto"/>
        <w:jc w:val="center"/>
        <w:rPr>
          <w:lang w:val="it-IT"/>
        </w:rPr>
      </w:pPr>
      <w:r w:rsidRPr="008A2FE8">
        <w:rPr>
          <w:rFonts w:ascii="Calibri Light" w:hAnsi="Calibri Light" w:cs="Calibri Light"/>
          <w:sz w:val="18"/>
          <w:szCs w:val="18"/>
          <w:u w:val="single"/>
          <w:lang w:val="it-IT"/>
        </w:rPr>
        <w:t>Contatto</w:t>
      </w:r>
      <w:r w:rsidRPr="008A2FE8">
        <w:rPr>
          <w:rFonts w:ascii="Calibri Light" w:hAnsi="Calibri Light" w:cs="Calibri Light"/>
          <w:sz w:val="18"/>
          <w:szCs w:val="18"/>
          <w:lang w:val="it-IT"/>
        </w:rPr>
        <w:t xml:space="preserve">: Direttore delle comunicazioni ǀ </w:t>
      </w:r>
      <w:proofErr w:type="spellStart"/>
      <w:r w:rsidRPr="008A2FE8">
        <w:rPr>
          <w:rFonts w:ascii="Calibri Light" w:hAnsi="Calibri Light" w:cs="Calibri Light"/>
          <w:sz w:val="18"/>
          <w:szCs w:val="18"/>
          <w:lang w:val="it-IT"/>
        </w:rPr>
        <w:t>Arnaud</w:t>
      </w:r>
      <w:proofErr w:type="spellEnd"/>
      <w:r w:rsidRPr="008A2FE8">
        <w:rPr>
          <w:rFonts w:ascii="Calibri Light" w:hAnsi="Calibri Light" w:cs="Calibri Light"/>
          <w:sz w:val="18"/>
          <w:szCs w:val="18"/>
          <w:lang w:val="it-IT"/>
        </w:rPr>
        <w:t xml:space="preserve"> </w:t>
      </w:r>
      <w:proofErr w:type="spellStart"/>
      <w:r w:rsidRPr="008A2FE8">
        <w:rPr>
          <w:rFonts w:ascii="Calibri Light" w:hAnsi="Calibri Light" w:cs="Calibri Light"/>
          <w:sz w:val="18"/>
          <w:szCs w:val="18"/>
          <w:lang w:val="it-IT"/>
        </w:rPr>
        <w:t>Houdmont</w:t>
      </w:r>
      <w:proofErr w:type="spellEnd"/>
      <w:r w:rsidRPr="008A2FE8">
        <w:rPr>
          <w:rFonts w:ascii="Calibri Light" w:hAnsi="Calibri Light" w:cs="Calibri Light"/>
          <w:sz w:val="18"/>
          <w:szCs w:val="18"/>
          <w:lang w:val="it-IT"/>
        </w:rPr>
        <w:t xml:space="preserve"> ǀ +32 (0)2 514 37 77 ǀ </w:t>
      </w:r>
      <w:hyperlink r:id="rId14" w:history="1">
        <w:r w:rsidRPr="008A2FE8">
          <w:rPr>
            <w:rStyle w:val="Collegamentoipertestuale"/>
            <w:rFonts w:ascii="Calibri Light" w:hAnsi="Calibri Light" w:cs="Calibri Light"/>
            <w:sz w:val="18"/>
            <w:szCs w:val="18"/>
            <w:lang w:val="it-IT"/>
          </w:rPr>
          <w:t>houdmont@betterfinance.eu</w:t>
        </w:r>
      </w:hyperlink>
    </w:p>
    <w:p w14:paraId="56B29607" w14:textId="77777777" w:rsidR="006D21BB" w:rsidRPr="008A2FE8" w:rsidRDefault="006D21BB">
      <w:pPr>
        <w:pStyle w:val="Corpotesto"/>
        <w:spacing w:after="0" w:line="240" w:lineRule="auto"/>
        <w:jc w:val="center"/>
        <w:rPr>
          <w:lang w:val="it-IT"/>
        </w:rPr>
      </w:pPr>
    </w:p>
    <w:p w14:paraId="56B29608" w14:textId="77777777" w:rsidR="006D21BB" w:rsidRPr="008A2FE8" w:rsidRDefault="006D21BB">
      <w:pPr>
        <w:pStyle w:val="Corpotesto"/>
        <w:spacing w:after="0" w:line="240" w:lineRule="auto"/>
        <w:jc w:val="center"/>
        <w:rPr>
          <w:lang w:val="it-IT"/>
        </w:rPr>
      </w:pPr>
    </w:p>
    <w:p w14:paraId="56B29609" w14:textId="77777777" w:rsidR="006D21BB" w:rsidRPr="008A2FE8" w:rsidRDefault="006D21BB">
      <w:pPr>
        <w:pStyle w:val="Titolo2"/>
        <w:jc w:val="both"/>
        <w:rPr>
          <w:rFonts w:eastAsia="Calibri"/>
          <w:b/>
          <w:color w:val="365F91"/>
          <w:spacing w:val="20"/>
          <w:kern w:val="3"/>
          <w:sz w:val="28"/>
          <w:szCs w:val="28"/>
          <w:u w:val="single"/>
          <w:lang w:val="it-IT"/>
        </w:rPr>
      </w:pPr>
    </w:p>
    <w:p w14:paraId="56B2960A" w14:textId="6ED8E0CC" w:rsidR="006D21BB" w:rsidRPr="008A2FE8" w:rsidRDefault="009075A4">
      <w:pPr>
        <w:pStyle w:val="Titolo2"/>
        <w:jc w:val="both"/>
        <w:rPr>
          <w:lang w:val="it-IT"/>
        </w:rPr>
      </w:pPr>
      <w:r w:rsidRPr="008A2FE8">
        <w:rPr>
          <w:rFonts w:eastAsia="Calibri"/>
          <w:b/>
          <w:color w:val="365F91"/>
          <w:spacing w:val="20"/>
          <w:kern w:val="3"/>
          <w:sz w:val="28"/>
          <w:szCs w:val="28"/>
          <w:u w:val="single"/>
          <w:lang w:val="it-IT"/>
        </w:rPr>
        <w:t>Allegato</w:t>
      </w:r>
      <w:r w:rsidRPr="008A2FE8">
        <w:rPr>
          <w:rFonts w:eastAsia="Calibri"/>
          <w:b/>
          <w:color w:val="365F91"/>
          <w:spacing w:val="20"/>
          <w:kern w:val="3"/>
          <w:sz w:val="28"/>
          <w:szCs w:val="28"/>
          <w:lang w:val="it-IT"/>
        </w:rPr>
        <w:t xml:space="preserve">: </w:t>
      </w:r>
      <w:r w:rsidR="00750E23">
        <w:rPr>
          <w:rFonts w:eastAsia="Calibri"/>
          <w:b/>
          <w:color w:val="365F91"/>
          <w:spacing w:val="20"/>
          <w:kern w:val="3"/>
          <w:sz w:val="28"/>
          <w:szCs w:val="28"/>
          <w:lang w:val="it-IT"/>
        </w:rPr>
        <w:t>R</w:t>
      </w:r>
      <w:r w:rsidRPr="008A2FE8">
        <w:rPr>
          <w:rFonts w:eastAsia="Calibri"/>
          <w:b/>
          <w:color w:val="365F91"/>
          <w:spacing w:val="20"/>
          <w:kern w:val="3"/>
          <w:sz w:val="28"/>
          <w:szCs w:val="28"/>
          <w:lang w:val="it-IT"/>
        </w:rPr>
        <w:t>endiment</w:t>
      </w:r>
      <w:r w:rsidR="00750E23">
        <w:rPr>
          <w:rFonts w:eastAsia="Calibri"/>
          <w:b/>
          <w:color w:val="365F91"/>
          <w:spacing w:val="20"/>
          <w:kern w:val="3"/>
          <w:sz w:val="28"/>
          <w:szCs w:val="28"/>
          <w:lang w:val="it-IT"/>
        </w:rPr>
        <w:t>i netti reali annualizzati</w:t>
      </w:r>
      <w:r w:rsidRPr="008A2FE8">
        <w:rPr>
          <w:rFonts w:eastAsia="Calibri"/>
          <w:b/>
          <w:color w:val="365F91"/>
          <w:spacing w:val="20"/>
          <w:kern w:val="3"/>
          <w:sz w:val="28"/>
          <w:szCs w:val="28"/>
          <w:lang w:val="it-IT"/>
        </w:rPr>
        <w:t xml:space="preserve"> del risparmio p</w:t>
      </w:r>
      <w:r w:rsidR="00750E23">
        <w:rPr>
          <w:rFonts w:eastAsia="Calibri"/>
          <w:b/>
          <w:color w:val="365F91"/>
          <w:spacing w:val="20"/>
          <w:kern w:val="3"/>
          <w:sz w:val="28"/>
          <w:szCs w:val="28"/>
          <w:lang w:val="it-IT"/>
        </w:rPr>
        <w:t>ensionistico</w:t>
      </w:r>
      <w:r w:rsidRPr="008A2FE8">
        <w:rPr>
          <w:rFonts w:eastAsia="Calibri"/>
          <w:b/>
          <w:color w:val="365F91"/>
          <w:spacing w:val="20"/>
          <w:kern w:val="3"/>
          <w:sz w:val="28"/>
          <w:szCs w:val="28"/>
          <w:lang w:val="it-IT"/>
        </w:rPr>
        <w:t xml:space="preserve"> - </w:t>
      </w:r>
      <w:r w:rsidRPr="008A2FE8">
        <w:rPr>
          <w:rFonts w:eastAsia="Calibri"/>
          <w:b/>
          <w:color w:val="365F91"/>
          <w:spacing w:val="20"/>
          <w:kern w:val="3"/>
          <w:sz w:val="28"/>
          <w:szCs w:val="28"/>
          <w:u w:val="single"/>
          <w:lang w:val="it-IT"/>
        </w:rPr>
        <w:t>Vedi pagina seguente</w:t>
      </w:r>
    </w:p>
    <w:p w14:paraId="56B2960B" w14:textId="77777777" w:rsidR="006D21BB" w:rsidRPr="008A2FE8" w:rsidRDefault="006D21BB">
      <w:pPr>
        <w:rPr>
          <w:lang w:val="it-IT"/>
        </w:rPr>
      </w:pPr>
    </w:p>
    <w:p w14:paraId="56B2960C" w14:textId="77777777" w:rsidR="006D21BB" w:rsidRPr="008A2FE8" w:rsidRDefault="009075A4">
      <w:pPr>
        <w:rPr>
          <w:lang w:val="it-IT"/>
        </w:rPr>
        <w:sectPr w:rsidR="006D21BB" w:rsidRPr="008A2FE8">
          <w:headerReference w:type="default" r:id="rId15"/>
          <w:footerReference w:type="default" r:id="rId16"/>
          <w:pgSz w:w="11906" w:h="16838"/>
          <w:pgMar w:top="1417" w:right="1417" w:bottom="1417" w:left="1417" w:header="708" w:footer="708" w:gutter="0"/>
          <w:cols w:space="720"/>
        </w:sectPr>
      </w:pPr>
      <w:r w:rsidRPr="008A2FE8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B295F1" wp14:editId="56B295F2">
                <wp:simplePos x="0" y="0"/>
                <wp:positionH relativeFrom="column">
                  <wp:posOffset>490859</wp:posOffset>
                </wp:positionH>
                <wp:positionV relativeFrom="paragraph">
                  <wp:posOffset>5715</wp:posOffset>
                </wp:positionV>
                <wp:extent cx="190496" cy="333371"/>
                <wp:effectExtent l="19050" t="0" r="19054" b="28579"/>
                <wp:wrapNone/>
                <wp:docPr id="6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96" cy="333371"/>
                        </a:xfrm>
                        <a:custGeom>
                          <a:avLst>
                            <a:gd name="f0" fmla="val 15429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pin 0 f1 10800"/>
                            <a:gd name="f15" fmla="pin 0 f0 21600"/>
                            <a:gd name="f16" fmla="*/ f10 f2 1"/>
                            <a:gd name="f17" fmla="*/ f11 f2 1"/>
                            <a:gd name="f18" fmla="val f14"/>
                            <a:gd name="f19" fmla="val f15"/>
                            <a:gd name="f20" fmla="+- 21600 0 f14"/>
                            <a:gd name="f21" fmla="*/ f14 f12 1"/>
                            <a:gd name="f22" fmla="*/ f15 f13 1"/>
                            <a:gd name="f23" fmla="*/ 0 f13 1"/>
                            <a:gd name="f24" fmla="*/ 0 f12 1"/>
                            <a:gd name="f25" fmla="*/ f16 1 f4"/>
                            <a:gd name="f26" fmla="*/ 21600 f12 1"/>
                            <a:gd name="f27" fmla="*/ f17 1 f4"/>
                            <a:gd name="f28" fmla="+- 21600 0 f19"/>
                            <a:gd name="f29" fmla="*/ f18 f12 1"/>
                            <a:gd name="f30" fmla="*/ f20 f12 1"/>
                            <a:gd name="f31" fmla="*/ f19 f13 1"/>
                            <a:gd name="f32" fmla="+- f25 0 f3"/>
                            <a:gd name="f33" fmla="+- f27 0 f3"/>
                            <a:gd name="f34" fmla="*/ f28 f18 1"/>
                            <a:gd name="f35" fmla="*/ f34 1 10800"/>
                            <a:gd name="f36" fmla="+- f19 f35 0"/>
                            <a:gd name="f37" fmla="*/ f36 f13 1"/>
                          </a:gdLst>
                          <a:ahLst>
                            <a:ahXY gdRefX="f1" minX="f7" maxX="f9" gdRefY="f0" minY="f7" maxY="f8">
                              <a:pos x="f21" y="f2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24" y="f31"/>
                            </a:cxn>
                            <a:cxn ang="f33">
                              <a:pos x="f26" y="f31"/>
                            </a:cxn>
                          </a:cxnLst>
                          <a:rect l="f29" t="f23" r="f30" b="f37"/>
                          <a:pathLst>
                            <a:path w="21600" h="21600">
                              <a:moveTo>
                                <a:pt x="f18" y="f7"/>
                              </a:moveTo>
                              <a:lnTo>
                                <a:pt x="f18" y="f19"/>
                              </a:lnTo>
                              <a:lnTo>
                                <a:pt x="f7" y="f19"/>
                              </a:lnTo>
                              <a:lnTo>
                                <a:pt x="f9" y="f8"/>
                              </a:lnTo>
                              <a:lnTo>
                                <a:pt x="f8" y="f19"/>
                              </a:lnTo>
                              <a:lnTo>
                                <a:pt x="f20" y="f19"/>
                              </a:lnTo>
                              <a:lnTo>
                                <a:pt x="f20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22B2B4E" id="Arrow: Down 5" o:spid="_x0000_s1026" style="position:absolute;margin-left:38.65pt;margin-top:.45pt;width:15pt;height:26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" path="m5400,r,15429l,15429r10800,6171l21600,15429r-5400,l16200,,5400,xe" fillcolor="#4472c4" strokecolor="#2f528f" strokeweight=".35281mm">
                <v:stroke joinstyle="miter"/>
                <v:path arrowok="t" o:connecttype="custom" o:connectlocs="95248,0;190496,166686;95248,333371;0,166686;0,238129;190496,238129" o:connectangles="270,0,90,180,180,0" textboxrect="5400,0,16200,18515"/>
              </v:shape>
            </w:pict>
          </mc:Fallback>
        </mc:AlternateContent>
      </w:r>
      <w:r w:rsidRPr="008A2FE8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B295F3" wp14:editId="56B295F4">
                <wp:simplePos x="0" y="0"/>
                <wp:positionH relativeFrom="column">
                  <wp:posOffset>5053331</wp:posOffset>
                </wp:positionH>
                <wp:positionV relativeFrom="paragraph">
                  <wp:posOffset>5715</wp:posOffset>
                </wp:positionV>
                <wp:extent cx="190496" cy="333371"/>
                <wp:effectExtent l="19050" t="0" r="19054" b="28579"/>
                <wp:wrapNone/>
                <wp:docPr id="7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96" cy="333371"/>
                        </a:xfrm>
                        <a:custGeom>
                          <a:avLst>
                            <a:gd name="f0" fmla="val 15429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pin 0 f1 10800"/>
                            <a:gd name="f15" fmla="pin 0 f0 21600"/>
                            <a:gd name="f16" fmla="*/ f10 f2 1"/>
                            <a:gd name="f17" fmla="*/ f11 f2 1"/>
                            <a:gd name="f18" fmla="val f14"/>
                            <a:gd name="f19" fmla="val f15"/>
                            <a:gd name="f20" fmla="+- 21600 0 f14"/>
                            <a:gd name="f21" fmla="*/ f14 f12 1"/>
                            <a:gd name="f22" fmla="*/ f15 f13 1"/>
                            <a:gd name="f23" fmla="*/ 0 f13 1"/>
                            <a:gd name="f24" fmla="*/ 0 f12 1"/>
                            <a:gd name="f25" fmla="*/ f16 1 f4"/>
                            <a:gd name="f26" fmla="*/ 21600 f12 1"/>
                            <a:gd name="f27" fmla="*/ f17 1 f4"/>
                            <a:gd name="f28" fmla="+- 21600 0 f19"/>
                            <a:gd name="f29" fmla="*/ f18 f12 1"/>
                            <a:gd name="f30" fmla="*/ f20 f12 1"/>
                            <a:gd name="f31" fmla="*/ f19 f13 1"/>
                            <a:gd name="f32" fmla="+- f25 0 f3"/>
                            <a:gd name="f33" fmla="+- f27 0 f3"/>
                            <a:gd name="f34" fmla="*/ f28 f18 1"/>
                            <a:gd name="f35" fmla="*/ f34 1 10800"/>
                            <a:gd name="f36" fmla="+- f19 f35 0"/>
                            <a:gd name="f37" fmla="*/ f36 f13 1"/>
                          </a:gdLst>
                          <a:ahLst>
                            <a:ahXY gdRefX="f1" minX="f7" maxX="f9" gdRefY="f0" minY="f7" maxY="f8">
                              <a:pos x="f21" y="f2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24" y="f31"/>
                            </a:cxn>
                            <a:cxn ang="f33">
                              <a:pos x="f26" y="f31"/>
                            </a:cxn>
                          </a:cxnLst>
                          <a:rect l="f29" t="f23" r="f30" b="f37"/>
                          <a:pathLst>
                            <a:path w="21600" h="21600">
                              <a:moveTo>
                                <a:pt x="f18" y="f7"/>
                              </a:moveTo>
                              <a:lnTo>
                                <a:pt x="f18" y="f19"/>
                              </a:lnTo>
                              <a:lnTo>
                                <a:pt x="f7" y="f19"/>
                              </a:lnTo>
                              <a:lnTo>
                                <a:pt x="f9" y="f8"/>
                              </a:lnTo>
                              <a:lnTo>
                                <a:pt x="f8" y="f19"/>
                              </a:lnTo>
                              <a:lnTo>
                                <a:pt x="f20" y="f19"/>
                              </a:lnTo>
                              <a:lnTo>
                                <a:pt x="f20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B3F6967" id="Arrow: Down 4" o:spid="_x0000_s1026" style="position:absolute;margin-left:397.9pt;margin-top:.45pt;width:15pt;height:26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" path="m5400,r,15429l,15429r10800,6171l21600,15429r-5400,l16200,,5400,xe" fillcolor="#4472c4" strokecolor="#2f528f" strokeweight=".35281mm">
                <v:stroke joinstyle="miter"/>
                <v:path arrowok="t" o:connecttype="custom" o:connectlocs="95248,0;190496,166686;95248,333371;0,166686;0,238129;190496,238129" o:connectangles="270,0,90,180,180,0" textboxrect="5400,0,16200,18515"/>
              </v:shape>
            </w:pict>
          </mc:Fallback>
        </mc:AlternateContent>
      </w:r>
    </w:p>
    <w:p w14:paraId="56B2960D" w14:textId="77777777" w:rsidR="006D21BB" w:rsidRPr="008A2FE8" w:rsidRDefault="006D21BB">
      <w:pPr>
        <w:rPr>
          <w:lang w:val="it-IT"/>
        </w:rPr>
      </w:pPr>
    </w:p>
    <w:sectPr w:rsidR="006D21BB" w:rsidRPr="008A2FE8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75092" w14:textId="77777777" w:rsidR="00EE162B" w:rsidRDefault="00EE162B">
      <w:pPr>
        <w:spacing w:after="0" w:line="240" w:lineRule="auto"/>
      </w:pPr>
      <w:r>
        <w:separator/>
      </w:r>
    </w:p>
  </w:endnote>
  <w:endnote w:type="continuationSeparator" w:id="0">
    <w:p w14:paraId="37454DED" w14:textId="77777777" w:rsidR="00EE162B" w:rsidRDefault="00EE1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29601" w14:textId="77777777" w:rsidR="004C1D7B" w:rsidRDefault="009075A4">
    <w:pPr>
      <w:spacing w:before="120" w:after="0" w:line="240" w:lineRule="auto"/>
      <w:ind w:left="-567"/>
      <w:jc w:val="center"/>
      <w:rPr>
        <w:b/>
        <w:color w:val="006FB4"/>
        <w:sz w:val="16"/>
        <w:szCs w:val="16"/>
        <w:lang w:val="en-US"/>
      </w:rPr>
    </w:pPr>
    <w:r>
      <w:rPr>
        <w:b/>
        <w:color w:val="006FB4"/>
        <w:sz w:val="16"/>
        <w:szCs w:val="16"/>
        <w:lang w:val="en-US"/>
      </w:rPr>
      <w:t xml:space="preserve">La </w:t>
    </w:r>
    <w:proofErr w:type="spellStart"/>
    <w:r>
      <w:rPr>
        <w:b/>
        <w:color w:val="006FB4"/>
        <w:sz w:val="16"/>
        <w:szCs w:val="16"/>
        <w:lang w:val="en-US"/>
      </w:rPr>
      <w:t>Federazione</w:t>
    </w:r>
    <w:proofErr w:type="spellEnd"/>
    <w:r>
      <w:rPr>
        <w:b/>
        <w:color w:val="006FB4"/>
        <w:sz w:val="16"/>
        <w:szCs w:val="16"/>
        <w:lang w:val="en-US"/>
      </w:rPr>
      <w:t xml:space="preserve"> </w:t>
    </w:r>
    <w:proofErr w:type="spellStart"/>
    <w:r>
      <w:rPr>
        <w:b/>
        <w:color w:val="006FB4"/>
        <w:sz w:val="16"/>
        <w:szCs w:val="16"/>
        <w:lang w:val="en-US"/>
      </w:rPr>
      <w:t>europea</w:t>
    </w:r>
    <w:proofErr w:type="spellEnd"/>
    <w:r>
      <w:rPr>
        <w:b/>
        <w:color w:val="006FB4"/>
        <w:sz w:val="16"/>
        <w:szCs w:val="16"/>
        <w:lang w:val="en-US"/>
      </w:rPr>
      <w:t xml:space="preserve"> </w:t>
    </w:r>
    <w:proofErr w:type="spellStart"/>
    <w:r>
      <w:rPr>
        <w:b/>
        <w:color w:val="006FB4"/>
        <w:sz w:val="16"/>
        <w:szCs w:val="16"/>
        <w:lang w:val="en-US"/>
      </w:rPr>
      <w:t>degli</w:t>
    </w:r>
    <w:proofErr w:type="spellEnd"/>
    <w:r>
      <w:rPr>
        <w:b/>
        <w:color w:val="006FB4"/>
        <w:sz w:val="16"/>
        <w:szCs w:val="16"/>
        <w:lang w:val="en-US"/>
      </w:rPr>
      <w:t xml:space="preserve"> </w:t>
    </w:r>
    <w:proofErr w:type="spellStart"/>
    <w:r>
      <w:rPr>
        <w:b/>
        <w:color w:val="006FB4"/>
        <w:sz w:val="16"/>
        <w:szCs w:val="16"/>
        <w:lang w:val="en-US"/>
      </w:rPr>
      <w:t>investitori</w:t>
    </w:r>
    <w:proofErr w:type="spellEnd"/>
    <w:r>
      <w:rPr>
        <w:b/>
        <w:color w:val="006FB4"/>
        <w:sz w:val="16"/>
        <w:szCs w:val="16"/>
        <w:lang w:val="en-US"/>
      </w:rPr>
      <w:t xml:space="preserve"> e </w:t>
    </w:r>
    <w:proofErr w:type="spellStart"/>
    <w:r>
      <w:rPr>
        <w:b/>
        <w:color w:val="006FB4"/>
        <w:sz w:val="16"/>
        <w:szCs w:val="16"/>
        <w:lang w:val="en-US"/>
      </w:rPr>
      <w:t>degli</w:t>
    </w:r>
    <w:proofErr w:type="spellEnd"/>
    <w:r>
      <w:rPr>
        <w:b/>
        <w:color w:val="006FB4"/>
        <w:sz w:val="16"/>
        <w:szCs w:val="16"/>
        <w:lang w:val="en-US"/>
      </w:rPr>
      <w:t xml:space="preserve"> </w:t>
    </w:r>
    <w:proofErr w:type="spellStart"/>
    <w:r>
      <w:rPr>
        <w:b/>
        <w:color w:val="006FB4"/>
        <w:sz w:val="16"/>
        <w:szCs w:val="16"/>
        <w:lang w:val="en-US"/>
      </w:rPr>
      <w:t>utenti</w:t>
    </w:r>
    <w:proofErr w:type="spellEnd"/>
    <w:r>
      <w:rPr>
        <w:b/>
        <w:color w:val="006FB4"/>
        <w:sz w:val="16"/>
        <w:szCs w:val="16"/>
        <w:lang w:val="en-US"/>
      </w:rPr>
      <w:t xml:space="preserve"> </w:t>
    </w:r>
    <w:proofErr w:type="spellStart"/>
    <w:r>
      <w:rPr>
        <w:b/>
        <w:color w:val="006FB4"/>
        <w:sz w:val="16"/>
        <w:szCs w:val="16"/>
        <w:lang w:val="en-US"/>
      </w:rPr>
      <w:t>dei</w:t>
    </w:r>
    <w:proofErr w:type="spellEnd"/>
    <w:r>
      <w:rPr>
        <w:b/>
        <w:color w:val="006FB4"/>
        <w:sz w:val="16"/>
        <w:szCs w:val="16"/>
        <w:lang w:val="en-US"/>
      </w:rPr>
      <w:t xml:space="preserve"> </w:t>
    </w:r>
    <w:proofErr w:type="spellStart"/>
    <w:r>
      <w:rPr>
        <w:b/>
        <w:color w:val="006FB4"/>
        <w:sz w:val="16"/>
        <w:szCs w:val="16"/>
        <w:lang w:val="en-US"/>
      </w:rPr>
      <w:t>servizi</w:t>
    </w:r>
    <w:proofErr w:type="spellEnd"/>
    <w:r>
      <w:rPr>
        <w:b/>
        <w:color w:val="006FB4"/>
        <w:sz w:val="16"/>
        <w:szCs w:val="16"/>
        <w:lang w:val="en-US"/>
      </w:rPr>
      <w:t xml:space="preserve"> </w:t>
    </w:r>
    <w:proofErr w:type="spellStart"/>
    <w:r>
      <w:rPr>
        <w:b/>
        <w:color w:val="006FB4"/>
        <w:sz w:val="16"/>
        <w:szCs w:val="16"/>
        <w:lang w:val="en-US"/>
      </w:rPr>
      <w:t>finanziari</w:t>
    </w:r>
    <w:proofErr w:type="spellEnd"/>
  </w:p>
  <w:p w14:paraId="56B29602" w14:textId="77777777" w:rsidR="004C1D7B" w:rsidRDefault="009075A4">
    <w:pPr>
      <w:spacing w:after="0" w:line="240" w:lineRule="auto"/>
      <w:ind w:left="-567"/>
      <w:jc w:val="center"/>
      <w:rPr>
        <w:color w:val="006FB4"/>
        <w:sz w:val="16"/>
        <w:szCs w:val="16"/>
        <w:lang w:val="de-DE"/>
      </w:rPr>
    </w:pPr>
    <w:r>
      <w:rPr>
        <w:color w:val="006FB4"/>
        <w:sz w:val="16"/>
        <w:szCs w:val="16"/>
        <w:lang w:val="de-DE"/>
      </w:rPr>
      <w:t xml:space="preserve">44, Rue </w:t>
    </w:r>
    <w:proofErr w:type="spellStart"/>
    <w:r>
      <w:rPr>
        <w:color w:val="006FB4"/>
        <w:sz w:val="16"/>
        <w:szCs w:val="16"/>
        <w:lang w:val="de-DE"/>
      </w:rPr>
      <w:t>d'Arenberg</w:t>
    </w:r>
    <w:proofErr w:type="spellEnd"/>
    <w:r>
      <w:rPr>
        <w:color w:val="006FB4"/>
        <w:sz w:val="16"/>
        <w:szCs w:val="16"/>
        <w:lang w:val="de-DE"/>
      </w:rPr>
      <w:t xml:space="preserve">, 1000 Bruxelles - </w:t>
    </w:r>
    <w:proofErr w:type="spellStart"/>
    <w:r>
      <w:rPr>
        <w:color w:val="006FB4"/>
        <w:sz w:val="16"/>
        <w:szCs w:val="16"/>
        <w:lang w:val="de-DE"/>
      </w:rPr>
      <w:t>Belgio</w:t>
    </w:r>
    <w:proofErr w:type="spellEnd"/>
  </w:p>
  <w:p w14:paraId="56B29603" w14:textId="77777777" w:rsidR="004C1D7B" w:rsidRDefault="009075A4">
    <w:pPr>
      <w:spacing w:after="0" w:line="240" w:lineRule="auto"/>
      <w:ind w:left="-567"/>
      <w:jc w:val="center"/>
    </w:pPr>
    <w:r>
      <w:rPr>
        <w:color w:val="006FB4"/>
        <w:sz w:val="16"/>
        <w:szCs w:val="16"/>
        <w:lang w:val="de-DE"/>
      </w:rPr>
      <w:t xml:space="preserve">Tel. (+32) 02 514 37 77 - Fax. </w:t>
    </w:r>
    <w:r>
      <w:rPr>
        <w:color w:val="006FB4"/>
        <w:sz w:val="16"/>
        <w:szCs w:val="16"/>
        <w:lang w:val="pt-PT"/>
      </w:rPr>
      <w:t>(+32) 02 514 36 66</w:t>
    </w:r>
  </w:p>
  <w:p w14:paraId="56B29604" w14:textId="77777777" w:rsidR="004C1D7B" w:rsidRDefault="009075A4">
    <w:pPr>
      <w:spacing w:after="0" w:line="240" w:lineRule="auto"/>
      <w:ind w:left="-567"/>
      <w:jc w:val="center"/>
    </w:pPr>
    <w:r>
      <w:rPr>
        <w:color w:val="006FB4"/>
        <w:sz w:val="16"/>
        <w:szCs w:val="16"/>
        <w:lang w:val="pt-PT"/>
      </w:rPr>
      <w:t xml:space="preserve">E-mail: info@betterfinance.eu - </w:t>
    </w:r>
    <w:r w:rsidR="00CD4816">
      <w:rPr>
        <w:color w:val="006FB4"/>
        <w:sz w:val="16"/>
        <w:szCs w:val="16"/>
        <w:u w:val="single"/>
        <w:lang w:val="it-IT"/>
      </w:rPr>
      <w:fldChar w:fldCharType="begin"/>
    </w:r>
    <w:r w:rsidR="00CD4816">
      <w:rPr>
        <w:color w:val="006FB4"/>
        <w:sz w:val="16"/>
        <w:szCs w:val="16"/>
        <w:u w:val="single"/>
        <w:lang w:val="it-IT"/>
      </w:rPr>
      <w:instrText xml:space="preserve"> HYPERLINK "http://www.eurofinuse.org" </w:instrText>
    </w:r>
    <w:r w:rsidR="00CD4816">
      <w:rPr>
        <w:color w:val="006FB4"/>
        <w:sz w:val="16"/>
        <w:szCs w:val="16"/>
        <w:u w:val="single"/>
        <w:lang w:val="it-IT"/>
      </w:rPr>
      <w:fldChar w:fldCharType="separate"/>
    </w:r>
    <w:r>
      <w:rPr>
        <w:color w:val="006FB4"/>
        <w:sz w:val="16"/>
        <w:szCs w:val="16"/>
        <w:u w:val="single"/>
        <w:lang w:val="it-IT"/>
      </w:rPr>
      <w:t xml:space="preserve">http://www.betterfinance.eu </w:t>
    </w:r>
    <w:r w:rsidR="00CD4816">
      <w:rPr>
        <w:color w:val="006FB4"/>
        <w:sz w:val="16"/>
        <w:szCs w:val="16"/>
        <w:u w:val="single"/>
        <w:lang w:val="it-I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2960A" w14:textId="77777777" w:rsidR="004C1D7B" w:rsidRDefault="009075A4">
    <w:pPr>
      <w:spacing w:before="120" w:after="0" w:line="240" w:lineRule="auto"/>
      <w:ind w:left="-567"/>
      <w:jc w:val="center"/>
      <w:rPr>
        <w:b/>
        <w:color w:val="006FB4"/>
        <w:sz w:val="16"/>
        <w:szCs w:val="16"/>
        <w:lang w:val="en-US"/>
      </w:rPr>
    </w:pPr>
    <w:r>
      <w:rPr>
        <w:b/>
        <w:color w:val="006FB4"/>
        <w:sz w:val="16"/>
        <w:szCs w:val="16"/>
        <w:lang w:val="en-US"/>
      </w:rPr>
      <w:t xml:space="preserve">La </w:t>
    </w:r>
    <w:proofErr w:type="spellStart"/>
    <w:r>
      <w:rPr>
        <w:b/>
        <w:color w:val="006FB4"/>
        <w:sz w:val="16"/>
        <w:szCs w:val="16"/>
        <w:lang w:val="en-US"/>
      </w:rPr>
      <w:t>Federazione</w:t>
    </w:r>
    <w:proofErr w:type="spellEnd"/>
    <w:r>
      <w:rPr>
        <w:b/>
        <w:color w:val="006FB4"/>
        <w:sz w:val="16"/>
        <w:szCs w:val="16"/>
        <w:lang w:val="en-US"/>
      </w:rPr>
      <w:t xml:space="preserve"> </w:t>
    </w:r>
    <w:proofErr w:type="spellStart"/>
    <w:r>
      <w:rPr>
        <w:b/>
        <w:color w:val="006FB4"/>
        <w:sz w:val="16"/>
        <w:szCs w:val="16"/>
        <w:lang w:val="en-US"/>
      </w:rPr>
      <w:t>europea</w:t>
    </w:r>
    <w:proofErr w:type="spellEnd"/>
    <w:r>
      <w:rPr>
        <w:b/>
        <w:color w:val="006FB4"/>
        <w:sz w:val="16"/>
        <w:szCs w:val="16"/>
        <w:lang w:val="en-US"/>
      </w:rPr>
      <w:t xml:space="preserve"> </w:t>
    </w:r>
    <w:proofErr w:type="spellStart"/>
    <w:r>
      <w:rPr>
        <w:b/>
        <w:color w:val="006FB4"/>
        <w:sz w:val="16"/>
        <w:szCs w:val="16"/>
        <w:lang w:val="en-US"/>
      </w:rPr>
      <w:t>degli</w:t>
    </w:r>
    <w:proofErr w:type="spellEnd"/>
    <w:r>
      <w:rPr>
        <w:b/>
        <w:color w:val="006FB4"/>
        <w:sz w:val="16"/>
        <w:szCs w:val="16"/>
        <w:lang w:val="en-US"/>
      </w:rPr>
      <w:t xml:space="preserve"> </w:t>
    </w:r>
    <w:proofErr w:type="spellStart"/>
    <w:r>
      <w:rPr>
        <w:b/>
        <w:color w:val="006FB4"/>
        <w:sz w:val="16"/>
        <w:szCs w:val="16"/>
        <w:lang w:val="en-US"/>
      </w:rPr>
      <w:t>investitori</w:t>
    </w:r>
    <w:proofErr w:type="spellEnd"/>
    <w:r>
      <w:rPr>
        <w:b/>
        <w:color w:val="006FB4"/>
        <w:sz w:val="16"/>
        <w:szCs w:val="16"/>
        <w:lang w:val="en-US"/>
      </w:rPr>
      <w:t xml:space="preserve"> e </w:t>
    </w:r>
    <w:proofErr w:type="spellStart"/>
    <w:r>
      <w:rPr>
        <w:b/>
        <w:color w:val="006FB4"/>
        <w:sz w:val="16"/>
        <w:szCs w:val="16"/>
        <w:lang w:val="en-US"/>
      </w:rPr>
      <w:t>degli</w:t>
    </w:r>
    <w:proofErr w:type="spellEnd"/>
    <w:r>
      <w:rPr>
        <w:b/>
        <w:color w:val="006FB4"/>
        <w:sz w:val="16"/>
        <w:szCs w:val="16"/>
        <w:lang w:val="en-US"/>
      </w:rPr>
      <w:t xml:space="preserve"> </w:t>
    </w:r>
    <w:proofErr w:type="spellStart"/>
    <w:r>
      <w:rPr>
        <w:b/>
        <w:color w:val="006FB4"/>
        <w:sz w:val="16"/>
        <w:szCs w:val="16"/>
        <w:lang w:val="en-US"/>
      </w:rPr>
      <w:t>utenti</w:t>
    </w:r>
    <w:proofErr w:type="spellEnd"/>
    <w:r>
      <w:rPr>
        <w:b/>
        <w:color w:val="006FB4"/>
        <w:sz w:val="16"/>
        <w:szCs w:val="16"/>
        <w:lang w:val="en-US"/>
      </w:rPr>
      <w:t xml:space="preserve"> </w:t>
    </w:r>
    <w:proofErr w:type="spellStart"/>
    <w:r>
      <w:rPr>
        <w:b/>
        <w:color w:val="006FB4"/>
        <w:sz w:val="16"/>
        <w:szCs w:val="16"/>
        <w:lang w:val="en-US"/>
      </w:rPr>
      <w:t>dei</w:t>
    </w:r>
    <w:proofErr w:type="spellEnd"/>
    <w:r>
      <w:rPr>
        <w:b/>
        <w:color w:val="006FB4"/>
        <w:sz w:val="16"/>
        <w:szCs w:val="16"/>
        <w:lang w:val="en-US"/>
      </w:rPr>
      <w:t xml:space="preserve"> </w:t>
    </w:r>
    <w:proofErr w:type="spellStart"/>
    <w:r>
      <w:rPr>
        <w:b/>
        <w:color w:val="006FB4"/>
        <w:sz w:val="16"/>
        <w:szCs w:val="16"/>
        <w:lang w:val="en-US"/>
      </w:rPr>
      <w:t>servizi</w:t>
    </w:r>
    <w:proofErr w:type="spellEnd"/>
    <w:r>
      <w:rPr>
        <w:b/>
        <w:color w:val="006FB4"/>
        <w:sz w:val="16"/>
        <w:szCs w:val="16"/>
        <w:lang w:val="en-US"/>
      </w:rPr>
      <w:t xml:space="preserve"> </w:t>
    </w:r>
    <w:proofErr w:type="spellStart"/>
    <w:r>
      <w:rPr>
        <w:b/>
        <w:color w:val="006FB4"/>
        <w:sz w:val="16"/>
        <w:szCs w:val="16"/>
        <w:lang w:val="en-US"/>
      </w:rPr>
      <w:t>finanziari</w:t>
    </w:r>
    <w:proofErr w:type="spellEnd"/>
  </w:p>
  <w:p w14:paraId="56B2960B" w14:textId="77777777" w:rsidR="004C1D7B" w:rsidRDefault="009075A4">
    <w:pPr>
      <w:spacing w:after="0" w:line="240" w:lineRule="auto"/>
      <w:ind w:left="-567"/>
      <w:jc w:val="center"/>
      <w:rPr>
        <w:color w:val="006FB4"/>
        <w:sz w:val="16"/>
        <w:szCs w:val="16"/>
        <w:lang w:val="de-DE"/>
      </w:rPr>
    </w:pPr>
    <w:r>
      <w:rPr>
        <w:color w:val="006FB4"/>
        <w:sz w:val="16"/>
        <w:szCs w:val="16"/>
        <w:lang w:val="de-DE"/>
      </w:rPr>
      <w:t xml:space="preserve">44, Rue </w:t>
    </w:r>
    <w:proofErr w:type="spellStart"/>
    <w:r>
      <w:rPr>
        <w:color w:val="006FB4"/>
        <w:sz w:val="16"/>
        <w:szCs w:val="16"/>
        <w:lang w:val="de-DE"/>
      </w:rPr>
      <w:t>d'Arenberg</w:t>
    </w:r>
    <w:proofErr w:type="spellEnd"/>
    <w:r>
      <w:rPr>
        <w:color w:val="006FB4"/>
        <w:sz w:val="16"/>
        <w:szCs w:val="16"/>
        <w:lang w:val="de-DE"/>
      </w:rPr>
      <w:t xml:space="preserve">, 1000 Bruxelles - </w:t>
    </w:r>
    <w:proofErr w:type="spellStart"/>
    <w:r>
      <w:rPr>
        <w:color w:val="006FB4"/>
        <w:sz w:val="16"/>
        <w:szCs w:val="16"/>
        <w:lang w:val="de-DE"/>
      </w:rPr>
      <w:t>Belgio</w:t>
    </w:r>
    <w:proofErr w:type="spellEnd"/>
  </w:p>
  <w:p w14:paraId="56B2960C" w14:textId="77777777" w:rsidR="004C1D7B" w:rsidRDefault="009075A4">
    <w:pPr>
      <w:spacing w:after="0" w:line="240" w:lineRule="auto"/>
      <w:ind w:left="-567"/>
      <w:jc w:val="center"/>
    </w:pPr>
    <w:r>
      <w:rPr>
        <w:color w:val="006FB4"/>
        <w:sz w:val="16"/>
        <w:szCs w:val="16"/>
        <w:lang w:val="de-DE"/>
      </w:rPr>
      <w:t xml:space="preserve">Tel. (+32) 02 514 37 77 - Fax. </w:t>
    </w:r>
    <w:r>
      <w:rPr>
        <w:color w:val="006FB4"/>
        <w:sz w:val="16"/>
        <w:szCs w:val="16"/>
        <w:lang w:val="pt-PT"/>
      </w:rPr>
      <w:t>(+32) 02 514 36 66</w:t>
    </w:r>
  </w:p>
  <w:p w14:paraId="56B2960D" w14:textId="77777777" w:rsidR="004C1D7B" w:rsidRDefault="009075A4">
    <w:pPr>
      <w:spacing w:after="0" w:line="240" w:lineRule="auto"/>
      <w:ind w:left="-567"/>
      <w:jc w:val="center"/>
    </w:pPr>
    <w:r>
      <w:rPr>
        <w:color w:val="006FB4"/>
        <w:sz w:val="16"/>
        <w:szCs w:val="16"/>
        <w:lang w:val="pt-PT"/>
      </w:rPr>
      <w:t xml:space="preserve">E-mail: info@betterfinance.eu - </w:t>
    </w:r>
    <w:bookmarkStart w:id="1" w:name="_Hlk944867"/>
    <w:r>
      <w:fldChar w:fldCharType="begin"/>
    </w:r>
    <w:r>
      <w:instrText xml:space="preserve"> HYPERLINK  "http://www.eurofinuse.org" </w:instrText>
    </w:r>
    <w:r>
      <w:fldChar w:fldCharType="separate"/>
    </w:r>
    <w:r>
      <w:rPr>
        <w:color w:val="006FB4"/>
        <w:sz w:val="16"/>
        <w:szCs w:val="16"/>
        <w:u w:val="single"/>
        <w:lang w:val="it-IT"/>
      </w:rPr>
      <w:t xml:space="preserve">http://www.betterfinance.eu </w:t>
    </w:r>
    <w:r>
      <w:rPr>
        <w:color w:val="006FB4"/>
        <w:sz w:val="16"/>
        <w:szCs w:val="16"/>
        <w:u w:val="single"/>
        <w:lang w:val="it-IT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8145C" w14:textId="77777777" w:rsidR="00EE162B" w:rsidRDefault="00EE16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B24201A" w14:textId="77777777" w:rsidR="00EE162B" w:rsidRDefault="00EE162B">
      <w:pPr>
        <w:spacing w:after="0" w:line="240" w:lineRule="auto"/>
      </w:pPr>
      <w:r>
        <w:continuationSeparator/>
      </w:r>
    </w:p>
  </w:footnote>
  <w:footnote w:id="1">
    <w:p w14:paraId="56B295F9" w14:textId="62D47017" w:rsidR="006D21BB" w:rsidRPr="00B81858" w:rsidRDefault="009075A4">
      <w:pPr>
        <w:pStyle w:val="Testonotaapidipagina"/>
        <w:rPr>
          <w:lang w:val="it-IT"/>
        </w:rPr>
      </w:pPr>
      <w:r w:rsidRPr="00B81858">
        <w:rPr>
          <w:rStyle w:val="Rimandonotaapidipagina"/>
          <w:lang w:val="it-IT"/>
        </w:rPr>
        <w:footnoteRef/>
      </w:r>
      <w:r w:rsidRPr="00B81858">
        <w:rPr>
          <w:rFonts w:ascii="Calibri Light" w:hAnsi="Calibri Light" w:cs="Calibri Light"/>
          <w:lang w:val="it-IT"/>
        </w:rPr>
        <w:t xml:space="preserve"> N.B.: </w:t>
      </w:r>
      <w:r w:rsidR="00B81858">
        <w:rPr>
          <w:rFonts w:ascii="Calibri Light" w:hAnsi="Calibri Light" w:cs="Calibri Light"/>
          <w:lang w:val="it-IT"/>
        </w:rPr>
        <w:t>l</w:t>
      </w:r>
      <w:r w:rsidRPr="00B81858">
        <w:rPr>
          <w:rFonts w:ascii="Calibri Light" w:hAnsi="Calibri Light" w:cs="Calibri Light"/>
          <w:lang w:val="it-IT"/>
        </w:rPr>
        <w:t xml:space="preserve">addove </w:t>
      </w:r>
      <w:r w:rsidR="00B81858">
        <w:rPr>
          <w:rFonts w:ascii="Calibri Light" w:hAnsi="Calibri Light" w:cs="Calibri Light"/>
          <w:lang w:val="it-IT"/>
        </w:rPr>
        <w:t xml:space="preserve">vi siano a disposizione </w:t>
      </w:r>
      <w:r w:rsidRPr="00B81858">
        <w:rPr>
          <w:rFonts w:ascii="Calibri Light" w:hAnsi="Calibri Light" w:cs="Calibri Light"/>
          <w:lang w:val="it-IT"/>
        </w:rPr>
        <w:t>dati sufficienti.</w:t>
      </w:r>
    </w:p>
  </w:footnote>
  <w:footnote w:id="2">
    <w:p w14:paraId="56B295FA" w14:textId="77777777" w:rsidR="006D21BB" w:rsidRPr="00B81858" w:rsidRDefault="009075A4">
      <w:pPr>
        <w:pStyle w:val="Testonotaapidipagina"/>
        <w:rPr>
          <w:lang w:val="it-IT"/>
        </w:rPr>
      </w:pPr>
      <w:r w:rsidRPr="00B81858">
        <w:rPr>
          <w:rStyle w:val="Rimandonotaapidipagina"/>
          <w:lang w:val="it-IT"/>
        </w:rPr>
        <w:footnoteRef/>
      </w:r>
      <w:r w:rsidRPr="00B81858">
        <w:rPr>
          <w:lang w:val="it-IT"/>
        </w:rPr>
        <w:t xml:space="preserve"> Cfr. allegato 1.</w:t>
      </w:r>
    </w:p>
  </w:footnote>
  <w:footnote w:id="3">
    <w:p w14:paraId="56B295FB" w14:textId="77777777" w:rsidR="006D21BB" w:rsidRPr="00B81858" w:rsidRDefault="009075A4">
      <w:pPr>
        <w:pStyle w:val="Testonotaapidipagina"/>
        <w:rPr>
          <w:lang w:val="it-IT"/>
        </w:rPr>
      </w:pPr>
      <w:r w:rsidRPr="00B81858">
        <w:rPr>
          <w:rStyle w:val="Rimandonotaapidipagina"/>
          <w:lang w:val="it-IT"/>
        </w:rPr>
        <w:footnoteRef/>
      </w:r>
      <w:r w:rsidRPr="00B81858">
        <w:rPr>
          <w:rFonts w:ascii="Calibri Light" w:hAnsi="Calibri Light" w:cs="Calibri Light"/>
          <w:lang w:val="it-IT"/>
        </w:rPr>
        <w:t xml:space="preserve"> La parte </w:t>
      </w:r>
      <w:r w:rsidRPr="00B81858">
        <w:rPr>
          <w:rFonts w:ascii="Calibri Light" w:hAnsi="Calibri Light" w:cs="Calibri Light"/>
          <w:i/>
          <w:iCs/>
          <w:lang w:val="it-IT"/>
        </w:rPr>
        <w:t xml:space="preserve">azionaria </w:t>
      </w:r>
      <w:r w:rsidRPr="00B81858">
        <w:rPr>
          <w:rFonts w:ascii="Calibri Light" w:hAnsi="Calibri Light" w:cs="Calibri Light"/>
          <w:lang w:val="it-IT"/>
        </w:rPr>
        <w:t xml:space="preserve">è costituita dallo STOXX </w:t>
      </w:r>
      <w:proofErr w:type="spellStart"/>
      <w:r w:rsidRPr="00B81858">
        <w:rPr>
          <w:rFonts w:ascii="Calibri Light" w:hAnsi="Calibri Light" w:cs="Calibri Light"/>
          <w:lang w:val="it-IT"/>
        </w:rPr>
        <w:t>All</w:t>
      </w:r>
      <w:proofErr w:type="spellEnd"/>
      <w:r w:rsidRPr="00B81858">
        <w:rPr>
          <w:rFonts w:ascii="Calibri Light" w:hAnsi="Calibri Light" w:cs="Calibri Light"/>
          <w:lang w:val="it-IT"/>
        </w:rPr>
        <w:t xml:space="preserve"> Europe Total Market (NR) e la parte </w:t>
      </w:r>
      <w:r w:rsidRPr="00B81858">
        <w:rPr>
          <w:rFonts w:ascii="Calibri Light" w:hAnsi="Calibri Light" w:cs="Calibri Light"/>
          <w:i/>
          <w:iCs/>
          <w:lang w:val="it-IT"/>
        </w:rPr>
        <w:t xml:space="preserve">obbligazionaria dal </w:t>
      </w:r>
      <w:proofErr w:type="spellStart"/>
      <w:r w:rsidRPr="00B81858">
        <w:rPr>
          <w:rFonts w:ascii="Calibri Light" w:hAnsi="Calibri Light" w:cs="Calibri Light"/>
          <w:lang w:val="it-IT"/>
        </w:rPr>
        <w:t>BBarc</w:t>
      </w:r>
      <w:proofErr w:type="spellEnd"/>
      <w:r w:rsidRPr="00B81858">
        <w:rPr>
          <w:rFonts w:ascii="Calibri Light" w:hAnsi="Calibri Light" w:cs="Calibri Light"/>
          <w:lang w:val="it-IT"/>
        </w:rPr>
        <w:t xml:space="preserve"> Pan-</w:t>
      </w:r>
      <w:proofErr w:type="spellStart"/>
      <w:r w:rsidRPr="00B81858">
        <w:rPr>
          <w:rFonts w:ascii="Calibri Light" w:hAnsi="Calibri Light" w:cs="Calibri Light"/>
          <w:lang w:val="it-IT"/>
        </w:rPr>
        <w:t>European</w:t>
      </w:r>
      <w:proofErr w:type="spellEnd"/>
      <w:r w:rsidRPr="00B81858">
        <w:rPr>
          <w:rFonts w:ascii="Calibri Light" w:hAnsi="Calibri Light" w:cs="Calibri Light"/>
          <w:lang w:val="it-IT"/>
        </w:rPr>
        <w:t xml:space="preserve"> Aggregate Bond Index.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295FD" w14:textId="77777777" w:rsidR="004C1D7B" w:rsidRDefault="009075A4">
    <w:pPr>
      <w:pStyle w:val="Intestazione"/>
      <w:spacing w:after="120"/>
      <w:jc w:val="center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6B295F5" wp14:editId="56B295F6">
          <wp:simplePos x="0" y="0"/>
          <wp:positionH relativeFrom="margin">
            <wp:posOffset>2617470</wp:posOffset>
          </wp:positionH>
          <wp:positionV relativeFrom="paragraph">
            <wp:posOffset>-219712</wp:posOffset>
          </wp:positionV>
          <wp:extent cx="3138165" cy="645164"/>
          <wp:effectExtent l="0" t="0" r="5085" b="2536"/>
          <wp:wrapSquare wrapText="bothSides"/>
          <wp:docPr id="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8165" cy="64516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6B295FE" w14:textId="77777777" w:rsidR="004C1D7B" w:rsidRDefault="00EE162B">
    <w:pPr>
      <w:pStyle w:val="Intestazione"/>
      <w:rPr>
        <w:sz w:val="20"/>
        <w:szCs w:val="20"/>
      </w:rPr>
    </w:pPr>
  </w:p>
  <w:p w14:paraId="56B295FF" w14:textId="77777777" w:rsidR="004C1D7B" w:rsidRDefault="00EE162B">
    <w:pPr>
      <w:pStyle w:val="Intestazione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29606" w14:textId="77777777" w:rsidR="004C1D7B" w:rsidRDefault="009075A4">
    <w:pPr>
      <w:pStyle w:val="Intestazione"/>
      <w:spacing w:after="120"/>
      <w:jc w:val="center"/>
    </w:pPr>
    <w:r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56B295F7" wp14:editId="56B295F8">
          <wp:simplePos x="0" y="0"/>
          <wp:positionH relativeFrom="page">
            <wp:align>left</wp:align>
          </wp:positionH>
          <wp:positionV relativeFrom="paragraph">
            <wp:posOffset>-249558</wp:posOffset>
          </wp:positionV>
          <wp:extent cx="7559043" cy="10248896"/>
          <wp:effectExtent l="0" t="0" r="0" b="0"/>
          <wp:wrapSquare wrapText="bothSides"/>
          <wp:docPr id="2" name="Chart 1"/>
          <wp:cNvGraphicFramePr/>
          <a:graphic xmlns:a="http://schemas.openxmlformats.org/drawingml/2006/main">
            <a:graphicData uri="http://schemas.openxmlformats.org/drawingml/2006/chart">
              <c:chart xmlns:c="http://schemas.openxmlformats.org/drawingml/2006/chart" xmlns:r="http://schemas.openxmlformats.org/officeDocument/2006/relationships" r:id="rId1"/>
            </a:graphicData>
          </a:graphic>
        </wp:anchor>
      </w:drawing>
    </w:r>
  </w:p>
  <w:p w14:paraId="56B29607" w14:textId="77777777" w:rsidR="004C1D7B" w:rsidRDefault="00EE162B">
    <w:pPr>
      <w:pStyle w:val="Intestazione"/>
      <w:rPr>
        <w:sz w:val="20"/>
        <w:szCs w:val="20"/>
      </w:rPr>
    </w:pPr>
  </w:p>
  <w:p w14:paraId="56B29608" w14:textId="77777777" w:rsidR="004C1D7B" w:rsidRDefault="00EE162B">
    <w:pPr>
      <w:pStyle w:val="Intestazion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3924"/>
    <w:multiLevelType w:val="multilevel"/>
    <w:tmpl w:val="D45664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0D63973"/>
    <w:multiLevelType w:val="multilevel"/>
    <w:tmpl w:val="51326798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 Light"/>
        <w:b w:val="0"/>
        <w:bCs w:val="0"/>
        <w:color w:val="0070C0"/>
        <w:sz w:val="20"/>
        <w:szCs w:val="20"/>
      </w:rPr>
    </w:lvl>
    <w:lvl w:ilvl="1">
      <w:start w:val="1"/>
      <w:numFmt w:val="lowerLetter"/>
      <w:lvlText w:val="%2."/>
      <w:lvlJc w:val="left"/>
      <w:pPr>
        <w:ind w:left="1442" w:hanging="360"/>
      </w:pPr>
    </w:lvl>
    <w:lvl w:ilvl="2">
      <w:start w:val="1"/>
      <w:numFmt w:val="lowerRoman"/>
      <w:lvlText w:val="%3."/>
      <w:lvlJc w:val="right"/>
      <w:pPr>
        <w:ind w:left="2162" w:hanging="180"/>
      </w:pPr>
    </w:lvl>
    <w:lvl w:ilvl="3">
      <w:start w:val="1"/>
      <w:numFmt w:val="decimal"/>
      <w:lvlText w:val="%4."/>
      <w:lvlJc w:val="left"/>
      <w:pPr>
        <w:ind w:left="2882" w:hanging="360"/>
      </w:pPr>
    </w:lvl>
    <w:lvl w:ilvl="4">
      <w:start w:val="1"/>
      <w:numFmt w:val="lowerLetter"/>
      <w:lvlText w:val="%5."/>
      <w:lvlJc w:val="left"/>
      <w:pPr>
        <w:ind w:left="3602" w:hanging="360"/>
      </w:pPr>
    </w:lvl>
    <w:lvl w:ilvl="5">
      <w:start w:val="1"/>
      <w:numFmt w:val="lowerRoman"/>
      <w:lvlText w:val="%6."/>
      <w:lvlJc w:val="right"/>
      <w:pPr>
        <w:ind w:left="4322" w:hanging="180"/>
      </w:pPr>
    </w:lvl>
    <w:lvl w:ilvl="6">
      <w:start w:val="1"/>
      <w:numFmt w:val="decimal"/>
      <w:lvlText w:val="%7."/>
      <w:lvlJc w:val="left"/>
      <w:pPr>
        <w:ind w:left="5042" w:hanging="360"/>
      </w:pPr>
    </w:lvl>
    <w:lvl w:ilvl="7">
      <w:start w:val="1"/>
      <w:numFmt w:val="lowerLetter"/>
      <w:lvlText w:val="%8."/>
      <w:lvlJc w:val="left"/>
      <w:pPr>
        <w:ind w:left="5762" w:hanging="360"/>
      </w:pPr>
    </w:lvl>
    <w:lvl w:ilvl="8">
      <w:start w:val="1"/>
      <w:numFmt w:val="lowerRoman"/>
      <w:lvlText w:val="%9."/>
      <w:lvlJc w:val="right"/>
      <w:pPr>
        <w:ind w:left="6482" w:hanging="180"/>
      </w:pPr>
    </w:lvl>
  </w:abstractNum>
  <w:abstractNum w:abstractNumId="2" w15:restartNumberingAfterBreak="0">
    <w:nsid w:val="4BF77A5F"/>
    <w:multiLevelType w:val="multilevel"/>
    <w:tmpl w:val="A9C68888"/>
    <w:lvl w:ilvl="0">
      <w:numFmt w:val="bullet"/>
      <w:lvlText w:val=""/>
      <w:lvlJc w:val="left"/>
      <w:pPr>
        <w:ind w:left="76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7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BB"/>
    <w:rsid w:val="000630D0"/>
    <w:rsid w:val="000C749B"/>
    <w:rsid w:val="00201F69"/>
    <w:rsid w:val="00260B32"/>
    <w:rsid w:val="006D21BB"/>
    <w:rsid w:val="00750E23"/>
    <w:rsid w:val="008A2FE8"/>
    <w:rsid w:val="009075A4"/>
    <w:rsid w:val="00965A26"/>
    <w:rsid w:val="00A52540"/>
    <w:rsid w:val="00AF5435"/>
    <w:rsid w:val="00B81858"/>
    <w:rsid w:val="00CD4816"/>
    <w:rsid w:val="00ED56BF"/>
    <w:rsid w:val="00E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295EA"/>
  <w15:docId w15:val="{8001D92E-A449-44F5-9254-680C1DF9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Carpredefinitoparagrafo"/>
  </w:style>
  <w:style w:type="paragraph" w:styleId="Pidipagina">
    <w:name w:val="footer"/>
    <w:basedOn w:val="Normal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Carpredefinitoparagrafo"/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UnresolvedMention">
    <w:name w:val="Unresolved Mention"/>
    <w:basedOn w:val="Carpredefinitoparagrafo"/>
    <w:rPr>
      <w:color w:val="605E5C"/>
      <w:shd w:val="clear" w:color="auto" w:fill="E1DFDD"/>
    </w:r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Carpredefinitoparagrafo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pPr>
      <w:spacing w:after="0" w:line="240" w:lineRule="auto"/>
      <w:ind w:left="720"/>
    </w:pPr>
    <w:rPr>
      <w:rFonts w:cs="Calibri"/>
      <w:lang w:val="fr-BE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Carpredefinitoparagrafo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NormaleWeb">
    <w:name w:val="Normal (Web)"/>
    <w:basedOn w:val="Normal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paragraph" w:customStyle="1" w:styleId="bylinebarreading-time">
    <w:name w:val="bylinebar_reading-time"/>
    <w:basedOn w:val="Normal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2Char">
    <w:name w:val="Heading 2 Char"/>
    <w:basedOn w:val="Carpredefinitoparagrafo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Corpotesto">
    <w:name w:val="Body Text"/>
    <w:basedOn w:val="Normale"/>
    <w:pPr>
      <w:spacing w:after="200" w:line="240" w:lineRule="exact"/>
    </w:pPr>
    <w:rPr>
      <w:rFonts w:ascii="Tahoma" w:eastAsia="Times New Roman" w:hAnsi="Tahoma"/>
      <w:spacing w:val="10"/>
      <w:sz w:val="17"/>
      <w:szCs w:val="20"/>
      <w:lang w:val="en-US"/>
    </w:rPr>
  </w:style>
  <w:style w:type="character" w:customStyle="1" w:styleId="BodyTextChar">
    <w:name w:val="Body Text Char"/>
    <w:basedOn w:val="Carpredefinitoparagrafo"/>
    <w:rPr>
      <w:rFonts w:ascii="Tahoma" w:eastAsia="Times New Roman" w:hAnsi="Tahoma" w:cs="Times New Roman"/>
      <w:spacing w:val="10"/>
      <w:sz w:val="17"/>
      <w:szCs w:val="20"/>
      <w:lang w:val="en-US"/>
    </w:rPr>
  </w:style>
  <w:style w:type="character" w:styleId="Enfasigrassetto">
    <w:name w:val="Strong"/>
    <w:rPr>
      <w:b/>
      <w:bCs/>
    </w:rPr>
  </w:style>
  <w:style w:type="character" w:styleId="Collegamentovisitato">
    <w:name w:val="FollowedHyperlink"/>
    <w:basedOn w:val="Carpredefinitoparagrafo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etterfinance.eu/pensions-dashboard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etterfinance.eu/publication/booklet-pension-savings-the-real-return-2020-edition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etterfinance.eu/publication/pension-savings-the-real-return-2020-edition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betterfinance.eu/publication/pension-savings-the-real-return-2020-edition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houdmont@betterfinanc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c:style val="2"/>
  <c:chart>
    <c:title>
      <c:tx>
        <c:rich>
          <a:bodyPr vert="horz" lIns="0" tIns="0" rIns="0" bIns="0"/>
          <a:lstStyle/>
          <a:p>
            <a:pPr marL="0" marR="0" indent="0" algn="ctr" defTabSz="914400" rtl="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100" b="1" i="0" u="none" strike="noStrike" kern="1200" baseline="0">
                <a:solidFill>
                  <a:srgbClr val="000000"/>
                </a:solidFill>
                <a:latin typeface="Calibri Light"/>
              </a:defRPr>
            </a:pPr>
            <a:r>
              <a:rPr lang="en-GB" sz="1100" b="1" i="0" u="none" strike="noStrike" kern="1200" cap="none" spc="0" baseline="0">
                <a:solidFill>
                  <a:srgbClr val="000000"/>
                </a:solidFill>
                <a:uFillTx/>
                <a:latin typeface="Calibri Light"/>
              </a:rPr>
              <a:t>NETTO REALE ANNUALIZZATO RENDIMENTI DEI RISPARMI PREVIDENZIALI - AL LORDO DELLE IMPOSTE</a:t>
            </a:r>
          </a:p>
        </c:rich>
      </c:tx>
      <c:layout>
        <c:manualLayout>
          <c:xMode val="edge"/>
          <c:yMode val="edge"/>
          <c:x val="0.20728994687156038"/>
          <c:y val="2.3999648742791908E-3"/>
        </c:manualLayout>
      </c:layout>
      <c:overlay val="0"/>
      <c:spPr>
        <a:noFill/>
        <a:ln>
          <a:noFill/>
        </a:ln>
      </c:spPr>
    </c:title>
    <c:autoTitleDeleted val="0"/>
    <c:plotArea>
      <c:layout>
        <c:manualLayout>
          <c:xMode val="edge"/>
          <c:yMode val="edge"/>
          <c:x val="0"/>
          <c:y val="2.4946384490042835E-2"/>
          <c:w val="1"/>
          <c:h val="0.97466781800973767"/>
        </c:manualLayout>
      </c:layout>
      <c:barChart>
        <c:barDir val="bar"/>
        <c:grouping val="clustered"/>
        <c:varyColors val="0"/>
        <c:ser>
          <c:idx val="0"/>
          <c:order val="0"/>
          <c:tx>
            <c:v>Series1</c:v>
          </c:tx>
          <c:spPr>
            <a:solidFill>
              <a:srgbClr val="0070C0"/>
            </a:solidFill>
            <a:ln>
              <a:noFill/>
            </a:ln>
          </c:spPr>
          <c:invertIfNegative val="0"/>
          <c:dPt>
            <c:idx val="1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03E2-4867-A9D5-040F0AEE82B9}"/>
              </c:ext>
            </c:extLst>
          </c:dPt>
          <c:dPt>
            <c:idx val="14"/>
            <c:invertIfNegative val="0"/>
            <c:bubble3D val="0"/>
            <c:spPr>
              <a:solidFill>
                <a:srgbClr val="767171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3E2-4867-A9D5-040F0AEE82B9}"/>
              </c:ext>
            </c:extLst>
          </c:dPt>
          <c:dPt>
            <c:idx val="15"/>
            <c:invertIfNegative val="0"/>
            <c:bubble3D val="0"/>
            <c:spPr>
              <a:solidFill>
                <a:srgbClr val="767171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03E2-4867-A9D5-040F0AEE82B9}"/>
              </c:ext>
            </c:extLst>
          </c:dPt>
          <c:dPt>
            <c:idx val="26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3E2-4867-A9D5-040F0AEE82B9}"/>
              </c:ext>
            </c:extLst>
          </c:dPt>
          <c:dPt>
            <c:idx val="3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03E2-4867-A9D5-040F0AEE82B9}"/>
              </c:ext>
            </c:extLst>
          </c:dPt>
          <c:dPt>
            <c:idx val="3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3E2-4867-A9D5-040F0AEE82B9}"/>
              </c:ext>
            </c:extLst>
          </c:dPt>
          <c:dPt>
            <c:idx val="36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03E2-4867-A9D5-040F0AEE82B9}"/>
              </c:ext>
            </c:extLst>
          </c:dPt>
          <c:dPt>
            <c:idx val="4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3E2-4867-A9D5-040F0AEE82B9}"/>
              </c:ext>
            </c:extLst>
          </c:dPt>
          <c:dPt>
            <c:idx val="48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03E2-4867-A9D5-040F0AEE82B9}"/>
              </c:ext>
            </c:extLst>
          </c:dPt>
          <c:dPt>
            <c:idx val="52"/>
            <c:invertIfNegative val="0"/>
            <c:bubble3D val="0"/>
            <c:spPr>
              <a:solidFill>
                <a:srgbClr val="767171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3E2-4867-A9D5-040F0AEE82B9}"/>
              </c:ext>
            </c:extLst>
          </c:dPt>
          <c:dPt>
            <c:idx val="53"/>
            <c:invertIfNegative val="0"/>
            <c:bubble3D val="0"/>
            <c:spPr>
              <a:solidFill>
                <a:srgbClr val="767171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03E2-4867-A9D5-040F0AEE82B9}"/>
              </c:ext>
            </c:extLst>
          </c:dPt>
          <c:dLbls>
            <c:dLbl>
              <c:idx val="13"/>
              <c:spPr>
                <a:solidFill>
                  <a:srgbClr val="FFFFFF"/>
                </a:solidFill>
                <a:ln>
                  <a:noFill/>
                </a:ln>
                <a:effectLst/>
              </c:spPr>
              <c:txPr>
                <a:bodyPr lIns="0" tIns="0" rIns="0" bIns="0"/>
                <a:lstStyle/>
                <a:p>
                  <a:pPr marL="0" marR="0" indent="0" algn="ctr" defTabSz="914400" fontAlgn="auto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tabLst/>
                    <a:defRPr sz="1050" b="1" i="0" u="none" strike="noStrike" kern="1200" baseline="0">
                      <a:solidFill>
                        <a:srgbClr val="FF0000"/>
                      </a:solidFill>
                      <a:latin typeface="Calibri Light"/>
                    </a:defRPr>
                  </a:pPr>
                  <a:endParaRPr lang="it-I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3E2-4867-A9D5-040F0AEE82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26"/>
              <c:spPr>
                <a:noFill/>
                <a:ln>
                  <a:noFill/>
                </a:ln>
                <a:effectLst/>
              </c:spPr>
              <c:txPr>
                <a:bodyPr lIns="0" tIns="0" rIns="0" bIns="0"/>
                <a:lstStyle/>
                <a:p>
                  <a:pPr marL="0" marR="0" indent="0" algn="ctr" defTabSz="914400" fontAlgn="auto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tabLst/>
                    <a:defRPr sz="1000" b="1" i="0" u="none" strike="noStrike" kern="1200" baseline="0">
                      <a:solidFill>
                        <a:srgbClr val="FF0000"/>
                      </a:solidFill>
                      <a:latin typeface="Calibri Light"/>
                    </a:defRPr>
                  </a:pPr>
                  <a:endParaRPr lang="it-I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3E2-4867-A9D5-040F0AEE82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30"/>
              <c:layout>
                <c:manualLayout>
                  <c:x val="-0.12762573025146051"/>
                  <c:y val="1.74559755428871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03E2-4867-A9D5-040F0AEE82B9}"/>
                </c:ext>
                <c:ext xmlns:c15="http://schemas.microsoft.com/office/drawing/2012/chart" uri="{CE6537A1-D6FC-4f65-9D91-7224C49458BB}"/>
              </c:extLst>
            </c:dLbl>
            <c:dLbl>
              <c:idx val="32"/>
              <c:spPr>
                <a:noFill/>
                <a:ln>
                  <a:noFill/>
                </a:ln>
                <a:effectLst/>
              </c:spPr>
              <c:txPr>
                <a:bodyPr lIns="0" tIns="0" rIns="0" bIns="0"/>
                <a:lstStyle/>
                <a:p>
                  <a:pPr marL="0" marR="0" indent="0" algn="ctr" defTabSz="914400" fontAlgn="auto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tabLst/>
                    <a:defRPr sz="1000" b="1" i="0" u="none" strike="noStrike" kern="1200" baseline="0">
                      <a:solidFill>
                        <a:srgbClr val="FF0000"/>
                      </a:solidFill>
                      <a:latin typeface="Calibri Light"/>
                    </a:defRPr>
                  </a:pPr>
                  <a:endParaRPr lang="it-I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03E2-4867-A9D5-040F0AEE82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36"/>
              <c:tx>
                <c:rich>
                  <a:bodyPr/>
                  <a:lstStyle/>
                  <a:p>
                    <a:r>
                      <a:rPr lang="en-US" sz="1000" b="0" i="0" u="none" strike="noStrike" kern="1200" cap="none" spc="0" baseline="0">
                        <a:solidFill>
                          <a:srgbClr val="000000"/>
                        </a:solidFill>
                        <a:uFillTx/>
                        <a:latin typeface="Calibri Light"/>
                      </a:rPr>
                      <a:t>4,27%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03E2-4867-A9D5-040F0AEE82B9}"/>
                </c:ext>
                <c:ext xmlns:c15="http://schemas.microsoft.com/office/drawing/2012/chart" uri="{CE6537A1-D6FC-4f65-9D91-7224C49458BB}"/>
              </c:extLst>
            </c:dLbl>
            <c:dLbl>
              <c:idx val="41"/>
              <c:tx>
                <c:rich>
                  <a:bodyPr/>
                  <a:lstStyle/>
                  <a:p>
                    <a:r>
                      <a:rPr lang="en-US" sz="1000" b="0" i="0" u="none" strike="noStrike" kern="1200" cap="none" spc="0" baseline="0">
                        <a:solidFill>
                          <a:srgbClr val="000000"/>
                        </a:solidFill>
                        <a:uFillTx/>
                        <a:latin typeface="Calibri Light"/>
                      </a:rPr>
                      <a:t>4,10%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03E2-4867-A9D5-040F0AEE82B9}"/>
                </c:ext>
                <c:ext xmlns:c15="http://schemas.microsoft.com/office/drawing/2012/chart" uri="{CE6537A1-D6FC-4f65-9D91-7224C49458BB}"/>
              </c:extLst>
            </c:dLbl>
            <c:dLbl>
              <c:idx val="48"/>
              <c:tx>
                <c:rich>
                  <a:bodyPr/>
                  <a:lstStyle/>
                  <a:p>
                    <a:r>
                      <a:rPr lang="en-US" sz="1000" b="0" i="0" u="none" strike="noStrike" kern="1200" cap="none" spc="0" baseline="0">
                        <a:solidFill>
                          <a:srgbClr val="000000"/>
                        </a:solidFill>
                        <a:uFillTx/>
                        <a:latin typeface="Calibri Light"/>
                      </a:rPr>
                      <a:t>3,31%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03E2-4867-A9D5-040F0AEE82B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000" b="0" i="0" u="none" strike="noStrike" kern="1200" baseline="0">
                    <a:solidFill>
                      <a:srgbClr val="000000"/>
                    </a:solidFill>
                    <a:latin typeface="Calibri Light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; 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Lit>
              <c:ptCount val="54"/>
              <c:pt idx="0">
                <c:v>ESSERE Previdenza professionale (IORP), 2000-2019</c:v>
              </c:pt>
              <c:pt idx="1">
                <c:v>ESSERE Fondi di risparmio previdenziale, 2000-2019</c:v>
              </c:pt>
              <c:pt idx="2">
                <c:v>DE Assicurazioni pensionistiche, 2000-2019</c:v>
              </c:pt>
              <c:pt idx="3">
                <c:v>ES Piani individuali, 2000-2019</c:v>
              </c:pt>
              <c:pt idx="4">
                <c:v>ES Piani occupazionali, 2000-2019</c:v>
              </c:pt>
              <c:pt idx="5">
                <c:v>ES Piani Associati, 2000-2019</c:v>
              </c:pt>
              <c:pt idx="6">
                <c:v>FR Assicurazioni sulla vita, Garantite, 2000-2019</c:v>
              </c:pt>
              <c:pt idx="7">
                <c:v>FR Assicurazione sulla vita, Unit-linked, 2000-2019</c:v>
              </c:pt>
              <c:pt idx="8">
                <c:v>FR Piani di risparmio aziendali, 2000-2019</c:v>
              </c:pt>
              <c:pt idx="9">
                <c:v>IT Fondi Pensione chiusi,2000-2019</c:v>
              </c:pt>
              <c:pt idx="10">
                <c:v>IT Fondi pensione aperti, 2000-2019</c:v>
              </c:pt>
              <c:pt idx="11">
                <c:v>NL Fondi pensione, 2000-2019</c:v>
              </c:pt>
              <c:pt idx="12">
                <c:v>NL Assicurazione sulla vita, 2000-2019</c:v>
              </c:pt>
              <c:pt idx="13">
                <c:v>UE Mercati dei capitali, 2000-2019</c:v>
              </c:pt>
              <c:pt idx="14">
                <c:v>DE AOPP, 2002-2018</c:v>
              </c:pt>
              <c:pt idx="15">
                <c:v>REGNO UNITO Fondi pensione, 2000-2017</c:v>
              </c:pt>
              <c:pt idx="16">
                <c:v>- -</c:v>
              </c:pt>
              <c:pt idx="17">
                <c:v>AT Fondi pensione, 2002-2019</c:v>
              </c:pt>
              <c:pt idx="18">
                <c:v>AT Assicurazioni sulla vita, 2002-2019</c:v>
              </c:pt>
              <c:pt idx="19">
                <c:v>BG Fondi pensione universali, 2002-2019</c:v>
              </c:pt>
              <c:pt idx="20">
                <c:v>BG Fondi pensione volontari, 2002-2019</c:v>
              </c:pt>
              <c:pt idx="21">
                <c:v>HR Fondi pensione obbligatori, 2002-2019</c:v>
              </c:pt>
              <c:pt idx="22">
                <c:v>HR Fondi pensione volontari, 2002-2019</c:v>
              </c:pt>
              <c:pt idx="23">
                <c:v>PL Fondi pensione per i dipendenti, 2002-2019</c:v>
              </c:pt>
              <c:pt idx="24">
                <c:v>SE Cassa pensioni AP7, opzione standard, 2002-2019</c:v>
              </c:pt>
              <c:pt idx="25">
                <c:v>SE Cassa pensioni AP7, scelta propria, 2002-2019</c:v>
              </c:pt>
              <c:pt idx="26">
                <c:v>UE Mercati dei capitali, 2002-2019</c:v>
              </c:pt>
              <c:pt idx="27">
                <c:v>- -</c:v>
              </c:pt>
              <c:pt idx="28">
                <c:v>EE Fondi pensione obbligatori, 2003-2019</c:v>
              </c:pt>
              <c:pt idx="29">
                <c:v>EE Fondi di previdenza complementare, 2003-2019</c:v>
              </c:pt>
              <c:pt idx="30">
                <c:v>FR Pensione pubblica dei dipendenti, 2003-2019</c:v>
              </c:pt>
              <c:pt idx="31">
                <c:v>LV Fondi pensione finanziati dallo Stato, 2003-2019</c:v>
              </c:pt>
              <c:pt idx="32">
                <c:v>UE Mercati dei capitali, 2003 - 2019</c:v>
              </c:pt>
              <c:pt idx="33">
                <c:v>- -</c:v>
              </c:pt>
              <c:pt idx="34">
                <c:v>LT Previdenza professionale, 2004-2019</c:v>
              </c:pt>
              <c:pt idx="35">
                <c:v>LT Piani di previdenza complementare, 2004-2019</c:v>
              </c:pt>
              <c:pt idx="36">
                <c:v>UE Mercati dei capitali, 2004 - 2019</c:v>
              </c:pt>
              <c:pt idx="37">
                <c:v>- -</c:v>
              </c:pt>
              <c:pt idx="38">
                <c:v>DE Assicurazione pensioni Riester, 2005-2019</c:v>
              </c:pt>
              <c:pt idx="39">
                <c:v>DE Assicurazione pensioni Rürup, 2005-2019</c:v>
              </c:pt>
              <c:pt idx="40">
                <c:v>SK II pilastro Pensione a fondo perduto, 2005-2019</c:v>
              </c:pt>
              <c:pt idx="41">
                <c:v>UE Mercati dei capitali, 2005 - 2019</c:v>
              </c:pt>
              <c:pt idx="42">
                <c:v>- -</c:v>
              </c:pt>
              <c:pt idx="43">
                <c:v>RO Pensioni private volontarie, 2007-2019</c:v>
              </c:pt>
              <c:pt idx="44">
                <c:v>IT PIP con utili, 2008-2019</c:v>
              </c:pt>
              <c:pt idx="45">
                <c:v>IT PIP Unit-Linked, 2008-2019</c:v>
              </c:pt>
              <c:pt idx="46">
                <c:v>SK Fondi di previdenza complementare, 2009-2019</c:v>
              </c:pt>
              <c:pt idx="47">
                <c:v>RO II pilastro Rendite finanziate, 2008-2019</c:v>
              </c:pt>
              <c:pt idx="48">
                <c:v>UE Mercati dei capitali, 2008 - 2019</c:v>
              </c:pt>
              <c:pt idx="49">
                <c:v>- -</c:v>
              </c:pt>
              <c:pt idx="50">
                <c:v>LV Pensione privata volontaria, 2011-2019</c:v>
              </c:pt>
              <c:pt idx="51">
                <c:v>PL Casse pensioni volontarie (DFE), 2013-2019</c:v>
              </c:pt>
              <c:pt idx="52">
                <c:v>ESSERE OPP-IC (Ramo 21), 2002-2014</c:v>
              </c:pt>
              <c:pt idx="53">
                <c:v>ESSERE Contratti individuali (Ramo 23), 2005-2014</c:v>
              </c:pt>
            </c:strLit>
          </c:cat>
          <c:val>
            <c:numLit>
              <c:formatCode>General</c:formatCode>
              <c:ptCount val="54"/>
              <c:pt idx="0">
                <c:v>2.1399999999999999E-2</c:v>
              </c:pt>
              <c:pt idx="1">
                <c:v>1.7999999999999999E-2</c:v>
              </c:pt>
              <c:pt idx="2">
                <c:v>2.07E-2</c:v>
              </c:pt>
              <c:pt idx="3">
                <c:v>1.6999999999999999E-3</c:v>
              </c:pt>
              <c:pt idx="4">
                <c:v>7.0000000000000001E-3</c:v>
              </c:pt>
              <c:pt idx="5">
                <c:v>9.5999999999999992E-3</c:v>
              </c:pt>
              <c:pt idx="6">
                <c:v>1.18E-2</c:v>
              </c:pt>
              <c:pt idx="7">
                <c:v>-6.6E-3</c:v>
              </c:pt>
              <c:pt idx="8">
                <c:v>8.0000000000000002E-3</c:v>
              </c:pt>
              <c:pt idx="9">
                <c:v>1.41E-2</c:v>
              </c:pt>
              <c:pt idx="10">
                <c:v>2.8E-3</c:v>
              </c:pt>
              <c:pt idx="11">
                <c:v>2.7099999999999999E-2</c:v>
              </c:pt>
              <c:pt idx="12">
                <c:v>2.9999999999999997E-4</c:v>
              </c:pt>
              <c:pt idx="13">
                <c:v>2.7359227055127056E-2</c:v>
              </c:pt>
              <c:pt idx="14">
                <c:v>2.24E-2</c:v>
              </c:pt>
              <c:pt idx="15">
                <c:v>3.0599999999999999E-2</c:v>
              </c:pt>
              <c:pt idx="16">
                <c:v>0</c:v>
              </c:pt>
              <c:pt idx="17">
                <c:v>1.4E-2</c:v>
              </c:pt>
              <c:pt idx="18">
                <c:v>2.0899999999999998E-2</c:v>
              </c:pt>
              <c:pt idx="19">
                <c:v>-9.1000000000000004E-3</c:v>
              </c:pt>
              <c:pt idx="20">
                <c:v>-1.4E-3</c:v>
              </c:pt>
              <c:pt idx="21">
                <c:v>3.5900000000000001E-2</c:v>
              </c:pt>
              <c:pt idx="22">
                <c:v>3.8800000000000001E-2</c:v>
              </c:pt>
              <c:pt idx="23">
                <c:v>3.7499999999999999E-2</c:v>
              </c:pt>
              <c:pt idx="24">
                <c:v>7.0900000000000005E-2</c:v>
              </c:pt>
              <c:pt idx="25">
                <c:v>0.04</c:v>
              </c:pt>
              <c:pt idx="26">
                <c:v>3.5220577580413748E-2</c:v>
              </c:pt>
              <c:pt idx="27">
                <c:v>0</c:v>
              </c:pt>
              <c:pt idx="28">
                <c:v>4.3E-3</c:v>
              </c:pt>
              <c:pt idx="29">
                <c:v>1.5800000000000002E-2</c:v>
              </c:pt>
              <c:pt idx="30">
                <c:v>-1.44E-2</c:v>
              </c:pt>
              <c:pt idx="31">
                <c:v>-2E-3</c:v>
              </c:pt>
              <c:pt idx="32">
                <c:v>4.4318930127988265E-2</c:v>
              </c:pt>
              <c:pt idx="33">
                <c:v>0</c:v>
              </c:pt>
              <c:pt idx="34">
                <c:v>1.4999999999999999E-2</c:v>
              </c:pt>
              <c:pt idx="35">
                <c:v>8.2000000000000007E-3</c:v>
              </c:pt>
              <c:pt idx="36">
                <c:v>4.2676850815281719E-2</c:v>
              </c:pt>
              <c:pt idx="37">
                <c:v>0</c:v>
              </c:pt>
              <c:pt idx="38">
                <c:v>1.43E-2</c:v>
              </c:pt>
              <c:pt idx="39">
                <c:v>1.4500000000000001E-2</c:v>
              </c:pt>
              <c:pt idx="40">
                <c:v>-2.9999999999999997E-4</c:v>
              </c:pt>
              <c:pt idx="41">
                <c:v>4.098423239384319E-2</c:v>
              </c:pt>
              <c:pt idx="42">
                <c:v>0</c:v>
              </c:pt>
              <c:pt idx="43">
                <c:v>2.6100000000000002E-2</c:v>
              </c:pt>
              <c:pt idx="44">
                <c:v>1.3100000000000001E-2</c:v>
              </c:pt>
              <c:pt idx="45">
                <c:v>8.9999999999999993E-3</c:v>
              </c:pt>
              <c:pt idx="46">
                <c:v>5.0000000000000001E-3</c:v>
              </c:pt>
              <c:pt idx="47">
                <c:v>4.9299999999999997E-2</c:v>
              </c:pt>
              <c:pt idx="48">
                <c:v>3.3110578265880042E-2</c:v>
              </c:pt>
              <c:pt idx="49">
                <c:v>0</c:v>
              </c:pt>
              <c:pt idx="50">
                <c:v>1.5180000000000001E-2</c:v>
              </c:pt>
              <c:pt idx="51">
                <c:v>4.3299999999999998E-2</c:v>
              </c:pt>
              <c:pt idx="52">
                <c:v>2.5700000000000001E-2</c:v>
              </c:pt>
              <c:pt idx="53">
                <c:v>1.5699999999999999E-2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60E6-472E-B53F-094936E50B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7905480"/>
        <c:axId val="557903520"/>
      </c:barChart>
      <c:valAx>
        <c:axId val="557903520"/>
        <c:scaling>
          <c:orientation val="minMax"/>
        </c:scaling>
        <c:delete val="0"/>
        <c:axPos val="t"/>
        <c:majorGridlines>
          <c:spPr>
            <a:ln w="6345" cap="flat">
              <a:solidFill>
                <a:srgbClr val="898989"/>
              </a:solidFill>
              <a:prstDash val="solid"/>
              <a:round/>
            </a:ln>
          </c:spPr>
        </c:majorGridlines>
        <c:numFmt formatCode="0%" sourceLinked="0"/>
        <c:majorTickMark val="out"/>
        <c:minorTickMark val="none"/>
        <c:tickLblPos val="nextTo"/>
        <c:spPr>
          <a:noFill/>
          <a:ln w="6345" cap="flat">
            <a:solidFill>
              <a:srgbClr val="89898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 Light"/>
              </a:defRPr>
            </a:pPr>
            <a:endParaRPr lang="it-IT"/>
          </a:p>
        </c:txPr>
        <c:crossAx val="557905480"/>
        <c:crosses val="autoZero"/>
        <c:crossBetween val="between"/>
      </c:valAx>
      <c:catAx>
        <c:axId val="557905480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low"/>
        <c:spPr>
          <a:noFill/>
          <a:ln w="6345" cap="flat">
            <a:solidFill>
              <a:srgbClr val="89898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000" b="0" i="0" u="none" strike="noStrike" kern="1200" baseline="0">
                <a:solidFill>
                  <a:srgbClr val="000000"/>
                </a:solidFill>
                <a:latin typeface="Calibri Light"/>
              </a:defRPr>
            </a:pPr>
            <a:endParaRPr lang="it-IT"/>
          </a:p>
        </c:txPr>
        <c:crossAx val="557903520"/>
        <c:crossesAt val="0"/>
        <c:auto val="1"/>
        <c:lblAlgn val="ctr"/>
        <c:lblOffset val="100"/>
        <c:noMultiLvlLbl val="0"/>
      </c:catAx>
      <c:spPr>
        <a:noFill/>
        <a:ln>
          <a:noFill/>
        </a:ln>
      </c:spPr>
    </c:plotArea>
    <c:plotVisOnly val="1"/>
    <c:dispBlanksAs val="gap"/>
    <c:showDLblsOverMax val="0"/>
  </c:chart>
  <c:spPr>
    <a:solidFill>
      <a:srgbClr val="FFFFFF"/>
    </a:solidFill>
    <a:ln>
      <a:noFill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en-US" sz="1000" b="0" i="0" u="none" strike="noStrike" kern="1200" baseline="0">
          <a:solidFill>
            <a:srgbClr val="000000"/>
          </a:solidFill>
          <a:latin typeface="Calibri Light"/>
        </a:defRPr>
      </a:pPr>
      <a:endParaRPr lang="it-I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08A9776426D41840A8C2CCB15B3F3" ma:contentTypeVersion="12" ma:contentTypeDescription="Create a new document." ma:contentTypeScope="" ma:versionID="fad30e866c7e5bd87e01b4be7e13f445">
  <xsd:schema xmlns:xsd="http://www.w3.org/2001/XMLSchema" xmlns:xs="http://www.w3.org/2001/XMLSchema" xmlns:p="http://schemas.microsoft.com/office/2006/metadata/properties" xmlns:ns2="fd160c09-1844-45b0-b4f1-cf53e6c3c76a" xmlns:ns3="8e72f4a7-cae9-4e97-b541-2580a12d1989" targetNamespace="http://schemas.microsoft.com/office/2006/metadata/properties" ma:root="true" ma:fieldsID="3d251b770648fbf44b28e39a1ec2cbaa" ns2:_="" ns3:_="">
    <xsd:import namespace="fd160c09-1844-45b0-b4f1-cf53e6c3c76a"/>
    <xsd:import namespace="8e72f4a7-cae9-4e97-b541-2580a12d1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60c09-1844-45b0-b4f1-cf53e6c3c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2f4a7-cae9-4e97-b541-2580a12d1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ADD7BA-FB01-49EC-B6B1-040DCE61F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60c09-1844-45b0-b4f1-cf53e6c3c76a"/>
    <ds:schemaRef ds:uri="8e72f4a7-cae9-4e97-b541-2580a12d1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854756-9527-42BF-A324-CADC7FF5A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32F85B-4A57-4E48-8589-558E4EE841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Voicu</dc:creator>
  <dc:description/>
  <cp:lastModifiedBy>Angelo Veglia</cp:lastModifiedBy>
  <cp:revision>7</cp:revision>
  <dcterms:created xsi:type="dcterms:W3CDTF">2021-01-02T08:05:00Z</dcterms:created>
  <dcterms:modified xsi:type="dcterms:W3CDTF">2021-01-03T10:47:00Z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0x010100B5308A9776426D41840A8C2CCB15B3F3</vt:lpwstr>
  </property>
</Properties>
</file>