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F47F" w14:textId="489DD2AF" w:rsidR="00B86034" w:rsidRPr="006130CB" w:rsidRDefault="00B86034">
      <w:pPr>
        <w:rPr>
          <w:lang w:val="it-IT"/>
        </w:rPr>
      </w:pPr>
    </w:p>
    <w:p w14:paraId="5260F480" w14:textId="3CE6CF93" w:rsidR="00B86034" w:rsidRPr="006130CB" w:rsidRDefault="004B07C5">
      <w:pPr>
        <w:pStyle w:val="Titolo2"/>
        <w:spacing w:after="80"/>
        <w:jc w:val="both"/>
        <w:rPr>
          <w:rFonts w:ascii="Calibri Light" w:eastAsia="Calibri" w:hAnsi="Calibri Light" w:cs="Calibri Light"/>
          <w:b/>
          <w:spacing w:val="20"/>
          <w:kern w:val="3"/>
          <w:lang w:val="it-IT"/>
        </w:rPr>
      </w:pPr>
      <w:bookmarkStart w:id="0" w:name="_Hlk4143464"/>
      <w:r w:rsidRPr="006130CB">
        <w:rPr>
          <w:rFonts w:ascii="Calibri Light" w:eastAsia="Calibri" w:hAnsi="Calibri Light" w:cs="Calibri Light"/>
          <w:b/>
          <w:spacing w:val="20"/>
          <w:kern w:val="3"/>
          <w:lang w:val="it-IT"/>
        </w:rPr>
        <w:t>Le autorità nazionali di vigilanza r</w:t>
      </w:r>
      <w:r w:rsidR="00D80A11">
        <w:rPr>
          <w:rFonts w:ascii="Calibri Light" w:eastAsia="Calibri" w:hAnsi="Calibri Light" w:cs="Calibri Light"/>
          <w:b/>
          <w:spacing w:val="20"/>
          <w:kern w:val="3"/>
          <w:lang w:val="it-IT"/>
        </w:rPr>
        <w:t xml:space="preserve">espingono </w:t>
      </w:r>
      <w:r w:rsidRPr="006130CB">
        <w:rPr>
          <w:rFonts w:ascii="Calibri Light" w:eastAsia="Calibri" w:hAnsi="Calibri Light" w:cs="Calibri Light"/>
          <w:b/>
          <w:spacing w:val="20"/>
          <w:kern w:val="3"/>
          <w:lang w:val="it-IT"/>
        </w:rPr>
        <w:t xml:space="preserve">le </w:t>
      </w:r>
      <w:r w:rsidR="00D80A11">
        <w:rPr>
          <w:rFonts w:ascii="Calibri Light" w:eastAsia="Calibri" w:hAnsi="Calibri Light" w:cs="Calibri Light"/>
          <w:b/>
          <w:spacing w:val="20"/>
          <w:kern w:val="3"/>
          <w:lang w:val="it-IT"/>
        </w:rPr>
        <w:t xml:space="preserve">norme </w:t>
      </w:r>
      <w:r w:rsidRPr="006130CB">
        <w:rPr>
          <w:rFonts w:ascii="Calibri Light" w:eastAsia="Calibri" w:hAnsi="Calibri Light" w:cs="Calibri Light"/>
          <w:b/>
          <w:spacing w:val="20"/>
          <w:kern w:val="3"/>
          <w:lang w:val="it-IT"/>
        </w:rPr>
        <w:t xml:space="preserve">per i documenti contenenti le informazioni chiave </w:t>
      </w:r>
      <w:r w:rsidR="00D80A11">
        <w:rPr>
          <w:rFonts w:ascii="Calibri Light" w:eastAsia="Calibri" w:hAnsi="Calibri Light" w:cs="Calibri Light"/>
          <w:b/>
          <w:spacing w:val="20"/>
          <w:kern w:val="3"/>
          <w:lang w:val="it-IT"/>
        </w:rPr>
        <w:t>de</w:t>
      </w:r>
      <w:r w:rsidRPr="006130CB">
        <w:rPr>
          <w:rFonts w:ascii="Calibri Light" w:eastAsia="Calibri" w:hAnsi="Calibri Light" w:cs="Calibri Light"/>
          <w:b/>
          <w:spacing w:val="20"/>
          <w:kern w:val="3"/>
          <w:lang w:val="it-IT"/>
        </w:rPr>
        <w:t>i prodotti d'investimento al dettaglio: è giunto il momento di attuare le raccomandazioni del Forum ad alto livello della Commissione europea</w:t>
      </w:r>
    </w:p>
    <w:p w14:paraId="5260F481" w14:textId="02EE3ABE" w:rsidR="00B86034" w:rsidRPr="006130CB" w:rsidRDefault="004B07C5">
      <w:pPr>
        <w:pStyle w:val="xmsonormal"/>
        <w:spacing w:after="240"/>
        <w:jc w:val="both"/>
        <w:rPr>
          <w:lang w:val="it-IT"/>
        </w:rPr>
      </w:pPr>
      <w:r w:rsidRPr="006130CB">
        <w:rPr>
          <w:rFonts w:ascii="Calibri Light" w:eastAsia="Times New Roman" w:hAnsi="Calibri Light" w:cs="Calibri Light"/>
          <w:b/>
          <w:bCs/>
          <w:lang w:val="it-IT"/>
        </w:rPr>
        <w:t xml:space="preserve">Bruxelles, 31 luglio 2020 </w:t>
      </w:r>
      <w:bookmarkEnd w:id="0"/>
      <w:r w:rsidRPr="006130CB">
        <w:rPr>
          <w:rFonts w:ascii="Calibri Light" w:eastAsia="Times New Roman" w:hAnsi="Calibri Light" w:cs="Calibri Light"/>
          <w:lang w:val="it-IT"/>
        </w:rPr>
        <w:t xml:space="preserve">- </w:t>
      </w:r>
      <w:r w:rsidRPr="006130CB">
        <w:rPr>
          <w:rFonts w:ascii="Calibri Light" w:hAnsi="Calibri Light" w:cs="Calibri Light"/>
          <w:lang w:val="it-IT"/>
        </w:rPr>
        <w:t xml:space="preserve">In una </w:t>
      </w:r>
      <w:hyperlink r:id="rId9" w:history="1">
        <w:r w:rsidR="00D80A11">
          <w:rPr>
            <w:rStyle w:val="Collegamentoipertestuale"/>
            <w:rFonts w:ascii="Calibri Light" w:hAnsi="Calibri Light" w:cs="Calibri Light"/>
            <w:lang w:val="it-IT"/>
          </w:rPr>
          <w:t>lettera</w:t>
        </w:r>
      </w:hyperlink>
      <w:r w:rsidR="00D80A11">
        <w:rPr>
          <w:rFonts w:ascii="Calibri Light" w:hAnsi="Calibri Light" w:cs="Calibri Light"/>
          <w:lang w:val="it-IT"/>
        </w:rPr>
        <w:t xml:space="preserve"> del 20 giugno 2020 a</w:t>
      </w:r>
      <w:r w:rsidRPr="006130CB">
        <w:rPr>
          <w:rFonts w:ascii="Calibri Light" w:hAnsi="Calibri Light" w:cs="Calibri Light"/>
          <w:lang w:val="it-IT"/>
        </w:rPr>
        <w:t xml:space="preserve">lla </w:t>
      </w:r>
      <w:r w:rsidR="00D80A11">
        <w:rPr>
          <w:rFonts w:ascii="Calibri Light" w:hAnsi="Calibri Light" w:cs="Calibri Light"/>
          <w:lang w:val="it-IT"/>
        </w:rPr>
        <w:t>d</w:t>
      </w:r>
      <w:r w:rsidRPr="006130CB">
        <w:rPr>
          <w:rFonts w:ascii="Calibri Light" w:hAnsi="Calibri Light" w:cs="Calibri Light"/>
          <w:lang w:val="it-IT"/>
        </w:rPr>
        <w:t xml:space="preserve">irezione generale </w:t>
      </w:r>
      <w:r w:rsidR="00D80A11">
        <w:rPr>
          <w:rFonts w:ascii="Calibri Light" w:hAnsi="Calibri Light" w:cs="Calibri Light"/>
          <w:lang w:val="it-IT"/>
        </w:rPr>
        <w:t xml:space="preserve">della </w:t>
      </w:r>
      <w:r w:rsidRPr="006130CB">
        <w:rPr>
          <w:rFonts w:ascii="Calibri Light" w:hAnsi="Calibri Light" w:cs="Calibri Light"/>
          <w:lang w:val="it-IT"/>
        </w:rPr>
        <w:t xml:space="preserve">stabilità finanziaria, </w:t>
      </w:r>
      <w:r w:rsidR="00D80A11">
        <w:rPr>
          <w:rFonts w:ascii="Calibri Light" w:hAnsi="Calibri Light" w:cs="Calibri Light"/>
          <w:lang w:val="it-IT"/>
        </w:rPr>
        <w:t>de</w:t>
      </w:r>
      <w:r w:rsidRPr="006130CB">
        <w:rPr>
          <w:rFonts w:ascii="Calibri Light" w:hAnsi="Calibri Light" w:cs="Calibri Light"/>
          <w:lang w:val="it-IT"/>
        </w:rPr>
        <w:t xml:space="preserve">i servizi </w:t>
      </w:r>
      <w:r w:rsidR="00D80A11">
        <w:rPr>
          <w:rFonts w:ascii="Calibri Light" w:hAnsi="Calibri Light" w:cs="Calibri Light"/>
          <w:lang w:val="it-IT"/>
        </w:rPr>
        <w:t xml:space="preserve">finanziari </w:t>
      </w:r>
      <w:r w:rsidRPr="006130CB">
        <w:rPr>
          <w:rFonts w:ascii="Calibri Light" w:hAnsi="Calibri Light" w:cs="Calibri Light"/>
          <w:lang w:val="it-IT"/>
        </w:rPr>
        <w:t xml:space="preserve">e </w:t>
      </w:r>
      <w:r w:rsidR="00D80A11">
        <w:rPr>
          <w:rFonts w:ascii="Calibri Light" w:hAnsi="Calibri Light" w:cs="Calibri Light"/>
          <w:lang w:val="it-IT"/>
        </w:rPr>
        <w:t>dell’Unione de</w:t>
      </w:r>
      <w:r w:rsidRPr="006130CB">
        <w:rPr>
          <w:rFonts w:ascii="Calibri Light" w:hAnsi="Calibri Light" w:cs="Calibri Light"/>
          <w:lang w:val="it-IT"/>
        </w:rPr>
        <w:t xml:space="preserve">i mercati dei capitali (DG FISMA) </w:t>
      </w:r>
      <w:r w:rsidR="00D80A11" w:rsidRPr="006130CB">
        <w:rPr>
          <w:rFonts w:ascii="Calibri Light" w:hAnsi="Calibri Light" w:cs="Calibri Light"/>
          <w:lang w:val="it-IT"/>
        </w:rPr>
        <w:t>della Commissione europea</w:t>
      </w:r>
      <w:r w:rsidRPr="006130CB">
        <w:rPr>
          <w:rFonts w:ascii="Calibri Light" w:hAnsi="Calibri Light" w:cs="Calibri Light"/>
          <w:lang w:val="it-IT"/>
        </w:rPr>
        <w:t xml:space="preserve">, le autorità </w:t>
      </w:r>
      <w:r w:rsidR="00D80A11">
        <w:rPr>
          <w:rFonts w:ascii="Calibri Light" w:hAnsi="Calibri Light" w:cs="Calibri Light"/>
          <w:lang w:val="it-IT"/>
        </w:rPr>
        <w:t xml:space="preserve">europee </w:t>
      </w:r>
      <w:r w:rsidRPr="006130CB">
        <w:rPr>
          <w:rFonts w:ascii="Calibri Light" w:hAnsi="Calibri Light" w:cs="Calibri Light"/>
          <w:lang w:val="it-IT"/>
        </w:rPr>
        <w:t>di vigilanza (</w:t>
      </w:r>
      <w:r w:rsidR="00D80A11">
        <w:rPr>
          <w:rFonts w:ascii="Calibri Light" w:hAnsi="Calibri Light" w:cs="Calibri Light"/>
          <w:lang w:val="it-IT"/>
        </w:rPr>
        <w:t>A</w:t>
      </w:r>
      <w:r w:rsidRPr="006130CB">
        <w:rPr>
          <w:rFonts w:ascii="Calibri Light" w:hAnsi="Calibri Light" w:cs="Calibri Light"/>
          <w:lang w:val="it-IT"/>
        </w:rPr>
        <w:t>E</w:t>
      </w:r>
      <w:r w:rsidR="00D80A11">
        <w:rPr>
          <w:rFonts w:ascii="Calibri Light" w:hAnsi="Calibri Light" w:cs="Calibri Light"/>
          <w:lang w:val="it-IT"/>
        </w:rPr>
        <w:t>V</w:t>
      </w:r>
      <w:r w:rsidRPr="006130CB">
        <w:rPr>
          <w:rFonts w:ascii="Calibri Light" w:hAnsi="Calibri Light" w:cs="Calibri Light"/>
          <w:lang w:val="it-IT"/>
        </w:rPr>
        <w:t>) hanno comunicato che uno dei loro rispettivi co</w:t>
      </w:r>
      <w:r w:rsidR="00D80A11">
        <w:rPr>
          <w:rFonts w:ascii="Calibri Light" w:hAnsi="Calibri Light" w:cs="Calibri Light"/>
          <w:lang w:val="it-IT"/>
        </w:rPr>
        <w:t xml:space="preserve">mitati </w:t>
      </w:r>
      <w:r w:rsidRPr="006130CB">
        <w:rPr>
          <w:rFonts w:ascii="Calibri Light" w:hAnsi="Calibri Light" w:cs="Calibri Light"/>
          <w:lang w:val="it-IT"/>
        </w:rPr>
        <w:t xml:space="preserve">di vigilanza non ha approvato il progetto di norme tecniche di regolamentazione di livello 2 (RTS) per il regolamento delegato sui documenti </w:t>
      </w:r>
      <w:r w:rsidR="00BE4298">
        <w:rPr>
          <w:rFonts w:ascii="Calibri Light" w:hAnsi="Calibri Light" w:cs="Calibri Light"/>
          <w:lang w:val="it-IT"/>
        </w:rPr>
        <w:t xml:space="preserve">contenenti </w:t>
      </w:r>
      <w:r w:rsidRPr="006130CB">
        <w:rPr>
          <w:rFonts w:ascii="Calibri Light" w:hAnsi="Calibri Light" w:cs="Calibri Light"/>
          <w:lang w:val="it-IT"/>
        </w:rPr>
        <w:t>informa</w:t>
      </w:r>
      <w:r w:rsidR="00BE4298">
        <w:rPr>
          <w:rFonts w:ascii="Calibri Light" w:hAnsi="Calibri Light" w:cs="Calibri Light"/>
          <w:lang w:val="it-IT"/>
        </w:rPr>
        <w:t xml:space="preserve">zioni </w:t>
      </w:r>
      <w:r w:rsidRPr="006130CB">
        <w:rPr>
          <w:rFonts w:ascii="Calibri Light" w:hAnsi="Calibri Light" w:cs="Calibri Light"/>
          <w:lang w:val="it-IT"/>
        </w:rPr>
        <w:t xml:space="preserve">chiave (KID) </w:t>
      </w:r>
      <w:r w:rsidR="00BE4298">
        <w:rPr>
          <w:rFonts w:ascii="Calibri Light" w:hAnsi="Calibri Light" w:cs="Calibri Light"/>
          <w:lang w:val="it-IT"/>
        </w:rPr>
        <w:t>de</w:t>
      </w:r>
      <w:r w:rsidRPr="006130CB">
        <w:rPr>
          <w:rFonts w:ascii="Calibri Light" w:hAnsi="Calibri Light" w:cs="Calibri Light"/>
          <w:lang w:val="it-IT"/>
        </w:rPr>
        <w:t>i prodotti d</w:t>
      </w:r>
      <w:r w:rsidR="00BE4298">
        <w:rPr>
          <w:rFonts w:ascii="Calibri Light" w:hAnsi="Calibri Light" w:cs="Calibri Light"/>
          <w:lang w:val="it-IT"/>
        </w:rPr>
        <w:t>’</w:t>
      </w:r>
      <w:r w:rsidRPr="006130CB">
        <w:rPr>
          <w:rFonts w:ascii="Calibri Light" w:hAnsi="Calibri Light" w:cs="Calibri Light"/>
          <w:lang w:val="it-IT"/>
        </w:rPr>
        <w:t xml:space="preserve">investimento al dettaglio </w:t>
      </w:r>
      <w:proofErr w:type="spellStart"/>
      <w:r w:rsidRPr="006130CB">
        <w:rPr>
          <w:rFonts w:ascii="Calibri Light" w:hAnsi="Calibri Light" w:cs="Calibri Light"/>
          <w:lang w:val="it-IT"/>
        </w:rPr>
        <w:t>preassemblati</w:t>
      </w:r>
      <w:proofErr w:type="spellEnd"/>
      <w:r w:rsidRPr="006130CB">
        <w:rPr>
          <w:rFonts w:ascii="Calibri Light" w:hAnsi="Calibri Light" w:cs="Calibri Light"/>
          <w:lang w:val="it-IT"/>
        </w:rPr>
        <w:t xml:space="preserve"> e i prodotti d</w:t>
      </w:r>
      <w:r w:rsidR="00BE4298">
        <w:rPr>
          <w:rFonts w:ascii="Calibri Light" w:hAnsi="Calibri Light" w:cs="Calibri Light"/>
          <w:lang w:val="it-IT"/>
        </w:rPr>
        <w:t>’</w:t>
      </w:r>
      <w:r w:rsidRPr="006130CB">
        <w:rPr>
          <w:rFonts w:ascii="Calibri Light" w:hAnsi="Calibri Light" w:cs="Calibri Light"/>
          <w:lang w:val="it-IT"/>
        </w:rPr>
        <w:t>investimento assicurativi (PRIIP). Questa situazione di stallo è dovuta a disaccordi tra i presidenti</w:t>
      </w:r>
      <w:r w:rsidR="00BE4298">
        <w:rPr>
          <w:rFonts w:ascii="Calibri Light" w:hAnsi="Calibri Light" w:cs="Calibri Light"/>
          <w:lang w:val="it-IT"/>
        </w:rPr>
        <w:t xml:space="preserve"> di diverse </w:t>
      </w:r>
      <w:r w:rsidRPr="006130CB">
        <w:rPr>
          <w:rFonts w:ascii="Calibri Light" w:hAnsi="Calibri Light" w:cs="Calibri Light"/>
          <w:lang w:val="it-IT"/>
        </w:rPr>
        <w:t xml:space="preserve">autorità di vigilanza nazionali </w:t>
      </w:r>
      <w:r w:rsidR="00BE4298">
        <w:rPr>
          <w:rFonts w:ascii="Calibri Light" w:hAnsi="Calibri Light" w:cs="Calibri Light"/>
          <w:lang w:val="it-IT"/>
        </w:rPr>
        <w:t xml:space="preserve">dovuti </w:t>
      </w:r>
      <w:r w:rsidRPr="006130CB">
        <w:rPr>
          <w:rFonts w:ascii="Calibri Light" w:hAnsi="Calibri Light" w:cs="Calibri Light"/>
          <w:lang w:val="it-IT"/>
        </w:rPr>
        <w:t xml:space="preserve">a opinioni divergenti sia sulla necessità di procedere alla revisione di livello 1 prima del livello 2, sia sulla progettazione della sezione </w:t>
      </w:r>
      <w:r w:rsidR="00BE4298">
        <w:rPr>
          <w:rFonts w:ascii="Calibri Light" w:hAnsi="Calibri Light" w:cs="Calibri Light"/>
          <w:lang w:val="it-IT"/>
        </w:rPr>
        <w:t xml:space="preserve">del documento KID </w:t>
      </w:r>
      <w:r w:rsidRPr="006130CB">
        <w:rPr>
          <w:rFonts w:ascii="Calibri Light" w:hAnsi="Calibri Light" w:cs="Calibri Light"/>
          <w:lang w:val="it-IT"/>
        </w:rPr>
        <w:t>relativa alle prestazioni.</w:t>
      </w:r>
      <w:r w:rsidRPr="006130CB">
        <w:rPr>
          <w:rStyle w:val="Rimandonotaapidipagina"/>
          <w:rFonts w:ascii="Calibri Light" w:hAnsi="Calibri Light" w:cs="Calibri Light"/>
          <w:lang w:val="it-IT"/>
        </w:rPr>
        <w:footnoteReference w:id="1"/>
      </w:r>
    </w:p>
    <w:p w14:paraId="5260F482" w14:textId="56493C81" w:rsidR="00B86034" w:rsidRPr="006130CB" w:rsidRDefault="00BA6980">
      <w:pPr>
        <w:pStyle w:val="xmsonormal"/>
        <w:spacing w:after="240"/>
        <w:jc w:val="both"/>
        <w:rPr>
          <w:lang w:val="it-IT"/>
        </w:rPr>
      </w:pPr>
      <w:r>
        <w:rPr>
          <w:rFonts w:ascii="Calibri Light" w:hAnsi="Calibri Light" w:cs="Calibri Light"/>
          <w:lang w:val="it-IT"/>
        </w:rPr>
        <w:t xml:space="preserve">Non senza sorpresa, tuttavia, </w:t>
      </w:r>
      <w:r w:rsidR="00BE4298">
        <w:rPr>
          <w:rFonts w:ascii="Calibri Light" w:hAnsi="Calibri Light" w:cs="Calibri Light"/>
          <w:lang w:val="it-IT"/>
        </w:rPr>
        <w:t xml:space="preserve">BETTER FINANCE </w:t>
      </w:r>
      <w:r w:rsidR="004B07C5" w:rsidRPr="006130CB">
        <w:rPr>
          <w:rFonts w:ascii="Calibri Light" w:hAnsi="Calibri Light" w:cs="Calibri Light"/>
          <w:lang w:val="it-IT"/>
        </w:rPr>
        <w:t xml:space="preserve">si rammarica che un periodo così lungo (2 anni) di intense consultazioni con </w:t>
      </w:r>
      <w:r w:rsidR="002132B8">
        <w:rPr>
          <w:rFonts w:ascii="Calibri Light" w:hAnsi="Calibri Light" w:cs="Calibri Light"/>
          <w:lang w:val="it-IT"/>
        </w:rPr>
        <w:t>i soggetti interessati</w:t>
      </w:r>
      <w:r w:rsidR="004B07C5" w:rsidRPr="006130CB">
        <w:rPr>
          <w:rFonts w:ascii="Calibri Light" w:hAnsi="Calibri Light" w:cs="Calibri Light"/>
          <w:lang w:val="it-IT"/>
        </w:rPr>
        <w:t xml:space="preserve"> e di test </w:t>
      </w:r>
      <w:r w:rsidR="002132B8">
        <w:rPr>
          <w:rFonts w:ascii="Calibri Light" w:hAnsi="Calibri Light" w:cs="Calibri Light"/>
          <w:lang w:val="it-IT"/>
        </w:rPr>
        <w:t xml:space="preserve">compiuti presso </w:t>
      </w:r>
      <w:r w:rsidR="004B07C5" w:rsidRPr="006130CB">
        <w:rPr>
          <w:rFonts w:ascii="Calibri Light" w:hAnsi="Calibri Light" w:cs="Calibri Light"/>
          <w:lang w:val="it-IT"/>
        </w:rPr>
        <w:t xml:space="preserve">i consumatori da parte delle AEV e della DG FISMA </w:t>
      </w:r>
      <w:r>
        <w:rPr>
          <w:rFonts w:ascii="Calibri Light" w:hAnsi="Calibri Light" w:cs="Calibri Light"/>
          <w:lang w:val="it-IT"/>
        </w:rPr>
        <w:t xml:space="preserve">sia alla fine sfociato in un </w:t>
      </w:r>
      <w:r w:rsidR="004B07C5" w:rsidRPr="006130CB">
        <w:rPr>
          <w:rFonts w:ascii="Calibri Light" w:hAnsi="Calibri Light" w:cs="Calibri Light"/>
          <w:lang w:val="it-IT"/>
        </w:rPr>
        <w:t>rifiuto del</w:t>
      </w:r>
      <w:r>
        <w:rPr>
          <w:rFonts w:ascii="Calibri Light" w:hAnsi="Calibri Light" w:cs="Calibri Light"/>
          <w:lang w:val="it-IT"/>
        </w:rPr>
        <w:t xml:space="preserve"> progetto </w:t>
      </w:r>
      <w:r w:rsidR="004B07C5" w:rsidRPr="006130CB">
        <w:rPr>
          <w:rFonts w:ascii="Calibri Light" w:hAnsi="Calibri Light" w:cs="Calibri Light"/>
          <w:lang w:val="it-IT"/>
        </w:rPr>
        <w:t>di norme modificate di livello 2. Come menzionato in molte occasioni, le principali questioni relative a</w:t>
      </w:r>
      <w:r>
        <w:rPr>
          <w:rFonts w:ascii="Calibri Light" w:hAnsi="Calibri Light" w:cs="Calibri Light"/>
          <w:lang w:val="it-IT"/>
        </w:rPr>
        <w:t>i</w:t>
      </w:r>
      <w:r w:rsidR="004B07C5" w:rsidRPr="006130CB">
        <w:rPr>
          <w:rFonts w:ascii="Calibri Light" w:hAnsi="Calibri Light" w:cs="Calibri Light"/>
          <w:lang w:val="it-IT"/>
        </w:rPr>
        <w:t xml:space="preserve"> PRIIP possono essere affrontate </w:t>
      </w:r>
      <w:r>
        <w:rPr>
          <w:rFonts w:ascii="Calibri Light" w:hAnsi="Calibri Light" w:cs="Calibri Light"/>
          <w:lang w:val="it-IT"/>
        </w:rPr>
        <w:t xml:space="preserve">dai </w:t>
      </w:r>
      <w:proofErr w:type="spellStart"/>
      <w:r>
        <w:rPr>
          <w:rFonts w:ascii="Calibri Light" w:hAnsi="Calibri Light" w:cs="Calibri Light"/>
          <w:lang w:val="it-IT"/>
        </w:rPr>
        <w:t>colegislatori</w:t>
      </w:r>
      <w:proofErr w:type="spellEnd"/>
      <w:r>
        <w:rPr>
          <w:rFonts w:ascii="Calibri Light" w:hAnsi="Calibri Light" w:cs="Calibri Light"/>
          <w:lang w:val="it-IT"/>
        </w:rPr>
        <w:t xml:space="preserve"> </w:t>
      </w:r>
      <w:r w:rsidR="004B07C5" w:rsidRPr="006130CB">
        <w:rPr>
          <w:rFonts w:ascii="Calibri Light" w:hAnsi="Calibri Light" w:cs="Calibri Light"/>
          <w:lang w:val="it-IT"/>
        </w:rPr>
        <w:t xml:space="preserve">solo al livello 1, come evidenziato dalle stesse </w:t>
      </w:r>
      <w:r>
        <w:rPr>
          <w:rFonts w:ascii="Calibri Light" w:hAnsi="Calibri Light" w:cs="Calibri Light"/>
          <w:lang w:val="it-IT"/>
        </w:rPr>
        <w:t>A</w:t>
      </w:r>
      <w:r w:rsidR="004B07C5" w:rsidRPr="006130CB">
        <w:rPr>
          <w:rFonts w:ascii="Calibri Light" w:hAnsi="Calibri Light" w:cs="Calibri Light"/>
          <w:lang w:val="it-IT"/>
        </w:rPr>
        <w:t>E</w:t>
      </w:r>
      <w:r>
        <w:rPr>
          <w:rFonts w:ascii="Calibri Light" w:hAnsi="Calibri Light" w:cs="Calibri Light"/>
          <w:lang w:val="it-IT"/>
        </w:rPr>
        <w:t>V</w:t>
      </w:r>
      <w:r w:rsidR="004B07C5" w:rsidRPr="006130CB">
        <w:rPr>
          <w:rFonts w:ascii="Calibri Light" w:hAnsi="Calibri Light" w:cs="Calibri Light"/>
          <w:lang w:val="it-IT"/>
        </w:rPr>
        <w:t xml:space="preserve">. Alla luce di questo rifiuto e in linea con la raccomandazione formulata nella </w:t>
      </w:r>
      <w:hyperlink r:id="rId10" w:history="1">
        <w:r w:rsidR="004B07C5" w:rsidRPr="006130CB">
          <w:rPr>
            <w:rStyle w:val="Collegamentoipertestuale"/>
            <w:rFonts w:ascii="Calibri Light" w:hAnsi="Calibri Light" w:cs="Calibri Light"/>
            <w:lang w:val="it-IT"/>
          </w:rPr>
          <w:t>relazione finale del Forum ad alto livello dell'Unione dei mercati dei capitali</w:t>
        </w:r>
      </w:hyperlink>
      <w:r>
        <w:rPr>
          <w:rFonts w:ascii="Calibri Light" w:hAnsi="Calibri Light" w:cs="Calibri Light"/>
          <w:lang w:val="it-IT"/>
        </w:rPr>
        <w:t>, BETTER FINANCE</w:t>
      </w:r>
      <w:r w:rsidR="004B07C5" w:rsidRPr="006130CB">
        <w:rPr>
          <w:rFonts w:ascii="Calibri Light" w:hAnsi="Calibri Light" w:cs="Calibri Light"/>
          <w:lang w:val="it-IT"/>
        </w:rPr>
        <w:t xml:space="preserve"> esorta i </w:t>
      </w:r>
      <w:proofErr w:type="spellStart"/>
      <w:r w:rsidR="004B07C5" w:rsidRPr="006130CB">
        <w:rPr>
          <w:rFonts w:ascii="Calibri Light" w:hAnsi="Calibri Light" w:cs="Calibri Light"/>
          <w:lang w:val="it-IT"/>
        </w:rPr>
        <w:t>colegislatori</w:t>
      </w:r>
      <w:proofErr w:type="spellEnd"/>
      <w:r w:rsidR="004B07C5" w:rsidRPr="006130CB">
        <w:rPr>
          <w:rFonts w:ascii="Calibri Light" w:hAnsi="Calibri Light" w:cs="Calibri Light"/>
          <w:lang w:val="it-IT"/>
        </w:rPr>
        <w:t xml:space="preserve"> a prorogare immediatamente l'attuale esenzione per gli organismi d</w:t>
      </w:r>
      <w:r>
        <w:rPr>
          <w:rFonts w:ascii="Calibri Light" w:hAnsi="Calibri Light" w:cs="Calibri Light"/>
          <w:lang w:val="it-IT"/>
        </w:rPr>
        <w:t>’</w:t>
      </w:r>
      <w:r w:rsidR="004B07C5" w:rsidRPr="006130CB">
        <w:rPr>
          <w:rFonts w:ascii="Calibri Light" w:hAnsi="Calibri Light" w:cs="Calibri Light"/>
          <w:lang w:val="it-IT"/>
        </w:rPr>
        <w:t xml:space="preserve">investimento collettivo in valori mobiliari (OICVM) dall'obbligo di produrre il </w:t>
      </w:r>
      <w:r>
        <w:rPr>
          <w:rFonts w:ascii="Calibri Light" w:hAnsi="Calibri Light" w:cs="Calibri Light"/>
          <w:lang w:val="it-IT"/>
        </w:rPr>
        <w:t xml:space="preserve">documento </w:t>
      </w:r>
      <w:r w:rsidR="004B07C5" w:rsidRPr="006130CB">
        <w:rPr>
          <w:rFonts w:ascii="Calibri Light" w:hAnsi="Calibri Light" w:cs="Calibri Light"/>
          <w:lang w:val="it-IT"/>
        </w:rPr>
        <w:t>KID de</w:t>
      </w:r>
      <w:r>
        <w:rPr>
          <w:rFonts w:ascii="Calibri Light" w:hAnsi="Calibri Light" w:cs="Calibri Light"/>
          <w:lang w:val="it-IT"/>
        </w:rPr>
        <w:t>i</w:t>
      </w:r>
      <w:r w:rsidR="004B07C5" w:rsidRPr="006130CB">
        <w:rPr>
          <w:rFonts w:ascii="Calibri Light" w:hAnsi="Calibri Light" w:cs="Calibri Light"/>
          <w:lang w:val="it-IT"/>
        </w:rPr>
        <w:t xml:space="preserve"> PRIIP, almeno fino al completamento delle revisioni di livello 1 e 2. </w:t>
      </w:r>
    </w:p>
    <w:p w14:paraId="5260F483" w14:textId="36A9C2CB" w:rsidR="00B86034" w:rsidRPr="006130CB" w:rsidRDefault="004B07C5">
      <w:pPr>
        <w:pStyle w:val="xmsonormal"/>
        <w:spacing w:after="240"/>
        <w:jc w:val="both"/>
        <w:rPr>
          <w:lang w:val="it-IT"/>
        </w:rPr>
      </w:pPr>
      <w:r w:rsidRPr="006130CB">
        <w:rPr>
          <w:rFonts w:ascii="Calibri Light" w:hAnsi="Calibri Light" w:cs="Calibri Light"/>
          <w:lang w:val="it-IT"/>
        </w:rPr>
        <w:t>Qualsiasi revisione dovrebbe iniziare dal livello 1, non il contrario. Come risulta sempre più evidente dalle prove presentate da</w:t>
      </w:r>
      <w:r w:rsidR="002D1BE4">
        <w:rPr>
          <w:rFonts w:ascii="Calibri Light" w:hAnsi="Calibri Light" w:cs="Calibri Light"/>
          <w:lang w:val="it-IT"/>
        </w:rPr>
        <w:t>i soggetti interessati</w:t>
      </w:r>
      <w:r w:rsidRPr="006130CB">
        <w:rPr>
          <w:rFonts w:ascii="Calibri Light" w:hAnsi="Calibri Light" w:cs="Calibri Light"/>
          <w:lang w:val="it-IT"/>
        </w:rPr>
        <w:t xml:space="preserve"> e dalle autorità nazionali competenti (ANC) e come proposto dalle AEV, la revisione dovrebbe urgentemente r</w:t>
      </w:r>
      <w:r w:rsidR="00A55CF6">
        <w:rPr>
          <w:rFonts w:ascii="Calibri Light" w:hAnsi="Calibri Light" w:cs="Calibri Light"/>
          <w:lang w:val="it-IT"/>
        </w:rPr>
        <w:t xml:space="preserve">eintegrare </w:t>
      </w:r>
      <w:r w:rsidRPr="006130CB">
        <w:rPr>
          <w:rFonts w:ascii="Calibri Light" w:hAnsi="Calibri Light" w:cs="Calibri Light"/>
          <w:lang w:val="it-IT"/>
        </w:rPr>
        <w:t xml:space="preserve">l'obbligo di includere i </w:t>
      </w:r>
      <w:r w:rsidRPr="006130CB">
        <w:rPr>
          <w:rFonts w:ascii="Calibri Light" w:eastAsia="Times New Roman" w:hAnsi="Calibri Light" w:cs="Calibri Light"/>
          <w:lang w:val="it-IT"/>
        </w:rPr>
        <w:t>risultati passati effettivi a lungo termine rispetto al benchmark del gestore, come avviene attualmente per il documento contenente le informazioni chiave per gli investitori</w:t>
      </w:r>
      <w:r w:rsidR="00A55CF6">
        <w:rPr>
          <w:rFonts w:ascii="Calibri Light" w:eastAsia="Times New Roman" w:hAnsi="Calibri Light" w:cs="Calibri Light"/>
          <w:lang w:val="it-IT"/>
        </w:rPr>
        <w:t xml:space="preserve"> relativamente a</w:t>
      </w:r>
      <w:r w:rsidRPr="006130CB">
        <w:rPr>
          <w:rFonts w:ascii="Calibri Light" w:eastAsia="Times New Roman" w:hAnsi="Calibri Light" w:cs="Calibri Light"/>
          <w:lang w:val="it-IT"/>
        </w:rPr>
        <w:t>gli organismi d</w:t>
      </w:r>
      <w:r w:rsidR="00A55CF6">
        <w:rPr>
          <w:rFonts w:ascii="Calibri Light" w:eastAsia="Times New Roman" w:hAnsi="Calibri Light" w:cs="Calibri Light"/>
          <w:lang w:val="it-IT"/>
        </w:rPr>
        <w:t>’</w:t>
      </w:r>
      <w:r w:rsidRPr="006130CB">
        <w:rPr>
          <w:rFonts w:ascii="Calibri Light" w:eastAsia="Times New Roman" w:hAnsi="Calibri Light" w:cs="Calibri Light"/>
          <w:lang w:val="it-IT"/>
        </w:rPr>
        <w:t>investimento collettivo in valori mobiliari (</w:t>
      </w:r>
      <w:r w:rsidR="00A55CF6">
        <w:rPr>
          <w:rFonts w:ascii="Calibri Light" w:eastAsia="Times New Roman" w:hAnsi="Calibri Light" w:cs="Calibri Light"/>
          <w:lang w:val="it-IT"/>
        </w:rPr>
        <w:t>KIID OICVM</w:t>
      </w:r>
      <w:r w:rsidRPr="006130CB">
        <w:rPr>
          <w:rFonts w:ascii="Calibri Light" w:eastAsia="Times New Roman" w:hAnsi="Calibri Light" w:cs="Calibri Light"/>
          <w:lang w:val="it-IT"/>
        </w:rPr>
        <w:t xml:space="preserve">), nella sezione del </w:t>
      </w:r>
      <w:r w:rsidR="00A55CF6">
        <w:rPr>
          <w:rFonts w:ascii="Calibri Light" w:eastAsia="Times New Roman" w:hAnsi="Calibri Light" w:cs="Calibri Light"/>
          <w:lang w:val="it-IT"/>
        </w:rPr>
        <w:t xml:space="preserve">documento </w:t>
      </w:r>
      <w:r w:rsidRPr="006130CB">
        <w:rPr>
          <w:rFonts w:ascii="Calibri Light" w:eastAsia="Times New Roman" w:hAnsi="Calibri Light" w:cs="Calibri Light"/>
          <w:lang w:val="it-IT"/>
        </w:rPr>
        <w:t>KID dei PRIIP</w:t>
      </w:r>
      <w:r w:rsidR="00A55CF6">
        <w:rPr>
          <w:rFonts w:ascii="Calibri Light" w:eastAsia="Times New Roman" w:hAnsi="Calibri Light" w:cs="Calibri Light"/>
          <w:lang w:val="it-IT"/>
        </w:rPr>
        <w:t xml:space="preserve"> relativa ai risultati</w:t>
      </w:r>
      <w:r w:rsidRPr="006130CB">
        <w:rPr>
          <w:rFonts w:ascii="Calibri Light" w:eastAsia="Times New Roman" w:hAnsi="Calibri Light" w:cs="Calibri Light"/>
          <w:lang w:val="it-IT"/>
        </w:rPr>
        <w:t xml:space="preserve">. </w:t>
      </w:r>
    </w:p>
    <w:p w14:paraId="5260F484" w14:textId="07723D96" w:rsidR="00B86034" w:rsidRPr="006130CB" w:rsidRDefault="00A55CF6">
      <w:pPr>
        <w:pStyle w:val="xmsonormal"/>
        <w:spacing w:after="240"/>
        <w:jc w:val="both"/>
        <w:rPr>
          <w:lang w:val="it-IT"/>
        </w:rPr>
      </w:pPr>
      <w:r>
        <w:rPr>
          <w:rFonts w:ascii="Calibri Light" w:eastAsia="Times New Roman" w:hAnsi="Calibri Light" w:cs="Calibri Light"/>
          <w:lang w:val="it-IT"/>
        </w:rPr>
        <w:t>Gui</w:t>
      </w:r>
      <w:r w:rsidR="008C1EE6">
        <w:rPr>
          <w:rFonts w:ascii="Calibri Light" w:eastAsia="Times New Roman" w:hAnsi="Calibri Light" w:cs="Calibri Light"/>
          <w:lang w:val="it-IT"/>
        </w:rPr>
        <w:t xml:space="preserve">llaume </w:t>
      </w:r>
      <w:proofErr w:type="spellStart"/>
      <w:r w:rsidR="008C1EE6">
        <w:rPr>
          <w:rFonts w:ascii="Calibri Light" w:eastAsia="Times New Roman" w:hAnsi="Calibri Light" w:cs="Calibri Light"/>
          <w:lang w:val="it-IT"/>
        </w:rPr>
        <w:t>Prache</w:t>
      </w:r>
      <w:proofErr w:type="spellEnd"/>
      <w:r w:rsidR="008C1EE6">
        <w:rPr>
          <w:rFonts w:ascii="Calibri Light" w:eastAsia="Times New Roman" w:hAnsi="Calibri Light" w:cs="Calibri Light"/>
          <w:lang w:val="it-IT"/>
        </w:rPr>
        <w:t>, a</w:t>
      </w:r>
      <w:r w:rsidR="004B07C5" w:rsidRPr="006130CB">
        <w:rPr>
          <w:rFonts w:ascii="Calibri Light" w:eastAsia="Times New Roman" w:hAnsi="Calibri Light" w:cs="Calibri Light"/>
          <w:lang w:val="it-IT"/>
        </w:rPr>
        <w:t>mministratore delegato di BETTER FINANCE, sottolinea il fatto che "</w:t>
      </w:r>
      <w:r>
        <w:rPr>
          <w:rFonts w:ascii="Calibri Light" w:eastAsia="Times New Roman" w:hAnsi="Calibri Light" w:cs="Calibri Light"/>
          <w:i/>
          <w:iCs/>
          <w:lang w:val="it-IT"/>
        </w:rPr>
        <w:t>per i consumatori, i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l contenuto </w:t>
      </w:r>
      <w:r>
        <w:rPr>
          <w:rFonts w:ascii="Calibri Light" w:eastAsia="Times New Roman" w:hAnsi="Calibri Light" w:cs="Calibri Light"/>
          <w:i/>
          <w:iCs/>
          <w:lang w:val="it-IT"/>
        </w:rPr>
        <w:t xml:space="preserve">e la struttura 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>attual</w:t>
      </w:r>
      <w:r>
        <w:rPr>
          <w:rFonts w:ascii="Calibri Light" w:eastAsia="Times New Roman" w:hAnsi="Calibri Light" w:cs="Calibri Light"/>
          <w:i/>
          <w:iCs/>
          <w:lang w:val="it-IT"/>
        </w:rPr>
        <w:t>i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 del </w:t>
      </w:r>
      <w:r>
        <w:rPr>
          <w:rFonts w:ascii="Calibri Light" w:eastAsia="Times New Roman" w:hAnsi="Calibri Light" w:cs="Calibri Light"/>
          <w:i/>
          <w:iCs/>
          <w:lang w:val="it-IT"/>
        </w:rPr>
        <w:t xml:space="preserve">documento KID dei 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PRIIP </w:t>
      </w:r>
      <w:r>
        <w:rPr>
          <w:rFonts w:ascii="Calibri Light" w:eastAsia="Times New Roman" w:hAnsi="Calibri Light" w:cs="Calibri Light"/>
          <w:i/>
          <w:iCs/>
          <w:lang w:val="it-IT"/>
        </w:rPr>
        <w:t>sono altamente discutibili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. Le </w:t>
      </w:r>
      <w:r>
        <w:rPr>
          <w:rFonts w:ascii="Calibri Light" w:eastAsia="Times New Roman" w:hAnsi="Calibri Light" w:cs="Calibri Light"/>
          <w:i/>
          <w:iCs/>
          <w:lang w:val="it-IT"/>
        </w:rPr>
        <w:t>A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>E</w:t>
      </w:r>
      <w:r>
        <w:rPr>
          <w:rFonts w:ascii="Calibri Light" w:eastAsia="Times New Roman" w:hAnsi="Calibri Light" w:cs="Calibri Light"/>
          <w:i/>
          <w:iCs/>
          <w:lang w:val="it-IT"/>
        </w:rPr>
        <w:t>V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 sono </w:t>
      </w:r>
      <w:r>
        <w:rPr>
          <w:rFonts w:ascii="Calibri Light" w:eastAsia="Times New Roman" w:hAnsi="Calibri Light" w:cs="Calibri Light"/>
          <w:i/>
          <w:iCs/>
          <w:lang w:val="it-IT"/>
        </w:rPr>
        <w:t xml:space="preserve">rimaste vittime del 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>fuoco incrociato d</w:t>
      </w:r>
      <w:r>
        <w:rPr>
          <w:rFonts w:ascii="Calibri Light" w:eastAsia="Times New Roman" w:hAnsi="Calibri Light" w:cs="Calibri Light"/>
          <w:i/>
          <w:iCs/>
          <w:lang w:val="it-IT"/>
        </w:rPr>
        <w:t>elle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 opinioni divergenti d</w:t>
      </w:r>
      <w:r>
        <w:rPr>
          <w:rFonts w:ascii="Calibri Light" w:eastAsia="Times New Roman" w:hAnsi="Calibri Light" w:cs="Calibri Light"/>
          <w:i/>
          <w:iCs/>
          <w:lang w:val="it-IT"/>
        </w:rPr>
        <w:t>i soggetti interessati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, consumatori, </w:t>
      </w:r>
      <w:r>
        <w:rPr>
          <w:rFonts w:ascii="Calibri Light" w:eastAsia="Times New Roman" w:hAnsi="Calibri Light" w:cs="Calibri Light"/>
          <w:i/>
          <w:iCs/>
          <w:lang w:val="it-IT"/>
        </w:rPr>
        <w:t>responsabili delle decisioni</w:t>
      </w:r>
      <w:r w:rsidR="004B07C5"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 e autorità nazionali di vigilanza</w:t>
      </w:r>
      <w:r w:rsidR="004B07C5" w:rsidRPr="006130CB">
        <w:rPr>
          <w:rFonts w:ascii="Calibri Light" w:eastAsia="Times New Roman" w:hAnsi="Calibri Light" w:cs="Calibri Light"/>
          <w:lang w:val="it-IT"/>
        </w:rPr>
        <w:t>".</w:t>
      </w:r>
    </w:p>
    <w:p w14:paraId="5260F485" w14:textId="628FDBB6" w:rsidR="00B86034" w:rsidRPr="006130CB" w:rsidRDefault="004B07C5">
      <w:pPr>
        <w:pStyle w:val="xmsonormal"/>
        <w:spacing w:after="240"/>
        <w:jc w:val="both"/>
        <w:rPr>
          <w:lang w:val="it-IT"/>
        </w:rPr>
      </w:pPr>
      <w:r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"D'altra parte", </w:t>
      </w:r>
      <w:r w:rsidRPr="006130CB">
        <w:rPr>
          <w:rFonts w:ascii="Calibri Light" w:eastAsia="Times New Roman" w:hAnsi="Calibri Light" w:cs="Calibri Light"/>
          <w:lang w:val="it-IT"/>
        </w:rPr>
        <w:t xml:space="preserve">afferma </w:t>
      </w:r>
      <w:proofErr w:type="spellStart"/>
      <w:r w:rsidRPr="006130CB">
        <w:rPr>
          <w:rFonts w:ascii="Calibri Light" w:eastAsia="Times New Roman" w:hAnsi="Calibri Light" w:cs="Calibri Light"/>
          <w:lang w:val="it-IT"/>
        </w:rPr>
        <w:t>Prache</w:t>
      </w:r>
      <w:proofErr w:type="spellEnd"/>
      <w:r w:rsidRPr="006130CB">
        <w:rPr>
          <w:rFonts w:ascii="Calibri Light" w:eastAsia="Times New Roman" w:hAnsi="Calibri Light" w:cs="Calibri Light"/>
          <w:lang w:val="it-IT"/>
        </w:rPr>
        <w:t xml:space="preserve">, 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"ci potrebbe essere in realtà un lato positivo in </w:t>
      </w:r>
      <w:r w:rsidR="00A55CF6">
        <w:rPr>
          <w:rFonts w:ascii="Calibri Light" w:eastAsia="Times New Roman" w:hAnsi="Calibri Light" w:cs="Calibri Light"/>
          <w:i/>
          <w:iCs/>
          <w:lang w:val="it-IT"/>
        </w:rPr>
        <w:t xml:space="preserve">questo 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>s</w:t>
      </w:r>
      <w:r w:rsidR="00A55CF6">
        <w:rPr>
          <w:rFonts w:ascii="Calibri Light" w:eastAsia="Times New Roman" w:hAnsi="Calibri Light" w:cs="Calibri Light"/>
          <w:i/>
          <w:iCs/>
          <w:lang w:val="it-IT"/>
        </w:rPr>
        <w:t xml:space="preserve">piacevole 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ritardo, poiché </w:t>
      </w:r>
      <w:r w:rsidR="00A55CF6">
        <w:rPr>
          <w:rFonts w:ascii="Calibri Light" w:eastAsia="Times New Roman" w:hAnsi="Calibri Light" w:cs="Calibri Light"/>
          <w:i/>
          <w:iCs/>
          <w:lang w:val="it-IT"/>
        </w:rPr>
        <w:t>il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 rifiuto del</w:t>
      </w:r>
      <w:r w:rsidR="00A55CF6">
        <w:rPr>
          <w:rFonts w:ascii="Calibri Light" w:eastAsia="Times New Roman" w:hAnsi="Calibri Light" w:cs="Calibri Light"/>
          <w:i/>
          <w:iCs/>
          <w:lang w:val="it-IT"/>
        </w:rPr>
        <w:t xml:space="preserve"> progetto RTS per i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 PRIIP da parte del Comitato congiunto delle AEV può </w:t>
      </w:r>
      <w:r w:rsidR="00A55CF6">
        <w:rPr>
          <w:rFonts w:ascii="Calibri Light" w:eastAsia="Times New Roman" w:hAnsi="Calibri Light" w:cs="Calibri Light"/>
          <w:i/>
          <w:iCs/>
          <w:lang w:val="it-IT"/>
        </w:rPr>
        <w:t xml:space="preserve">veramente 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rappresentare </w:t>
      </w:r>
      <w:r w:rsidR="00A55CF6">
        <w:rPr>
          <w:rFonts w:ascii="Calibri Light" w:eastAsia="Times New Roman" w:hAnsi="Calibri Light" w:cs="Calibri Light"/>
          <w:i/>
          <w:iCs/>
          <w:lang w:val="it-IT"/>
        </w:rPr>
        <w:t>l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>'o</w:t>
      </w:r>
      <w:r w:rsidR="00A55CF6">
        <w:rPr>
          <w:rFonts w:ascii="Calibri Light" w:eastAsia="Times New Roman" w:hAnsi="Calibri Light" w:cs="Calibri Light"/>
          <w:i/>
          <w:iCs/>
          <w:lang w:val="it-IT"/>
        </w:rPr>
        <w:t xml:space="preserve">ccasione di 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effettuare </w:t>
      </w:r>
      <w:r w:rsidR="00653363">
        <w:rPr>
          <w:rFonts w:ascii="Calibri Light" w:eastAsia="Times New Roman" w:hAnsi="Calibri Light" w:cs="Calibri Light"/>
          <w:i/>
          <w:iCs/>
          <w:lang w:val="it-IT"/>
        </w:rPr>
        <w:t xml:space="preserve">il necessario riesame 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>dei regolamenti PRIIP di livello 1 e 2, a condizione che l</w:t>
      </w:r>
      <w:r w:rsidR="00653363">
        <w:rPr>
          <w:rFonts w:ascii="Calibri Light" w:eastAsia="Times New Roman" w:hAnsi="Calibri Light" w:cs="Calibri Light"/>
          <w:i/>
          <w:iCs/>
          <w:lang w:val="it-IT"/>
        </w:rPr>
        <w:t xml:space="preserve">a deroga 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per i fondi OICVM sia estesa </w:t>
      </w:r>
      <w:r w:rsidR="00653363">
        <w:rPr>
          <w:rFonts w:ascii="Calibri Light" w:eastAsia="Times New Roman" w:hAnsi="Calibri Light" w:cs="Calibri Light"/>
          <w:i/>
          <w:iCs/>
          <w:lang w:val="it-IT"/>
        </w:rPr>
        <w:t xml:space="preserve">anche dopo 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>il completamento di quest</w:t>
      </w:r>
      <w:r w:rsidR="00653363">
        <w:rPr>
          <w:rFonts w:ascii="Calibri Light" w:eastAsia="Times New Roman" w:hAnsi="Calibri Light" w:cs="Calibri Light"/>
          <w:i/>
          <w:iCs/>
          <w:lang w:val="it-IT"/>
        </w:rPr>
        <w:t>o riesame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>, come fortemente raccomandato il mese scorso dal</w:t>
      </w:r>
      <w:r w:rsidR="00653363">
        <w:rPr>
          <w:rFonts w:ascii="Calibri Light" w:eastAsia="Times New Roman" w:hAnsi="Calibri Light" w:cs="Calibri Light"/>
          <w:i/>
          <w:iCs/>
          <w:lang w:val="it-IT"/>
        </w:rPr>
        <w:t xml:space="preserve"> Forum </w:t>
      </w:r>
      <w:r w:rsidR="008C1EE6">
        <w:rPr>
          <w:rFonts w:ascii="Calibri Light" w:eastAsia="Times New Roman" w:hAnsi="Calibri Light" w:cs="Calibri Light"/>
          <w:i/>
          <w:iCs/>
          <w:lang w:val="it-IT"/>
        </w:rPr>
        <w:t>a</w:t>
      </w:r>
      <w:r w:rsidR="00653363">
        <w:rPr>
          <w:rFonts w:ascii="Calibri Light" w:eastAsia="Times New Roman" w:hAnsi="Calibri Light" w:cs="Calibri Light"/>
          <w:i/>
          <w:iCs/>
          <w:lang w:val="it-IT"/>
        </w:rPr>
        <w:t xml:space="preserve">d alto livello della 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>CMU istituit</w:t>
      </w:r>
      <w:r w:rsidR="00653363">
        <w:rPr>
          <w:rFonts w:ascii="Calibri Light" w:eastAsia="Times New Roman" w:hAnsi="Calibri Light" w:cs="Calibri Light"/>
          <w:i/>
          <w:iCs/>
          <w:lang w:val="it-IT"/>
        </w:rPr>
        <w:t>o</w:t>
      </w:r>
      <w:r w:rsidRPr="006130CB">
        <w:rPr>
          <w:rFonts w:ascii="Calibri Light" w:eastAsia="Times New Roman" w:hAnsi="Calibri Light" w:cs="Calibri Light"/>
          <w:i/>
          <w:iCs/>
          <w:lang w:val="it-IT"/>
        </w:rPr>
        <w:t xml:space="preserve"> dalla stessa CE".</w:t>
      </w:r>
    </w:p>
    <w:p w14:paraId="5260F486" w14:textId="7F987951" w:rsidR="00B86034" w:rsidRPr="005C253B" w:rsidRDefault="00653363">
      <w:pPr>
        <w:pStyle w:val="xmsonormal"/>
        <w:jc w:val="both"/>
        <w:rPr>
          <w:rFonts w:ascii="Calibri Light" w:hAnsi="Calibri Light" w:cs="Calibri Light"/>
          <w:i/>
          <w:iCs/>
          <w:lang w:val="it-IT"/>
        </w:rPr>
      </w:pPr>
      <w:bookmarkStart w:id="1" w:name="_GoBack"/>
      <w:bookmarkEnd w:id="1"/>
      <w:proofErr w:type="spellStart"/>
      <w:r>
        <w:rPr>
          <w:rFonts w:ascii="Calibri Light" w:hAnsi="Calibri Light" w:cs="Calibri Light"/>
          <w:lang w:val="it-IT"/>
        </w:rPr>
        <w:lastRenderedPageBreak/>
        <w:t>Prache</w:t>
      </w:r>
      <w:proofErr w:type="spellEnd"/>
      <w:r>
        <w:rPr>
          <w:rFonts w:ascii="Calibri Light" w:hAnsi="Calibri Light" w:cs="Calibri Light"/>
          <w:lang w:val="it-IT"/>
        </w:rPr>
        <w:t xml:space="preserve"> a</w:t>
      </w:r>
      <w:r w:rsidR="004B07C5" w:rsidRPr="006130CB">
        <w:rPr>
          <w:rFonts w:ascii="Calibri Light" w:hAnsi="Calibri Light" w:cs="Calibri Light"/>
          <w:lang w:val="it-IT"/>
        </w:rPr>
        <w:t xml:space="preserve">ggiunge </w:t>
      </w:r>
      <w:r>
        <w:rPr>
          <w:rFonts w:ascii="Calibri Light" w:hAnsi="Calibri Light" w:cs="Calibri Light"/>
          <w:lang w:val="it-IT"/>
        </w:rPr>
        <w:t>altresì di essere</w:t>
      </w:r>
      <w:r w:rsidR="004B07C5" w:rsidRPr="006130CB">
        <w:rPr>
          <w:rFonts w:ascii="Calibri Light" w:hAnsi="Calibri Light" w:cs="Calibri Light"/>
          <w:lang w:val="it-IT"/>
        </w:rPr>
        <w:t xml:space="preserve"> "</w:t>
      </w:r>
      <w:r w:rsidR="004B07C5" w:rsidRPr="006130CB">
        <w:rPr>
          <w:rFonts w:ascii="Calibri Light" w:hAnsi="Calibri Light" w:cs="Calibri Light"/>
          <w:i/>
          <w:iCs/>
          <w:lang w:val="it-IT"/>
        </w:rPr>
        <w:t xml:space="preserve">lieto di vedere che molte modifiche proposte o sostenute da BETTER FINANCE hanno </w:t>
      </w:r>
      <w:r>
        <w:rPr>
          <w:rFonts w:ascii="Calibri Light" w:hAnsi="Calibri Light" w:cs="Calibri Light"/>
          <w:i/>
          <w:iCs/>
          <w:lang w:val="it-IT"/>
        </w:rPr>
        <w:t xml:space="preserve">ricevuto il </w:t>
      </w:r>
      <w:r w:rsidR="004B07C5" w:rsidRPr="006130CB">
        <w:rPr>
          <w:rFonts w:ascii="Calibri Light" w:hAnsi="Calibri Light" w:cs="Calibri Light"/>
          <w:i/>
          <w:iCs/>
          <w:lang w:val="it-IT"/>
        </w:rPr>
        <w:t>sostegno di una maggioranza qualificata presso l'Autorità bancaria europea (</w:t>
      </w:r>
      <w:r>
        <w:rPr>
          <w:rFonts w:ascii="Calibri Light" w:hAnsi="Calibri Light" w:cs="Calibri Light"/>
          <w:i/>
          <w:iCs/>
          <w:lang w:val="it-IT"/>
        </w:rPr>
        <w:t>AB</w:t>
      </w:r>
      <w:r w:rsidR="004B07C5" w:rsidRPr="006130CB">
        <w:rPr>
          <w:rFonts w:ascii="Calibri Light" w:hAnsi="Calibri Light" w:cs="Calibri Light"/>
          <w:i/>
          <w:iCs/>
          <w:lang w:val="it-IT"/>
        </w:rPr>
        <w:t>E) e l'Autorità europea degli strumenti finanziari e dei mercati (ESMA)".</w:t>
      </w:r>
    </w:p>
    <w:p w14:paraId="5260F487" w14:textId="77777777" w:rsidR="00B86034" w:rsidRPr="006130CB" w:rsidRDefault="004B07C5">
      <w:pPr>
        <w:spacing w:before="120" w:after="0" w:line="240" w:lineRule="auto"/>
        <w:jc w:val="center"/>
        <w:rPr>
          <w:rFonts w:ascii="Calibri Light" w:hAnsi="Calibri Light" w:cs="Calibri Light"/>
          <w:lang w:val="it-IT"/>
        </w:rPr>
      </w:pPr>
      <w:r w:rsidRPr="006130CB">
        <w:rPr>
          <w:rFonts w:ascii="Calibri Light" w:hAnsi="Calibri Light" w:cs="Calibri Light"/>
          <w:lang w:val="it-IT"/>
        </w:rPr>
        <w:t>***</w:t>
      </w:r>
    </w:p>
    <w:p w14:paraId="5260F488" w14:textId="77777777" w:rsidR="00B86034" w:rsidRPr="006130CB" w:rsidRDefault="004B07C5">
      <w:pPr>
        <w:pStyle w:val="Corpotesto"/>
        <w:spacing w:after="0" w:line="240" w:lineRule="auto"/>
        <w:jc w:val="center"/>
        <w:rPr>
          <w:lang w:val="it-IT"/>
        </w:rPr>
      </w:pPr>
      <w:r w:rsidRPr="006130CB">
        <w:rPr>
          <w:rFonts w:ascii="Calibri Light" w:hAnsi="Calibri Light" w:cs="Calibri Light"/>
          <w:sz w:val="20"/>
          <w:u w:val="single"/>
          <w:lang w:val="it-IT"/>
        </w:rPr>
        <w:t>Contatto</w:t>
      </w:r>
      <w:r w:rsidRPr="006130CB">
        <w:rPr>
          <w:rFonts w:ascii="Calibri Light" w:hAnsi="Calibri Light" w:cs="Calibri Light"/>
          <w:sz w:val="20"/>
          <w:lang w:val="it-IT"/>
        </w:rPr>
        <w:t xml:space="preserve">: Direttore delle comunicazioni ǀ </w:t>
      </w:r>
      <w:proofErr w:type="spellStart"/>
      <w:r w:rsidRPr="006130CB">
        <w:rPr>
          <w:rFonts w:ascii="Calibri Light" w:hAnsi="Calibri Light" w:cs="Calibri Light"/>
          <w:sz w:val="20"/>
          <w:lang w:val="it-IT"/>
        </w:rPr>
        <w:t>Arnaud</w:t>
      </w:r>
      <w:proofErr w:type="spellEnd"/>
      <w:r w:rsidRPr="006130CB">
        <w:rPr>
          <w:rFonts w:ascii="Calibri Light" w:hAnsi="Calibri Light" w:cs="Calibri Light"/>
          <w:sz w:val="20"/>
          <w:lang w:val="it-IT"/>
        </w:rPr>
        <w:t xml:space="preserve"> </w:t>
      </w:r>
      <w:proofErr w:type="spellStart"/>
      <w:r w:rsidRPr="006130CB">
        <w:rPr>
          <w:rFonts w:ascii="Calibri Light" w:hAnsi="Calibri Light" w:cs="Calibri Light"/>
          <w:sz w:val="20"/>
          <w:lang w:val="it-IT"/>
        </w:rPr>
        <w:t>Houdmont</w:t>
      </w:r>
      <w:proofErr w:type="spellEnd"/>
      <w:r w:rsidRPr="006130CB">
        <w:rPr>
          <w:rFonts w:ascii="Calibri Light" w:hAnsi="Calibri Light" w:cs="Calibri Light"/>
          <w:sz w:val="20"/>
          <w:lang w:val="it-IT"/>
        </w:rPr>
        <w:t xml:space="preserve"> ǀ +32 (0)2 514 37 77 ǀ </w:t>
      </w:r>
      <w:hyperlink r:id="rId11" w:history="1">
        <w:r w:rsidRPr="006130CB">
          <w:rPr>
            <w:rStyle w:val="Collegamentoipertestuale"/>
            <w:rFonts w:ascii="Calibri Light" w:hAnsi="Calibri Light" w:cs="Calibri Light"/>
            <w:sz w:val="20"/>
            <w:lang w:val="it-IT"/>
          </w:rPr>
          <w:t xml:space="preserve">houdmont@betterfinance.eu </w:t>
        </w:r>
      </w:hyperlink>
    </w:p>
    <w:sectPr w:rsidR="00B86034" w:rsidRPr="006130C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92645" w14:textId="77777777" w:rsidR="00692784" w:rsidRDefault="00692784">
      <w:pPr>
        <w:spacing w:after="0" w:line="240" w:lineRule="auto"/>
      </w:pPr>
      <w:r>
        <w:separator/>
      </w:r>
    </w:p>
  </w:endnote>
  <w:endnote w:type="continuationSeparator" w:id="0">
    <w:p w14:paraId="2691FE19" w14:textId="77777777" w:rsidR="00692784" w:rsidRDefault="0069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F494" w14:textId="77777777" w:rsidR="00482A13" w:rsidRPr="004B07C5" w:rsidRDefault="004B07C5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 w:rsidRPr="004B07C5">
      <w:rPr>
        <w:b/>
        <w:color w:val="006FB4"/>
        <w:sz w:val="16"/>
        <w:szCs w:val="16"/>
        <w:lang w:val="fr-BE"/>
      </w:rPr>
      <w:t>La Federazione europea degli investitori e degli utenti dei servizi finanziari</w:t>
    </w:r>
  </w:p>
  <w:p w14:paraId="5260F495" w14:textId="77777777" w:rsidR="00482A13" w:rsidRDefault="004B07C5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 xml:space="preserve">44, Rue </w:t>
    </w:r>
    <w:proofErr w:type="spellStart"/>
    <w:r>
      <w:rPr>
        <w:color w:val="006FB4"/>
        <w:sz w:val="16"/>
        <w:szCs w:val="16"/>
        <w:lang w:val="de-DE"/>
      </w:rPr>
      <w:t>d'Arenberg</w:t>
    </w:r>
    <w:proofErr w:type="spellEnd"/>
    <w:r>
      <w:rPr>
        <w:color w:val="006FB4"/>
        <w:sz w:val="16"/>
        <w:szCs w:val="16"/>
        <w:lang w:val="de-DE"/>
      </w:rPr>
      <w:t xml:space="preserve">, 1000 Bruxelles - </w:t>
    </w:r>
    <w:proofErr w:type="spellStart"/>
    <w:r>
      <w:rPr>
        <w:color w:val="006FB4"/>
        <w:sz w:val="16"/>
        <w:szCs w:val="16"/>
        <w:lang w:val="de-DE"/>
      </w:rPr>
      <w:t>Belgio</w:t>
    </w:r>
    <w:proofErr w:type="spellEnd"/>
  </w:p>
  <w:p w14:paraId="5260F496" w14:textId="77777777" w:rsidR="00482A13" w:rsidRDefault="004B07C5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5260F497" w14:textId="77777777" w:rsidR="00482A13" w:rsidRDefault="004B07C5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E-mail: info@betterfinance.eu - </w:t>
    </w:r>
    <w:bookmarkStart w:id="2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F6E9A" w14:textId="77777777" w:rsidR="00692784" w:rsidRDefault="006927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ED4678" w14:textId="77777777" w:rsidR="00692784" w:rsidRDefault="00692784">
      <w:pPr>
        <w:spacing w:after="0" w:line="240" w:lineRule="auto"/>
      </w:pPr>
      <w:r>
        <w:continuationSeparator/>
      </w:r>
    </w:p>
  </w:footnote>
  <w:footnote w:id="1">
    <w:p w14:paraId="5260F488" w14:textId="59915C62" w:rsidR="00B86034" w:rsidRPr="00653363" w:rsidRDefault="004B07C5">
      <w:pPr>
        <w:pStyle w:val="Testonotaapidipagina"/>
        <w:rPr>
          <w:lang w:val="it-IT"/>
        </w:rPr>
      </w:pPr>
      <w:r w:rsidRPr="00653363">
        <w:rPr>
          <w:rStyle w:val="Rimandonotaapidipagina"/>
          <w:lang w:val="it-IT"/>
        </w:rPr>
        <w:footnoteRef/>
      </w:r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Si veda, ad esempio, il </w:t>
      </w:r>
      <w:proofErr w:type="spellStart"/>
      <w:r w:rsidRPr="00653363">
        <w:rPr>
          <w:rFonts w:ascii="Calibri Light" w:hAnsi="Calibri Light" w:cs="Calibri Light"/>
          <w:sz w:val="16"/>
          <w:szCs w:val="16"/>
          <w:lang w:val="it-IT"/>
        </w:rPr>
        <w:t>BaFin</w:t>
      </w:r>
      <w:proofErr w:type="spellEnd"/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Journal del novembre 2019 </w:t>
      </w:r>
      <w:r w:rsidR="00653363">
        <w:rPr>
          <w:rFonts w:ascii="Calibri Light" w:hAnsi="Calibri Light" w:cs="Calibri Light"/>
          <w:sz w:val="16"/>
          <w:szCs w:val="16"/>
          <w:lang w:val="it-IT"/>
        </w:rPr>
        <w:t xml:space="preserve">nel quale è </w:t>
      </w:r>
      <w:r w:rsidRPr="00653363">
        <w:rPr>
          <w:rFonts w:ascii="Calibri Light" w:hAnsi="Calibri Light" w:cs="Calibri Light"/>
          <w:sz w:val="16"/>
          <w:szCs w:val="16"/>
          <w:lang w:val="it-IT"/>
        </w:rPr>
        <w:t>indica</w:t>
      </w:r>
      <w:r w:rsidR="00653363">
        <w:rPr>
          <w:rFonts w:ascii="Calibri Light" w:hAnsi="Calibri Light" w:cs="Calibri Light"/>
          <w:sz w:val="16"/>
          <w:szCs w:val="16"/>
          <w:lang w:val="it-IT"/>
        </w:rPr>
        <w:t>to</w:t>
      </w:r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che alcune questioni possono essere affrontate ri</w:t>
      </w:r>
      <w:r w:rsidR="00653363">
        <w:rPr>
          <w:rFonts w:ascii="Calibri Light" w:hAnsi="Calibri Light" w:cs="Calibri Light"/>
          <w:sz w:val="16"/>
          <w:szCs w:val="16"/>
          <w:lang w:val="it-IT"/>
        </w:rPr>
        <w:t xml:space="preserve">esaminando il </w:t>
      </w:r>
      <w:r w:rsidRPr="00653363">
        <w:rPr>
          <w:rFonts w:ascii="Calibri Light" w:hAnsi="Calibri Light" w:cs="Calibri Light"/>
          <w:sz w:val="16"/>
          <w:szCs w:val="16"/>
          <w:lang w:val="it-IT"/>
        </w:rPr>
        <w:t>regolamento PRIIP</w:t>
      </w:r>
      <w:r w:rsidR="00653363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r w:rsidRPr="00653363">
        <w:rPr>
          <w:rFonts w:ascii="Calibri Light" w:hAnsi="Calibri Light" w:cs="Calibri Light"/>
          <w:sz w:val="16"/>
          <w:szCs w:val="16"/>
          <w:lang w:val="it-IT"/>
        </w:rPr>
        <w:t>s</w:t>
      </w:r>
      <w:r w:rsidR="00653363">
        <w:rPr>
          <w:rFonts w:ascii="Calibri Light" w:hAnsi="Calibri Light" w:cs="Calibri Light"/>
          <w:sz w:val="16"/>
          <w:szCs w:val="16"/>
          <w:lang w:val="it-IT"/>
        </w:rPr>
        <w:t>tesso</w:t>
      </w:r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- </w:t>
      </w:r>
      <w:proofErr w:type="spellStart"/>
      <w:r w:rsidRPr="00653363">
        <w:rPr>
          <w:rFonts w:ascii="Calibri Light" w:hAnsi="Calibri Light" w:cs="Calibri Light"/>
          <w:sz w:val="16"/>
          <w:szCs w:val="16"/>
          <w:lang w:val="it-IT"/>
        </w:rPr>
        <w:t>Bundesanstalt</w:t>
      </w:r>
      <w:proofErr w:type="spellEnd"/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653363">
        <w:rPr>
          <w:rFonts w:ascii="Calibri Light" w:hAnsi="Calibri Light" w:cs="Calibri Light"/>
          <w:sz w:val="16"/>
          <w:szCs w:val="16"/>
          <w:lang w:val="it-IT"/>
        </w:rPr>
        <w:t>fur</w:t>
      </w:r>
      <w:proofErr w:type="spellEnd"/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653363">
        <w:rPr>
          <w:rFonts w:ascii="Calibri Light" w:hAnsi="Calibri Light" w:cs="Calibri Light"/>
          <w:sz w:val="16"/>
          <w:szCs w:val="16"/>
          <w:lang w:val="it-IT"/>
        </w:rPr>
        <w:t>Finanzdienstleistungsaufischt</w:t>
      </w:r>
      <w:proofErr w:type="spellEnd"/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, </w:t>
      </w:r>
      <w:proofErr w:type="spellStart"/>
      <w:r w:rsidRPr="00653363">
        <w:rPr>
          <w:rFonts w:ascii="Calibri Light" w:hAnsi="Calibri Light" w:cs="Calibri Light"/>
          <w:sz w:val="16"/>
          <w:szCs w:val="16"/>
          <w:lang w:val="it-IT"/>
        </w:rPr>
        <w:t>Der</w:t>
      </w:r>
      <w:proofErr w:type="spellEnd"/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653363">
        <w:rPr>
          <w:rFonts w:ascii="Calibri Light" w:hAnsi="Calibri Light" w:cs="Calibri Light"/>
          <w:sz w:val="16"/>
          <w:szCs w:val="16"/>
          <w:lang w:val="it-IT"/>
        </w:rPr>
        <w:t>Kunden</w:t>
      </w:r>
      <w:proofErr w:type="spellEnd"/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653363">
        <w:rPr>
          <w:rFonts w:ascii="Calibri Light" w:hAnsi="Calibri Light" w:cs="Calibri Light"/>
          <w:sz w:val="16"/>
          <w:szCs w:val="16"/>
          <w:lang w:val="it-IT"/>
        </w:rPr>
        <w:t>im</w:t>
      </w:r>
      <w:proofErr w:type="spellEnd"/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653363">
        <w:rPr>
          <w:rFonts w:ascii="Calibri Light" w:hAnsi="Calibri Light" w:cs="Calibri Light"/>
          <w:sz w:val="16"/>
          <w:szCs w:val="16"/>
          <w:lang w:val="it-IT"/>
        </w:rPr>
        <w:t>der</w:t>
      </w:r>
      <w:proofErr w:type="spellEnd"/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653363">
        <w:rPr>
          <w:rFonts w:ascii="Calibri Light" w:hAnsi="Calibri Light" w:cs="Calibri Light"/>
          <w:sz w:val="16"/>
          <w:szCs w:val="16"/>
          <w:lang w:val="it-IT"/>
        </w:rPr>
        <w:t>Blick</w:t>
      </w:r>
      <w:proofErr w:type="spellEnd"/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, </w:t>
      </w:r>
      <w:proofErr w:type="spellStart"/>
      <w:r w:rsidRPr="00653363">
        <w:rPr>
          <w:rFonts w:ascii="Calibri Light" w:hAnsi="Calibri Light" w:cs="Calibri Light"/>
          <w:sz w:val="16"/>
          <w:szCs w:val="16"/>
          <w:lang w:val="it-IT"/>
        </w:rPr>
        <w:t>Seite</w:t>
      </w:r>
      <w:proofErr w:type="spellEnd"/>
      <w:r w:rsidRPr="00653363">
        <w:rPr>
          <w:rFonts w:ascii="Calibri Light" w:hAnsi="Calibri Light" w:cs="Calibri Light"/>
          <w:sz w:val="16"/>
          <w:szCs w:val="16"/>
          <w:lang w:val="it-IT"/>
        </w:rPr>
        <w:t xml:space="preserve"> 16, p. 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F48E" w14:textId="77777777" w:rsidR="00482A13" w:rsidRDefault="004B07C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60F486" wp14:editId="5260F487">
          <wp:simplePos x="0" y="0"/>
          <wp:positionH relativeFrom="margin">
            <wp:posOffset>2564133</wp:posOffset>
          </wp:positionH>
          <wp:positionV relativeFrom="paragraph">
            <wp:posOffset>-189225</wp:posOffset>
          </wp:positionV>
          <wp:extent cx="3138165" cy="645164"/>
          <wp:effectExtent l="0" t="0" r="5085" b="2536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260F48F" w14:textId="77777777" w:rsidR="00482A13" w:rsidRDefault="00692784">
    <w:pPr>
      <w:pStyle w:val="Intestazione"/>
    </w:pPr>
  </w:p>
  <w:p w14:paraId="5260F490" w14:textId="77777777" w:rsidR="00482A13" w:rsidRDefault="00692784">
    <w:pPr>
      <w:pStyle w:val="Intestazione"/>
      <w:rPr>
        <w:sz w:val="12"/>
        <w:szCs w:val="12"/>
      </w:rPr>
    </w:pPr>
  </w:p>
  <w:p w14:paraId="5260F491" w14:textId="77777777" w:rsidR="00482A13" w:rsidRDefault="00692784">
    <w:pPr>
      <w:pStyle w:val="Intestazione"/>
      <w:rPr>
        <w:sz w:val="12"/>
        <w:szCs w:val="12"/>
      </w:rPr>
    </w:pPr>
  </w:p>
  <w:p w14:paraId="5260F492" w14:textId="77777777" w:rsidR="00482A13" w:rsidRDefault="00692784">
    <w:pPr>
      <w:pStyle w:val="Intestazion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34"/>
    <w:rsid w:val="002132B8"/>
    <w:rsid w:val="002D1BE4"/>
    <w:rsid w:val="004B07C5"/>
    <w:rsid w:val="005C253B"/>
    <w:rsid w:val="006130CB"/>
    <w:rsid w:val="00653363"/>
    <w:rsid w:val="00692784"/>
    <w:rsid w:val="00896207"/>
    <w:rsid w:val="008C1EE6"/>
    <w:rsid w:val="00A55CF6"/>
    <w:rsid w:val="00B86034"/>
    <w:rsid w:val="00BA6980"/>
    <w:rsid w:val="00BE4298"/>
    <w:rsid w:val="00D80A11"/>
    <w:rsid w:val="00F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F47F"/>
  <w15:docId w15:val="{B115B56C-121D-47F5-ABAC-71B20CD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Carpredefinitoparagrafo"/>
  </w:style>
  <w:style w:type="paragraph" w:styleId="Corpotesto">
    <w:name w:val="Body Text"/>
    <w:basedOn w:val="Normale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Carpredefinitoparagrafo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Carpredefinitoparagrafo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Testofumetto">
    <w:name w:val="Balloon Text"/>
    <w:basedOn w:val="Normal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Heading2Char">
    <w:name w:val="Heading 2 Char"/>
    <w:basedOn w:val="Carpredefinitoparagrafo"/>
    <w:rPr>
      <w:rFonts w:ascii="Cambria" w:eastAsia="SimSun" w:hAnsi="Cambria" w:cs="Times New Roman"/>
      <w:color w:val="365F91"/>
      <w:sz w:val="26"/>
      <w:szCs w:val="26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Heading1Char">
    <w:name w:val="Heading 1 Char"/>
    <w:basedOn w:val="Carpredefinitoparagrafo"/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e"/>
    <w:pPr>
      <w:spacing w:after="0" w:line="240" w:lineRule="auto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udmont@betterfinanc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info/sites/info/files/business_economy_euro/growth_and_investment/documents/200610-cmu-high-level-forum-final-report_e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sma.europa.eu/sites/default/files/library/esas_2020_19_outcome_of_esa_review_on_priip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04791-B899-4A23-BB7F-41B97F819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166F4-826B-44CB-A9BD-0BEA7FC91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F047A-FFE1-4834-A8EC-E5208FBC2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Angelo Veglia</cp:lastModifiedBy>
  <cp:revision>7</cp:revision>
  <cp:lastPrinted>2020-06-09T11:09:00Z</cp:lastPrinted>
  <dcterms:created xsi:type="dcterms:W3CDTF">2021-01-02T06:46:00Z</dcterms:created>
  <dcterms:modified xsi:type="dcterms:W3CDTF">2021-01-03T10:43:00Z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