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07738" w14:textId="384EF95E" w:rsidR="00055B80" w:rsidRDefault="00055B80"/>
    <w:p w14:paraId="00807739" w14:textId="77777777" w:rsidR="00055B80" w:rsidRPr="003A7E0D" w:rsidRDefault="003A7E0D">
      <w:pPr>
        <w:pStyle w:val="Corpotesto"/>
        <w:spacing w:after="120" w:line="240" w:lineRule="auto"/>
        <w:jc w:val="both"/>
        <w:rPr>
          <w:lang w:val="es-ES"/>
        </w:rPr>
      </w:pPr>
      <w:bookmarkStart w:id="0" w:name="_Hlk4143464"/>
      <w:r w:rsidRPr="003A7E0D">
        <w:rPr>
          <w:rStyle w:val="Enfasigrassetto"/>
          <w:sz w:val="18"/>
          <w:lang w:val="es-ES"/>
        </w:rPr>
        <w:t>COMUNICATO STAMPA</w:t>
      </w:r>
    </w:p>
    <w:p w14:paraId="0080773A" w14:textId="00D8128C" w:rsidR="00055B80" w:rsidRPr="003A7E0D" w:rsidRDefault="003A7E0D">
      <w:pPr>
        <w:pStyle w:val="Titolo2"/>
        <w:spacing w:after="80"/>
        <w:jc w:val="both"/>
        <w:rPr>
          <w:rFonts w:ascii="Lato" w:eastAsia="Calibri" w:hAnsi="Lato" w:cs="Arial"/>
          <w:b/>
          <w:spacing w:val="20"/>
          <w:kern w:val="3"/>
          <w:sz w:val="24"/>
          <w:szCs w:val="24"/>
          <w:lang w:val="es-ES"/>
        </w:rPr>
      </w:pPr>
      <w:r w:rsidRPr="003A7E0D">
        <w:rPr>
          <w:rFonts w:ascii="Lato" w:eastAsia="Calibri" w:hAnsi="Lato" w:cs="Arial"/>
          <w:b/>
          <w:spacing w:val="20"/>
          <w:kern w:val="3"/>
          <w:sz w:val="24"/>
          <w:szCs w:val="24"/>
          <w:lang w:val="es-ES"/>
        </w:rPr>
        <w:t>Il rapporto del Forum ad alto livello sull'Unione europea dei mercati dei capitali:</w:t>
      </w:r>
    </w:p>
    <w:p w14:paraId="0080773B" w14:textId="64D82FA4" w:rsidR="00055B80" w:rsidRPr="00931353" w:rsidRDefault="003A7E0D">
      <w:pPr>
        <w:pStyle w:val="Titolo2"/>
        <w:spacing w:after="80"/>
        <w:jc w:val="center"/>
        <w:rPr>
          <w:lang w:val="it-IT"/>
        </w:rPr>
      </w:pPr>
      <w:r w:rsidRPr="00931353">
        <w:rPr>
          <w:rFonts w:eastAsia="Calibri" w:cs="Arial"/>
          <w:b/>
          <w:spacing w:val="20"/>
          <w:kern w:val="3"/>
          <w:sz w:val="30"/>
          <w:szCs w:val="30"/>
          <w:lang w:val="it-IT"/>
        </w:rPr>
        <w:t xml:space="preserve">I risparmiatori europei </w:t>
      </w:r>
      <w:r w:rsidR="00DE31B5" w:rsidRPr="00931353">
        <w:rPr>
          <w:rFonts w:eastAsia="Calibri" w:cs="Arial"/>
          <w:b/>
          <w:spacing w:val="20"/>
          <w:kern w:val="3"/>
          <w:sz w:val="30"/>
          <w:szCs w:val="30"/>
          <w:lang w:val="it-IT"/>
        </w:rPr>
        <w:t xml:space="preserve">sono più vicini a </w:t>
      </w:r>
      <w:r w:rsidRPr="00931353">
        <w:rPr>
          <w:rFonts w:eastAsia="Calibri" w:cs="Arial"/>
          <w:b/>
          <w:spacing w:val="20"/>
          <w:kern w:val="3"/>
          <w:sz w:val="30"/>
          <w:szCs w:val="30"/>
          <w:lang w:val="it-IT"/>
        </w:rPr>
        <w:t>ottenere un valore sostenibile per il loro denaro</w:t>
      </w:r>
    </w:p>
    <w:p w14:paraId="0080773C" w14:textId="46B17955" w:rsidR="00055B80" w:rsidRPr="00931353" w:rsidRDefault="003A7E0D">
      <w:pPr>
        <w:spacing w:after="120" w:line="240" w:lineRule="auto"/>
        <w:jc w:val="both"/>
        <w:rPr>
          <w:lang w:val="it-IT"/>
        </w:rPr>
      </w:pPr>
      <w:r w:rsidRPr="00931353">
        <w:rPr>
          <w:rFonts w:ascii="Calibri Light" w:eastAsia="Times New Roman" w:hAnsi="Calibri Light" w:cs="Calibri Light"/>
          <w:b/>
          <w:bCs/>
          <w:lang w:val="it-IT"/>
        </w:rPr>
        <w:t>Bruxelles, 10 giugno 2020</w:t>
      </w:r>
      <w:bookmarkEnd w:id="0"/>
      <w:r w:rsidRPr="00931353">
        <w:rPr>
          <w:rFonts w:ascii="Calibri Light" w:eastAsia="Times New Roman" w:hAnsi="Calibri Light" w:cs="Calibri Light"/>
          <w:b/>
          <w:bCs/>
          <w:lang w:val="it-IT"/>
        </w:rPr>
        <w:t xml:space="preserve"> </w:t>
      </w:r>
      <w:r w:rsidRPr="00931353">
        <w:rPr>
          <w:rFonts w:ascii="Calibri Light" w:eastAsia="Times New Roman" w:hAnsi="Calibri Light" w:cs="Calibri Light"/>
          <w:lang w:val="it-IT"/>
        </w:rPr>
        <w:t>- Poco più di 6 mesi dopo che</w:t>
      </w:r>
      <w:bookmarkStart w:id="1" w:name="_Hlk42455178"/>
      <w:r w:rsidR="00DE31B5" w:rsidRPr="00931353">
        <w:rPr>
          <w:rFonts w:ascii="Calibri Light" w:eastAsia="Times New Roman" w:hAnsi="Calibri Light" w:cs="Calibri Light"/>
          <w:lang w:val="it-IT"/>
        </w:rPr>
        <w:t xml:space="preserve"> la Commissione e</w:t>
      </w:r>
      <w:r w:rsidRPr="00931353">
        <w:rPr>
          <w:rFonts w:ascii="Calibri Light" w:eastAsia="Times New Roman" w:hAnsi="Calibri Light" w:cs="Calibri Light"/>
          <w:lang w:val="it-IT"/>
        </w:rPr>
        <w:t>uropea (CE) ha lanciato il suo Forum ad alto livello (HLF) sul futuro dell</w:t>
      </w:r>
      <w:r w:rsidR="000356BE">
        <w:rPr>
          <w:rFonts w:ascii="Calibri Light" w:eastAsia="Times New Roman" w:hAnsi="Calibri Light" w:cs="Calibri Light"/>
          <w:lang w:val="it-IT"/>
        </w:rPr>
        <w:t>’Unione dei mercati dei capitali (</w:t>
      </w:r>
      <w:r w:rsidRPr="00931353">
        <w:rPr>
          <w:rFonts w:ascii="Calibri Light" w:eastAsia="Times New Roman" w:hAnsi="Calibri Light" w:cs="Calibri Light"/>
          <w:lang w:val="it-IT"/>
        </w:rPr>
        <w:t>CMU</w:t>
      </w:r>
      <w:r w:rsidR="000356BE">
        <w:rPr>
          <w:rFonts w:ascii="Calibri Light" w:eastAsia="Times New Roman" w:hAnsi="Calibri Light" w:cs="Calibri Light"/>
          <w:lang w:val="it-IT"/>
        </w:rPr>
        <w:t>)</w:t>
      </w:r>
      <w:r w:rsidRPr="00931353">
        <w:rPr>
          <w:rFonts w:ascii="Calibri Light" w:eastAsia="Times New Roman" w:hAnsi="Calibri Light" w:cs="Calibri Light"/>
          <w:lang w:val="it-IT"/>
        </w:rPr>
        <w:t xml:space="preserve">, </w:t>
      </w:r>
      <w:bookmarkEnd w:id="1"/>
      <w:r w:rsidRPr="00931353">
        <w:rPr>
          <w:rFonts w:ascii="Calibri Light" w:eastAsia="Times New Roman" w:hAnsi="Calibri Light" w:cs="Calibri Light"/>
          <w:lang w:val="it-IT"/>
        </w:rPr>
        <w:t xml:space="preserve">il gruppo di 28 esperti ha pubblicato il </w:t>
      </w:r>
      <w:r w:rsidR="00DE31B5" w:rsidRPr="00931353">
        <w:rPr>
          <w:rFonts w:ascii="Calibri Light" w:eastAsia="Times New Roman" w:hAnsi="Calibri Light" w:cs="Calibri Light"/>
          <w:lang w:val="it-IT"/>
        </w:rPr>
        <w:t xml:space="preserve">documento </w:t>
      </w:r>
      <w:bookmarkStart w:id="2" w:name="_Hlk42455220"/>
      <w:r w:rsidRPr="00931353">
        <w:fldChar w:fldCharType="begin"/>
      </w:r>
      <w:r w:rsidR="00DE31B5" w:rsidRPr="00931353">
        <w:rPr>
          <w:lang w:val="it-IT"/>
        </w:rPr>
        <w:instrText>HYPERLINK "https://ec.europa.eu/info/files/200610-cmu-high-level-forum-final-report_en"</w:instrText>
      </w:r>
      <w:r w:rsidRPr="00931353">
        <w:fldChar w:fldCharType="separate"/>
      </w:r>
      <w:r w:rsidRPr="00931353">
        <w:rPr>
          <w:rStyle w:val="Collegamentoipertestuale"/>
          <w:rFonts w:ascii="Calibri Light" w:eastAsia="Times New Roman" w:hAnsi="Calibri Light" w:cs="Calibri Light"/>
          <w:lang w:val="it-IT"/>
        </w:rPr>
        <w:t>"</w:t>
      </w:r>
      <w:r w:rsidRPr="00931353">
        <w:rPr>
          <w:rStyle w:val="Collegamentoipertestuale"/>
          <w:rFonts w:ascii="Calibri Light" w:eastAsia="Times New Roman" w:hAnsi="Calibri Light" w:cs="Calibri Light"/>
          <w:i/>
          <w:iCs/>
          <w:lang w:val="it-IT"/>
        </w:rPr>
        <w:t xml:space="preserve">New Vision for </w:t>
      </w:r>
      <w:proofErr w:type="spellStart"/>
      <w:r w:rsidRPr="00931353">
        <w:rPr>
          <w:rStyle w:val="Collegamentoipertestuale"/>
          <w:rFonts w:ascii="Calibri Light" w:eastAsia="Times New Roman" w:hAnsi="Calibri Light" w:cs="Calibri Light"/>
          <w:i/>
          <w:iCs/>
          <w:lang w:val="it-IT"/>
        </w:rPr>
        <w:t>Europe’s</w:t>
      </w:r>
      <w:proofErr w:type="spellEnd"/>
      <w:r w:rsidRPr="00931353">
        <w:rPr>
          <w:rStyle w:val="Collegamentoipertestuale"/>
          <w:rFonts w:ascii="Calibri Light" w:eastAsia="Times New Roman" w:hAnsi="Calibri Light" w:cs="Calibri Light"/>
          <w:i/>
          <w:iCs/>
          <w:lang w:val="it-IT"/>
        </w:rPr>
        <w:t xml:space="preserve"> Capital </w:t>
      </w:r>
      <w:proofErr w:type="spellStart"/>
      <w:r w:rsidRPr="00931353">
        <w:rPr>
          <w:rStyle w:val="Collegamentoipertestuale"/>
          <w:rFonts w:ascii="Calibri Light" w:eastAsia="Times New Roman" w:hAnsi="Calibri Light" w:cs="Calibri Light"/>
          <w:i/>
          <w:iCs/>
          <w:lang w:val="it-IT"/>
        </w:rPr>
        <w:t>Markets</w:t>
      </w:r>
      <w:proofErr w:type="spellEnd"/>
      <w:r w:rsidRPr="00931353">
        <w:rPr>
          <w:rStyle w:val="Collegamentoipertestuale"/>
          <w:rFonts w:ascii="Calibri Light" w:eastAsia="Times New Roman" w:hAnsi="Calibri Light" w:cs="Calibri Light"/>
          <w:lang w:val="it-IT"/>
        </w:rPr>
        <w:t>”</w:t>
      </w:r>
      <w:r w:rsidRPr="00931353">
        <w:rPr>
          <w:rStyle w:val="Collegamentoipertestuale"/>
          <w:rFonts w:ascii="Calibri Light" w:eastAsia="Times New Roman" w:hAnsi="Calibri Light" w:cs="Calibri Light"/>
          <w:lang w:val="it-IT"/>
        </w:rPr>
        <w:fldChar w:fldCharType="end"/>
      </w:r>
      <w:bookmarkEnd w:id="2"/>
      <w:r w:rsidR="00DE31B5" w:rsidRPr="00931353">
        <w:rPr>
          <w:rFonts w:ascii="Calibri Light" w:eastAsia="Times New Roman" w:hAnsi="Calibri Light" w:cs="Calibri Light"/>
          <w:lang w:val="it-IT"/>
        </w:rPr>
        <w:t xml:space="preserve"> </w:t>
      </w:r>
      <w:r w:rsidRPr="00931353">
        <w:rPr>
          <w:rFonts w:ascii="Calibri Light" w:eastAsia="Times New Roman" w:hAnsi="Calibri Light" w:cs="Calibri Light"/>
          <w:lang w:val="it-IT"/>
        </w:rPr>
        <w:t>con un</w:t>
      </w:r>
      <w:r w:rsidR="00DE31B5" w:rsidRPr="00931353">
        <w:rPr>
          <w:rFonts w:ascii="Calibri Light" w:eastAsia="Times New Roman" w:hAnsi="Calibri Light" w:cs="Calibri Light"/>
          <w:lang w:val="it-IT"/>
        </w:rPr>
        <w:t xml:space="preserve"> elenco </w:t>
      </w:r>
      <w:r w:rsidRPr="00931353">
        <w:rPr>
          <w:rFonts w:ascii="Calibri Light" w:eastAsia="Times New Roman" w:hAnsi="Calibri Light" w:cs="Calibri Light"/>
          <w:lang w:val="it-IT"/>
        </w:rPr>
        <w:t xml:space="preserve">di raccomandazioni chiave. Molte di queste sono state proposte da BETTER FINANCE e approvate dal Gruppo, il che è una buona notizia per i cittadini dell'UE </w:t>
      </w:r>
      <w:r w:rsidR="00DE31B5" w:rsidRPr="00931353">
        <w:rPr>
          <w:rFonts w:ascii="Calibri Light" w:eastAsia="Times New Roman" w:hAnsi="Calibri Light" w:cs="Calibri Light"/>
          <w:lang w:val="it-IT"/>
        </w:rPr>
        <w:t xml:space="preserve">in quanto </w:t>
      </w:r>
      <w:r w:rsidRPr="00931353">
        <w:rPr>
          <w:rFonts w:ascii="Calibri Light" w:eastAsia="Times New Roman" w:hAnsi="Calibri Light" w:cs="Calibri Light"/>
          <w:lang w:val="it-IT"/>
        </w:rPr>
        <w:t>utenti finanziari.</w:t>
      </w:r>
    </w:p>
    <w:p w14:paraId="0080773D" w14:textId="17FDA0FA" w:rsidR="00055B80" w:rsidRPr="00931353" w:rsidRDefault="003A7E0D">
      <w:pPr>
        <w:spacing w:after="120" w:line="240" w:lineRule="auto"/>
        <w:jc w:val="both"/>
        <w:rPr>
          <w:lang w:val="it-IT"/>
        </w:rPr>
      </w:pPr>
      <w:bookmarkStart w:id="3" w:name="_Hlk42455249"/>
      <w:r w:rsidRPr="00931353">
        <w:rPr>
          <w:rFonts w:ascii="Calibri Light" w:eastAsia="Times New Roman" w:hAnsi="Calibri Light" w:cs="Calibri Light"/>
          <w:lang w:val="it-IT"/>
        </w:rPr>
        <w:t xml:space="preserve">L'amministratore delegato di BETTER FINANCE, Guillaume </w:t>
      </w:r>
      <w:proofErr w:type="spellStart"/>
      <w:r w:rsidRPr="00931353">
        <w:rPr>
          <w:rFonts w:ascii="Calibri Light" w:eastAsia="Times New Roman" w:hAnsi="Calibri Light" w:cs="Calibri Light"/>
          <w:lang w:val="it-IT"/>
        </w:rPr>
        <w:t>Prache</w:t>
      </w:r>
      <w:proofErr w:type="spellEnd"/>
      <w:r w:rsidRPr="00931353">
        <w:rPr>
          <w:rFonts w:ascii="Calibri Light" w:eastAsia="Times New Roman" w:hAnsi="Calibri Light" w:cs="Calibri Light"/>
          <w:lang w:val="it-IT"/>
        </w:rPr>
        <w:t>, è stato uno degli unici due rappresentanti dei cittadini dell'UE</w:t>
      </w:r>
      <w:r w:rsidR="00ED77C1" w:rsidRPr="00931353">
        <w:rPr>
          <w:rFonts w:ascii="Calibri Light" w:eastAsia="Times New Roman" w:hAnsi="Calibri Light" w:cs="Calibri Light"/>
          <w:lang w:val="it-IT"/>
        </w:rPr>
        <w:t xml:space="preserve">, </w:t>
      </w:r>
      <w:r w:rsidRPr="00931353">
        <w:rPr>
          <w:rFonts w:ascii="Calibri Light" w:eastAsia="Times New Roman" w:hAnsi="Calibri Light" w:cs="Calibri Light"/>
          <w:lang w:val="it-IT"/>
        </w:rPr>
        <w:t>risparmiatori e investitori</w:t>
      </w:r>
      <w:r w:rsidR="00ED77C1" w:rsidRPr="00931353">
        <w:rPr>
          <w:rFonts w:ascii="Calibri Light" w:eastAsia="Times New Roman" w:hAnsi="Calibri Light" w:cs="Calibri Light"/>
          <w:lang w:val="it-IT"/>
        </w:rPr>
        <w:t>,</w:t>
      </w:r>
      <w:r w:rsidRPr="00931353">
        <w:rPr>
          <w:rFonts w:ascii="Calibri Light" w:eastAsia="Times New Roman" w:hAnsi="Calibri Light" w:cs="Calibri Light"/>
          <w:lang w:val="it-IT"/>
        </w:rPr>
        <w:t xml:space="preserve"> tra i 28 membri del</w:t>
      </w:r>
      <w:r w:rsidR="00ED77C1" w:rsidRPr="00931353">
        <w:rPr>
          <w:rFonts w:ascii="Calibri Light" w:eastAsia="Times New Roman" w:hAnsi="Calibri Light" w:cs="Calibri Light"/>
          <w:lang w:val="it-IT"/>
        </w:rPr>
        <w:t xml:space="preserve"> Forum</w:t>
      </w:r>
      <w:r w:rsidRPr="00931353">
        <w:rPr>
          <w:rFonts w:ascii="Calibri Light" w:eastAsia="Times New Roman" w:hAnsi="Calibri Light" w:cs="Calibri Light"/>
          <w:lang w:val="it-IT"/>
        </w:rPr>
        <w:t xml:space="preserve">. </w:t>
      </w:r>
      <w:bookmarkEnd w:id="3"/>
      <w:r w:rsidRPr="00931353">
        <w:rPr>
          <w:rFonts w:ascii="Calibri Light" w:eastAsia="Times New Roman" w:hAnsi="Calibri Light" w:cs="Calibri Light"/>
          <w:lang w:val="it-IT"/>
        </w:rPr>
        <w:t>Nonostante sia stat</w:t>
      </w:r>
      <w:r w:rsidR="00ED77C1" w:rsidRPr="00931353">
        <w:rPr>
          <w:rFonts w:ascii="Calibri Light" w:eastAsia="Times New Roman" w:hAnsi="Calibri Light" w:cs="Calibri Light"/>
          <w:lang w:val="it-IT"/>
        </w:rPr>
        <w:t>a</w:t>
      </w:r>
      <w:r w:rsidRPr="00931353">
        <w:rPr>
          <w:rFonts w:ascii="Calibri Light" w:eastAsia="Times New Roman" w:hAnsi="Calibri Light" w:cs="Calibri Light"/>
          <w:lang w:val="it-IT"/>
        </w:rPr>
        <w:t xml:space="preserve"> mess</w:t>
      </w:r>
      <w:r w:rsidR="00ED77C1" w:rsidRPr="00931353">
        <w:rPr>
          <w:rFonts w:ascii="Calibri Light" w:eastAsia="Times New Roman" w:hAnsi="Calibri Light" w:cs="Calibri Light"/>
          <w:lang w:val="it-IT"/>
        </w:rPr>
        <w:t>a</w:t>
      </w:r>
      <w:r w:rsidRPr="00931353">
        <w:rPr>
          <w:rFonts w:ascii="Calibri Light" w:eastAsia="Times New Roman" w:hAnsi="Calibri Light" w:cs="Calibri Light"/>
          <w:lang w:val="it-IT"/>
        </w:rPr>
        <w:t xml:space="preserve"> in ombra da almeno 18 membri in rappresentanza degli intermediari finanziari o </w:t>
      </w:r>
      <w:r w:rsidR="00ED77C1" w:rsidRPr="00931353">
        <w:rPr>
          <w:rFonts w:ascii="Calibri Light" w:eastAsia="Times New Roman" w:hAnsi="Calibri Light" w:cs="Calibri Light"/>
          <w:lang w:val="it-IT"/>
        </w:rPr>
        <w:t xml:space="preserve">di loro incaricati </w:t>
      </w:r>
      <w:r w:rsidRPr="00931353">
        <w:rPr>
          <w:rFonts w:ascii="Calibri Light" w:eastAsia="Times New Roman" w:hAnsi="Calibri Light" w:cs="Calibri Light"/>
          <w:lang w:val="it-IT"/>
        </w:rPr>
        <w:t>(inclusi sei dirigenti di istitu</w:t>
      </w:r>
      <w:r w:rsidR="00ED77C1" w:rsidRPr="00931353">
        <w:rPr>
          <w:rFonts w:ascii="Calibri Light" w:eastAsia="Times New Roman" w:hAnsi="Calibri Light" w:cs="Calibri Light"/>
          <w:lang w:val="it-IT"/>
        </w:rPr>
        <w:t>ti finanziari</w:t>
      </w:r>
      <w:r w:rsidRPr="00931353">
        <w:rPr>
          <w:rFonts w:ascii="Calibri Light" w:eastAsia="Times New Roman" w:hAnsi="Calibri Light" w:cs="Calibri Light"/>
          <w:lang w:val="it-IT"/>
        </w:rPr>
        <w:t xml:space="preserve"> statunitensi </w:t>
      </w:r>
      <w:r w:rsidR="00ED77C1" w:rsidRPr="00931353">
        <w:rPr>
          <w:rFonts w:ascii="Calibri Light" w:eastAsia="Times New Roman" w:hAnsi="Calibri Light" w:cs="Calibri Light"/>
          <w:lang w:val="it-IT"/>
        </w:rPr>
        <w:t>di grandissime dimensioni</w:t>
      </w:r>
      <w:r w:rsidRPr="00931353">
        <w:rPr>
          <w:rFonts w:ascii="Calibri Light" w:eastAsia="Times New Roman" w:hAnsi="Calibri Light" w:cs="Calibri Light"/>
          <w:lang w:val="it-IT"/>
        </w:rPr>
        <w:t xml:space="preserve">), </w:t>
      </w:r>
      <w:r w:rsidR="00ED77C1" w:rsidRPr="00931353">
        <w:rPr>
          <w:rFonts w:ascii="Calibri Light" w:eastAsia="Times New Roman" w:hAnsi="Calibri Light" w:cs="Calibri Light"/>
          <w:lang w:val="it-IT"/>
        </w:rPr>
        <w:t xml:space="preserve">BETTER FINANCE </w:t>
      </w:r>
      <w:r w:rsidRPr="00931353">
        <w:rPr>
          <w:rFonts w:ascii="Calibri Light" w:eastAsia="Times New Roman" w:hAnsi="Calibri Light" w:cs="Calibri Light"/>
          <w:lang w:val="it-IT"/>
        </w:rPr>
        <w:t>è lieta</w:t>
      </w:r>
      <w:r w:rsidR="00ED77C1" w:rsidRPr="00931353">
        <w:rPr>
          <w:rFonts w:ascii="Calibri Light" w:eastAsia="Times New Roman" w:hAnsi="Calibri Light" w:cs="Calibri Light"/>
          <w:lang w:val="it-IT"/>
        </w:rPr>
        <w:t>,</w:t>
      </w:r>
      <w:r w:rsidRPr="00931353">
        <w:rPr>
          <w:rFonts w:ascii="Calibri Light" w:eastAsia="Times New Roman" w:hAnsi="Calibri Light" w:cs="Calibri Light"/>
          <w:lang w:val="it-IT"/>
        </w:rPr>
        <w:t xml:space="preserve"> e grata </w:t>
      </w:r>
      <w:r w:rsidR="00ED77C1" w:rsidRPr="00931353">
        <w:rPr>
          <w:rFonts w:ascii="Calibri Light" w:eastAsia="Times New Roman" w:hAnsi="Calibri Light" w:cs="Calibri Light"/>
          <w:lang w:val="it-IT"/>
        </w:rPr>
        <w:t xml:space="preserve">per </w:t>
      </w:r>
      <w:r w:rsidRPr="00931353">
        <w:rPr>
          <w:rFonts w:ascii="Calibri Light" w:eastAsia="Times New Roman" w:hAnsi="Calibri Light" w:cs="Calibri Light"/>
          <w:lang w:val="it-IT"/>
        </w:rPr>
        <w:t xml:space="preserve">l'aiuto della CE, di aver potuto </w:t>
      </w:r>
      <w:r w:rsidR="00ED77C1" w:rsidRPr="00931353">
        <w:rPr>
          <w:rFonts w:ascii="Calibri Light" w:eastAsia="Times New Roman" w:hAnsi="Calibri Light" w:cs="Calibri Light"/>
          <w:lang w:val="it-IT"/>
        </w:rPr>
        <w:t>comunicare –</w:t>
      </w:r>
      <w:r w:rsidRPr="00931353">
        <w:rPr>
          <w:rFonts w:ascii="Calibri Light" w:eastAsia="Times New Roman" w:hAnsi="Calibri Light" w:cs="Calibri Light"/>
          <w:lang w:val="it-IT"/>
        </w:rPr>
        <w:t xml:space="preserve"> almeno in parte </w:t>
      </w:r>
      <w:r w:rsidR="00ED77C1" w:rsidRPr="00931353">
        <w:rPr>
          <w:rFonts w:ascii="Calibri Light" w:eastAsia="Times New Roman" w:hAnsi="Calibri Light" w:cs="Calibri Light"/>
          <w:lang w:val="it-IT"/>
        </w:rPr>
        <w:t>–</w:t>
      </w:r>
      <w:r w:rsidRPr="00931353">
        <w:rPr>
          <w:rFonts w:ascii="Calibri Light" w:eastAsia="Times New Roman" w:hAnsi="Calibri Light" w:cs="Calibri Light"/>
          <w:lang w:val="it-IT"/>
        </w:rPr>
        <w:t xml:space="preserve"> molte delle sue </w:t>
      </w:r>
      <w:hyperlink r:id="rId10" w:history="1">
        <w:r w:rsidR="00ED77C1" w:rsidRPr="00931353">
          <w:rPr>
            <w:rStyle w:val="Collegamentoipertestuale"/>
            <w:rFonts w:ascii="Calibri Light" w:eastAsia="Times New Roman" w:hAnsi="Calibri Light" w:cs="Calibri Light"/>
            <w:lang w:val="it-IT"/>
          </w:rPr>
          <w:t>priorità chiave</w:t>
        </w:r>
      </w:hyperlink>
      <w:r w:rsidR="00ED77C1" w:rsidRPr="00931353">
        <w:rPr>
          <w:rFonts w:ascii="Calibri Light" w:eastAsia="Times New Roman" w:hAnsi="Calibri Light" w:cs="Calibri Light"/>
          <w:lang w:val="it-IT"/>
        </w:rPr>
        <w:t xml:space="preserve"> p</w:t>
      </w:r>
      <w:r w:rsidRPr="00931353">
        <w:rPr>
          <w:rFonts w:ascii="Calibri Light" w:eastAsia="Times New Roman" w:hAnsi="Calibri Light" w:cs="Calibri Light"/>
          <w:lang w:val="it-IT"/>
        </w:rPr>
        <w:t>ubblicate l'anno scorso.</w:t>
      </w:r>
    </w:p>
    <w:p w14:paraId="0080773E" w14:textId="3E0FB724" w:rsidR="00055B80" w:rsidRPr="00931353" w:rsidRDefault="00ED77C1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lang w:val="it-IT"/>
        </w:rPr>
      </w:pPr>
      <w:r w:rsidRPr="00931353">
        <w:rPr>
          <w:rFonts w:ascii="Calibri Light" w:eastAsia="Times New Roman" w:hAnsi="Calibri Light" w:cs="Calibri Light"/>
          <w:b/>
          <w:bCs/>
          <w:i/>
          <w:iCs/>
          <w:lang w:val="it-IT"/>
        </w:rPr>
        <w:t>Una CMU al servizio del</w:t>
      </w:r>
      <w:r w:rsidR="003A7E0D" w:rsidRPr="00931353">
        <w:rPr>
          <w:rFonts w:ascii="Calibri Light" w:eastAsia="Times New Roman" w:hAnsi="Calibri Light" w:cs="Calibri Light"/>
          <w:b/>
          <w:bCs/>
          <w:i/>
          <w:iCs/>
          <w:lang w:val="it-IT"/>
        </w:rPr>
        <w:t>le persone</w:t>
      </w:r>
    </w:p>
    <w:p w14:paraId="0080773F" w14:textId="1AC89F37" w:rsidR="00055B80" w:rsidRPr="00931353" w:rsidRDefault="003A7E0D">
      <w:pPr>
        <w:spacing w:after="120" w:line="240" w:lineRule="auto"/>
        <w:jc w:val="both"/>
        <w:rPr>
          <w:lang w:val="it-IT"/>
        </w:rPr>
      </w:pPr>
      <w:r w:rsidRPr="00931353">
        <w:rPr>
          <w:rFonts w:ascii="Calibri Light" w:eastAsia="Times New Roman" w:hAnsi="Calibri Light" w:cs="Calibri Light"/>
          <w:lang w:val="it-IT"/>
        </w:rPr>
        <w:t>R</w:t>
      </w:r>
      <w:r w:rsidR="001D3402" w:rsidRPr="00931353">
        <w:rPr>
          <w:rFonts w:ascii="Calibri Light" w:eastAsia="Times New Roman" w:hAnsi="Calibri Light" w:cs="Calibri Light"/>
          <w:lang w:val="it-IT"/>
        </w:rPr>
        <w:t>ealizza</w:t>
      </w:r>
      <w:r w:rsidRPr="00931353">
        <w:rPr>
          <w:rFonts w:ascii="Calibri Light" w:eastAsia="Times New Roman" w:hAnsi="Calibri Light" w:cs="Calibri Light"/>
          <w:lang w:val="it-IT"/>
        </w:rPr>
        <w:t>re "</w:t>
      </w:r>
      <w:r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una CMU </w:t>
      </w:r>
      <w:r w:rsidR="001D3402"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al servizio delle </w:t>
      </w:r>
      <w:r w:rsidRPr="00931353">
        <w:rPr>
          <w:rFonts w:ascii="Calibri Light" w:eastAsia="Times New Roman" w:hAnsi="Calibri Light" w:cs="Calibri Light"/>
          <w:i/>
          <w:iCs/>
          <w:lang w:val="it-IT"/>
        </w:rPr>
        <w:t>persone</w:t>
      </w:r>
      <w:r w:rsidRPr="00931353">
        <w:rPr>
          <w:rFonts w:ascii="Calibri Light" w:eastAsia="Times New Roman" w:hAnsi="Calibri Light" w:cs="Calibri Light"/>
          <w:lang w:val="it-IT"/>
        </w:rPr>
        <w:t xml:space="preserve">" è una priorità </w:t>
      </w:r>
      <w:r w:rsidR="001D3402" w:rsidRPr="00931353">
        <w:rPr>
          <w:rFonts w:ascii="Calibri Light" w:eastAsia="Times New Roman" w:hAnsi="Calibri Light" w:cs="Calibri Light"/>
          <w:lang w:val="it-IT"/>
        </w:rPr>
        <w:t xml:space="preserve">di BETTER FINANCE </w:t>
      </w:r>
      <w:r w:rsidRPr="00931353">
        <w:rPr>
          <w:rFonts w:ascii="Calibri Light" w:eastAsia="Times New Roman" w:hAnsi="Calibri Light" w:cs="Calibri Light"/>
          <w:lang w:val="it-IT"/>
        </w:rPr>
        <w:t xml:space="preserve">dal 2015, quando l'Unione </w:t>
      </w:r>
      <w:r w:rsidR="001D3402" w:rsidRPr="00931353">
        <w:rPr>
          <w:rFonts w:ascii="Calibri Light" w:eastAsia="Times New Roman" w:hAnsi="Calibri Light" w:cs="Calibri Light"/>
          <w:lang w:val="it-IT"/>
        </w:rPr>
        <w:t>europea (UE) ha gettato le basi di</w:t>
      </w:r>
      <w:r w:rsidRPr="00931353">
        <w:rPr>
          <w:rFonts w:ascii="Calibri Light" w:eastAsia="Times New Roman" w:hAnsi="Calibri Light" w:cs="Calibri Light"/>
          <w:lang w:val="it-IT"/>
        </w:rPr>
        <w:t xml:space="preserve"> una CMU </w:t>
      </w:r>
      <w:r w:rsidR="001D3402" w:rsidRPr="00931353">
        <w:rPr>
          <w:rFonts w:ascii="Calibri Light" w:eastAsia="Times New Roman" w:hAnsi="Calibri Light" w:cs="Calibri Light"/>
          <w:lang w:val="it-IT"/>
        </w:rPr>
        <w:t xml:space="preserve">per realizzare, alla fine, quel </w:t>
      </w:r>
      <w:r w:rsidRPr="00931353">
        <w:rPr>
          <w:rFonts w:ascii="Calibri Light" w:eastAsia="Times New Roman" w:hAnsi="Calibri Light" w:cs="Calibri Light"/>
          <w:lang w:val="it-IT"/>
        </w:rPr>
        <w:t xml:space="preserve">mercato unico dei capitali e dei servizi di investimento deciso </w:t>
      </w:r>
      <w:r w:rsidR="001D3402" w:rsidRPr="00931353">
        <w:rPr>
          <w:rFonts w:ascii="Calibri Light" w:eastAsia="Times New Roman" w:hAnsi="Calibri Light" w:cs="Calibri Light"/>
          <w:lang w:val="it-IT"/>
        </w:rPr>
        <w:t xml:space="preserve">oltre </w:t>
      </w:r>
      <w:r w:rsidRPr="00931353">
        <w:rPr>
          <w:rFonts w:ascii="Calibri Light" w:eastAsia="Times New Roman" w:hAnsi="Calibri Light" w:cs="Calibri Light"/>
          <w:lang w:val="it-IT"/>
        </w:rPr>
        <w:t xml:space="preserve">60 anni fa nel </w:t>
      </w:r>
      <w:r w:rsidR="001D3402" w:rsidRPr="00931353">
        <w:rPr>
          <w:rFonts w:ascii="Calibri Light" w:eastAsia="Times New Roman" w:hAnsi="Calibri Light" w:cs="Calibri Light"/>
          <w:lang w:val="it-IT"/>
        </w:rPr>
        <w:t>t</w:t>
      </w:r>
      <w:r w:rsidRPr="00931353">
        <w:rPr>
          <w:rFonts w:ascii="Calibri Light" w:eastAsia="Times New Roman" w:hAnsi="Calibri Light" w:cs="Calibri Light"/>
          <w:lang w:val="it-IT"/>
        </w:rPr>
        <w:t>rattato di Roma, sviluppa</w:t>
      </w:r>
      <w:r w:rsidR="001D3402" w:rsidRPr="00931353">
        <w:rPr>
          <w:rFonts w:ascii="Calibri Light" w:eastAsia="Times New Roman" w:hAnsi="Calibri Light" w:cs="Calibri Light"/>
          <w:lang w:val="it-IT"/>
        </w:rPr>
        <w:t>re</w:t>
      </w:r>
      <w:r w:rsidRPr="00931353">
        <w:rPr>
          <w:rFonts w:ascii="Calibri Light" w:eastAsia="Times New Roman" w:hAnsi="Calibri Light" w:cs="Calibri Light"/>
          <w:lang w:val="it-IT"/>
        </w:rPr>
        <w:t xml:space="preserve"> più </w:t>
      </w:r>
      <w:r w:rsidR="001D3402" w:rsidRPr="00931353">
        <w:rPr>
          <w:rFonts w:ascii="Calibri Light" w:eastAsia="Times New Roman" w:hAnsi="Calibri Light" w:cs="Calibri Light"/>
          <w:lang w:val="it-IT"/>
        </w:rPr>
        <w:t xml:space="preserve">aiuti </w:t>
      </w:r>
      <w:r w:rsidRPr="00931353">
        <w:rPr>
          <w:rFonts w:ascii="Calibri Light" w:eastAsia="Times New Roman" w:hAnsi="Calibri Light" w:cs="Calibri Light"/>
          <w:lang w:val="it-IT"/>
        </w:rPr>
        <w:t>finanzia</w:t>
      </w:r>
      <w:r w:rsidR="001D3402" w:rsidRPr="00931353">
        <w:rPr>
          <w:rFonts w:ascii="Calibri Light" w:eastAsia="Times New Roman" w:hAnsi="Calibri Light" w:cs="Calibri Light"/>
          <w:lang w:val="it-IT"/>
        </w:rPr>
        <w:t xml:space="preserve">ri </w:t>
      </w:r>
      <w:r w:rsidRPr="00931353">
        <w:rPr>
          <w:rFonts w:ascii="Calibri Light" w:eastAsia="Times New Roman" w:hAnsi="Calibri Light" w:cs="Calibri Light"/>
          <w:lang w:val="it-IT"/>
        </w:rPr>
        <w:t xml:space="preserve">diretti per l'economia reale e </w:t>
      </w:r>
      <w:r w:rsidR="001D3402" w:rsidRPr="00931353">
        <w:rPr>
          <w:rFonts w:ascii="Calibri Light" w:eastAsia="Times New Roman" w:hAnsi="Calibri Light" w:cs="Calibri Light"/>
          <w:lang w:val="it-IT"/>
        </w:rPr>
        <w:t xml:space="preserve">garantire </w:t>
      </w:r>
      <w:r w:rsidRPr="00931353">
        <w:rPr>
          <w:rFonts w:ascii="Calibri Light" w:eastAsia="Times New Roman" w:hAnsi="Calibri Light" w:cs="Calibri Light"/>
          <w:lang w:val="it-IT"/>
        </w:rPr>
        <w:t>migliori rendimenti ai risparmiatori pensionistici</w:t>
      </w:r>
      <w:r w:rsidR="001D3402" w:rsidRPr="00931353">
        <w:rPr>
          <w:rFonts w:ascii="Calibri Light" w:eastAsia="Times New Roman" w:hAnsi="Calibri Light" w:cs="Calibri Light"/>
          <w:lang w:val="it-IT"/>
        </w:rPr>
        <w:t xml:space="preserve"> dell’UE</w:t>
      </w:r>
      <w:r w:rsidRPr="00931353">
        <w:rPr>
          <w:rFonts w:ascii="Calibri Light" w:eastAsia="Times New Roman" w:hAnsi="Calibri Light" w:cs="Calibri Light"/>
          <w:lang w:val="it-IT"/>
        </w:rPr>
        <w:t>:</w:t>
      </w:r>
    </w:p>
    <w:p w14:paraId="00807740" w14:textId="13EB0E28" w:rsidR="00055B80" w:rsidRPr="00931353" w:rsidRDefault="003A7E0D">
      <w:pPr>
        <w:spacing w:after="120" w:line="240" w:lineRule="auto"/>
        <w:jc w:val="both"/>
        <w:rPr>
          <w:lang w:val="it-IT"/>
        </w:rPr>
      </w:pPr>
      <w:r w:rsidRPr="00931353">
        <w:rPr>
          <w:rFonts w:ascii="Calibri Light" w:hAnsi="Calibri Light" w:cs="Calibri Light"/>
          <w:i/>
          <w:iCs/>
          <w:lang w:val="it-IT"/>
        </w:rPr>
        <w:t xml:space="preserve">"I 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cittadini europei, in quanto risparmiatori a lungo termine e </w:t>
      </w:r>
      <w:r w:rsidR="00931353"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singoli 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investitori </w:t>
      </w:r>
      <w:r w:rsidR="00931353" w:rsidRPr="00931353">
        <w:rPr>
          <w:rFonts w:ascii="Calibri Light" w:hAnsi="Calibri Light" w:cs="Calibri Light"/>
          <w:b/>
          <w:bCs/>
          <w:i/>
          <w:iCs/>
          <w:lang w:val="it-IT"/>
        </w:rPr>
        <w:t>–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 </w:t>
      </w:r>
      <w:r w:rsidR="00931353"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e 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che sono </w:t>
      </w:r>
      <w:r w:rsidR="00931353"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tra 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i principali finanziatori dei mercati dei capitali e dell'economia </w:t>
      </w:r>
      <w:r w:rsidR="00931353" w:rsidRPr="00931353">
        <w:rPr>
          <w:rFonts w:ascii="Calibri Light" w:hAnsi="Calibri Light" w:cs="Calibri Light"/>
          <w:b/>
          <w:bCs/>
          <w:i/>
          <w:iCs/>
          <w:lang w:val="it-IT"/>
        </w:rPr>
        <w:t>–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 troppo spesso ottengono scarsi rendimenti reali netti a lungo termine. </w:t>
      </w:r>
      <w:r w:rsidR="00931353" w:rsidRPr="00931353">
        <w:rPr>
          <w:rFonts w:ascii="Calibri Light" w:hAnsi="Calibri Light" w:cs="Calibri Light"/>
          <w:b/>
          <w:bCs/>
          <w:i/>
          <w:iCs/>
          <w:lang w:val="it-IT"/>
        </w:rPr>
        <w:t>Fornire l’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accesso transfrontaliero a prodotti semplici, comparabili, </w:t>
      </w:r>
      <w:r w:rsidR="00931353">
        <w:rPr>
          <w:rFonts w:ascii="Calibri Light" w:hAnsi="Calibri Light" w:cs="Calibri Light"/>
          <w:b/>
          <w:bCs/>
          <w:i/>
          <w:iCs/>
          <w:lang w:val="it-IT"/>
        </w:rPr>
        <w:t>convenienti,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 trasparenti </w:t>
      </w:r>
      <w:r w:rsidR="00931353">
        <w:rPr>
          <w:rFonts w:ascii="Calibri Light" w:hAnsi="Calibri Light" w:cs="Calibri Light"/>
          <w:b/>
          <w:bCs/>
          <w:i/>
          <w:iCs/>
          <w:lang w:val="it-IT"/>
        </w:rPr>
        <w:t xml:space="preserve">e 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che </w:t>
      </w:r>
      <w:r w:rsidR="00931353">
        <w:rPr>
          <w:rFonts w:ascii="Calibri Light" w:hAnsi="Calibri Light" w:cs="Calibri Light"/>
          <w:b/>
          <w:bCs/>
          <w:i/>
          <w:iCs/>
          <w:lang w:val="it-IT"/>
        </w:rPr>
        <w:t xml:space="preserve">garantiscano 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>un rapporto qualità-prezzo sostenibile è fondamentale per il risparmio</w:t>
      </w:r>
      <w:r w:rsidR="00931353">
        <w:rPr>
          <w:rFonts w:ascii="Calibri Light" w:hAnsi="Calibri Light" w:cs="Calibri Light"/>
          <w:b/>
          <w:bCs/>
          <w:i/>
          <w:iCs/>
          <w:lang w:val="it-IT"/>
        </w:rPr>
        <w:t>,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 e</w:t>
      </w:r>
      <w:r w:rsidR="00931353">
        <w:rPr>
          <w:rFonts w:ascii="Calibri Light" w:hAnsi="Calibri Light" w:cs="Calibri Light"/>
          <w:b/>
          <w:bCs/>
          <w:i/>
          <w:iCs/>
          <w:lang w:val="it-IT"/>
        </w:rPr>
        <w:t>d è</w:t>
      </w:r>
      <w:r w:rsidRPr="00931353">
        <w:rPr>
          <w:rFonts w:ascii="Calibri Light" w:hAnsi="Calibri Light" w:cs="Calibri Light"/>
          <w:b/>
          <w:bCs/>
          <w:i/>
          <w:iCs/>
          <w:lang w:val="it-IT"/>
        </w:rPr>
        <w:t xml:space="preserve"> fondamentale per gli investimenti</w:t>
      </w:r>
      <w:r w:rsidRPr="00931353">
        <w:rPr>
          <w:rFonts w:ascii="Calibri Light" w:hAnsi="Calibri Light" w:cs="Calibri Light"/>
          <w:i/>
          <w:iCs/>
          <w:lang w:val="it-IT"/>
        </w:rPr>
        <w:t xml:space="preserve">". </w:t>
      </w:r>
      <w:r w:rsidRPr="00931353">
        <w:rPr>
          <w:rFonts w:ascii="Calibri Light" w:hAnsi="Calibri Light" w:cs="Calibri Light"/>
          <w:lang w:val="it-IT"/>
        </w:rPr>
        <w:t>(Prefazione del Presidente al Rapporto HLF)</w:t>
      </w:r>
    </w:p>
    <w:p w14:paraId="00807741" w14:textId="04275240" w:rsidR="00055B80" w:rsidRPr="00931353" w:rsidRDefault="007D3EA2">
      <w:pPr>
        <w:spacing w:after="120" w:line="240" w:lineRule="auto"/>
        <w:jc w:val="both"/>
        <w:rPr>
          <w:rFonts w:ascii="Calibri Light" w:eastAsia="Times New Roman" w:hAnsi="Calibri Light" w:cs="Calibri Light"/>
          <w:lang w:val="it-IT"/>
        </w:rPr>
      </w:pPr>
      <w:r>
        <w:rPr>
          <w:rFonts w:ascii="Calibri Light" w:eastAsia="Times New Roman" w:hAnsi="Calibri Light" w:cs="Calibri Light"/>
          <w:lang w:val="it-IT"/>
        </w:rPr>
        <w:t>Qui di seguito descriviamo a</w:t>
      </w:r>
      <w:r w:rsidR="003A7E0D" w:rsidRPr="00931353">
        <w:rPr>
          <w:rFonts w:ascii="Calibri Light" w:eastAsia="Times New Roman" w:hAnsi="Calibri Light" w:cs="Calibri Light"/>
          <w:lang w:val="it-IT"/>
        </w:rPr>
        <w:t>lcune delle raccomandazioni, mentre nell'allegato al presente comunicato stampa</w:t>
      </w:r>
      <w:r>
        <w:rPr>
          <w:rFonts w:ascii="Calibri Light" w:eastAsia="Times New Roman" w:hAnsi="Calibri Light" w:cs="Calibri Light"/>
          <w:lang w:val="it-IT"/>
        </w:rPr>
        <w:t xml:space="preserve"> è possibile consultare l’elenco completo</w:t>
      </w:r>
      <w:r w:rsidR="003A7E0D" w:rsidRPr="00931353">
        <w:rPr>
          <w:rFonts w:ascii="Calibri Light" w:eastAsia="Times New Roman" w:hAnsi="Calibri Light" w:cs="Calibri Light"/>
          <w:lang w:val="it-IT"/>
        </w:rPr>
        <w:t>.</w:t>
      </w:r>
    </w:p>
    <w:p w14:paraId="00807742" w14:textId="104103F0" w:rsidR="00055B80" w:rsidRPr="00931353" w:rsidRDefault="007D3EA2">
      <w:pPr>
        <w:spacing w:after="120" w:line="240" w:lineRule="auto"/>
        <w:jc w:val="both"/>
        <w:rPr>
          <w:lang w:val="it-IT"/>
        </w:rPr>
      </w:pPr>
      <w:r>
        <w:rPr>
          <w:rFonts w:ascii="Calibri Light" w:eastAsia="Times New Roman" w:hAnsi="Calibri Light" w:cs="Calibri Light"/>
          <w:b/>
          <w:bCs/>
          <w:i/>
          <w:iCs/>
          <w:lang w:val="it-IT"/>
        </w:rPr>
        <w:t xml:space="preserve">Prevenire </w:t>
      </w:r>
      <w:r w:rsidR="003A7E0D" w:rsidRPr="00931353">
        <w:rPr>
          <w:rFonts w:ascii="Calibri Light" w:eastAsia="Times New Roman" w:hAnsi="Calibri Light" w:cs="Calibri Light"/>
          <w:b/>
          <w:bCs/>
          <w:i/>
          <w:iCs/>
          <w:lang w:val="it-IT"/>
        </w:rPr>
        <w:t xml:space="preserve">i conflitti di interesse nella </w:t>
      </w:r>
      <w:r>
        <w:rPr>
          <w:rFonts w:ascii="Calibri Light" w:eastAsia="Times New Roman" w:hAnsi="Calibri Light" w:cs="Calibri Light"/>
          <w:b/>
          <w:bCs/>
          <w:i/>
          <w:iCs/>
          <w:lang w:val="it-IT"/>
        </w:rPr>
        <w:t>d</w:t>
      </w:r>
      <w:r w:rsidR="003A7E0D" w:rsidRPr="00931353">
        <w:rPr>
          <w:rFonts w:ascii="Calibri Light" w:eastAsia="Times New Roman" w:hAnsi="Calibri Light" w:cs="Calibri Light"/>
          <w:b/>
          <w:bCs/>
          <w:i/>
          <w:iCs/>
          <w:lang w:val="it-IT"/>
        </w:rPr>
        <w:t xml:space="preserve">istribuzione </w:t>
      </w:r>
    </w:p>
    <w:p w14:paraId="00807743" w14:textId="7270D066" w:rsidR="00055B80" w:rsidRPr="00931353" w:rsidRDefault="003A7E0D">
      <w:pPr>
        <w:pStyle w:val="Default"/>
        <w:spacing w:after="120"/>
        <w:jc w:val="both"/>
        <w:rPr>
          <w:lang w:val="it-IT"/>
        </w:rPr>
      </w:pPr>
      <w:r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>Il passo più importante per dare ai cittadini dell'UE, in qualità di investitori, l'accesso a prodotti d'investimento semplici e</w:t>
      </w:r>
      <w:r w:rsidR="007D3EA2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 convenienti</w:t>
      </w:r>
      <w:r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, </w:t>
      </w:r>
      <w:r w:rsidR="007D3EA2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consiste nel </w:t>
      </w:r>
      <w:r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garantire una consulenza finanziaria equa. A tal fine, </w:t>
      </w:r>
      <w:r w:rsidR="007D3EA2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il Forum </w:t>
      </w:r>
      <w:r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non si limita a raccomandare un divieto di tangenti ("incentivi" nel gergo dell'UE) ai distributori al dettaglio "non indipendenti" (sic) </w:t>
      </w:r>
      <w:r w:rsidR="007D3EA2">
        <w:rPr>
          <w:rFonts w:ascii="Calibri Light" w:eastAsia="Times New Roman" w:hAnsi="Calibri Light" w:cs="Calibri Light"/>
          <w:sz w:val="22"/>
          <w:szCs w:val="22"/>
          <w:lang w:val="it-IT"/>
        </w:rPr>
        <w:t>–</w:t>
      </w:r>
      <w:r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 come hanno fatto i Paesi Bassi e il Regno Unito </w:t>
      </w:r>
      <w:r w:rsidR="007D3EA2">
        <w:rPr>
          <w:rFonts w:ascii="Calibri Light" w:eastAsia="Times New Roman" w:hAnsi="Calibri Light" w:cs="Calibri Light"/>
          <w:sz w:val="22"/>
          <w:szCs w:val="22"/>
          <w:lang w:val="it-IT"/>
        </w:rPr>
        <w:t>–</w:t>
      </w:r>
      <w:r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 ma chiede alla Commissione europea di esaminare, in particolare, "il </w:t>
      </w:r>
      <w:r w:rsidRPr="00931353">
        <w:rPr>
          <w:rFonts w:ascii="Calibri Light" w:eastAsia="Times New Roman" w:hAnsi="Calibri Light" w:cs="Calibri Light"/>
          <w:i/>
          <w:iCs/>
          <w:sz w:val="22"/>
          <w:szCs w:val="22"/>
          <w:lang w:val="it-IT"/>
        </w:rPr>
        <w:t xml:space="preserve">ruolo degli incentivi </w:t>
      </w:r>
      <w:r w:rsidR="007D3EA2">
        <w:rPr>
          <w:rFonts w:ascii="Calibri Light" w:eastAsia="Times New Roman" w:hAnsi="Calibri Light" w:cs="Calibri Light"/>
          <w:i/>
          <w:iCs/>
          <w:sz w:val="22"/>
          <w:szCs w:val="22"/>
          <w:lang w:val="it-IT"/>
        </w:rPr>
        <w:t>ai fini del</w:t>
      </w:r>
      <w:r w:rsidRPr="00931353">
        <w:rPr>
          <w:rFonts w:ascii="Calibri Light" w:eastAsia="Times New Roman" w:hAnsi="Calibri Light" w:cs="Calibri Light"/>
          <w:i/>
          <w:iCs/>
          <w:sz w:val="22"/>
          <w:szCs w:val="22"/>
          <w:lang w:val="it-IT"/>
        </w:rPr>
        <w:t>l'adeguatezza della consulenza</w:t>
      </w:r>
      <w:r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>" e "</w:t>
      </w:r>
      <w:r w:rsidR="007D3EA2">
        <w:rPr>
          <w:rFonts w:ascii="Calibri Light" w:hAnsi="Calibri Light" w:cs="Calibri Light"/>
          <w:i/>
          <w:iCs/>
          <w:sz w:val="22"/>
          <w:szCs w:val="22"/>
          <w:lang w:val="it-IT"/>
        </w:rPr>
        <w:t>in che modo l</w:t>
      </w:r>
      <w:r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 xml:space="preserve">e </w:t>
      </w:r>
      <w:r w:rsidR="007D3EA2">
        <w:rPr>
          <w:rFonts w:ascii="Calibri Light" w:hAnsi="Calibri Light" w:cs="Calibri Light"/>
          <w:i/>
          <w:iCs/>
          <w:sz w:val="22"/>
          <w:szCs w:val="22"/>
          <w:lang w:val="it-IT"/>
        </w:rPr>
        <w:t>norme</w:t>
      </w:r>
      <w:r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 xml:space="preserve"> di incentivazione della </w:t>
      </w:r>
      <w:r w:rsidR="007D3EA2">
        <w:rPr>
          <w:rFonts w:ascii="Calibri Light" w:hAnsi="Calibri Light" w:cs="Calibri Light"/>
          <w:i/>
          <w:iCs/>
          <w:sz w:val="22"/>
          <w:szCs w:val="22"/>
          <w:lang w:val="it-IT"/>
        </w:rPr>
        <w:t xml:space="preserve">direttiva </w:t>
      </w:r>
      <w:r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 xml:space="preserve">IDD possano garantire un livello sufficiente di protezione dei consumatori coerente con gli standard di protezione degli investitori applicabili ai sensi della </w:t>
      </w:r>
      <w:proofErr w:type="spellStart"/>
      <w:r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>MiFID</w:t>
      </w:r>
      <w:proofErr w:type="spellEnd"/>
      <w:r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 xml:space="preserve"> II per i prodotti d'investimento assicura</w:t>
      </w:r>
      <w:r w:rsidR="008065F0">
        <w:rPr>
          <w:rFonts w:ascii="Calibri Light" w:hAnsi="Calibri Light" w:cs="Calibri Light"/>
          <w:i/>
          <w:iCs/>
          <w:sz w:val="22"/>
          <w:szCs w:val="22"/>
          <w:lang w:val="it-IT"/>
        </w:rPr>
        <w:t>tiv</w:t>
      </w:r>
      <w:r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>i"</w:t>
      </w:r>
      <w:r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>. Questi studi dovrebbero essere seguiti da opportune proposte legislative.</w:t>
      </w:r>
    </w:p>
    <w:p w14:paraId="00807744" w14:textId="77777777" w:rsidR="00055B80" w:rsidRPr="00931353" w:rsidRDefault="003A7E0D">
      <w:pPr>
        <w:pStyle w:val="Default"/>
        <w:spacing w:after="120"/>
        <w:jc w:val="both"/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it-IT"/>
        </w:rPr>
      </w:pPr>
      <w:r w:rsidRPr="00931353"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it-IT"/>
        </w:rPr>
        <w:t>Verso un'informazione chiave chiara, corretta, non ingannevole e comparabile</w:t>
      </w:r>
    </w:p>
    <w:p w14:paraId="00807745" w14:textId="54C33D20" w:rsidR="00055B80" w:rsidRPr="00931353" w:rsidRDefault="00415B0E">
      <w:pPr>
        <w:pStyle w:val="Default"/>
        <w:spacing w:after="120"/>
        <w:jc w:val="both"/>
        <w:rPr>
          <w:lang w:val="it-IT"/>
        </w:rPr>
      </w:pPr>
      <w:r>
        <w:rPr>
          <w:rFonts w:ascii="Calibri Light" w:eastAsia="Times New Roman" w:hAnsi="Calibri Light" w:cs="Calibri Light"/>
          <w:sz w:val="22"/>
          <w:szCs w:val="22"/>
          <w:lang w:val="it-IT"/>
        </w:rPr>
        <w:lastRenderedPageBreak/>
        <w:t xml:space="preserve">Inoltre, il rapporto </w:t>
      </w:r>
      <w:r w:rsidR="003A7E0D"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>tiene conto de</w:t>
      </w:r>
      <w:r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lle richieste avanzate </w:t>
      </w:r>
      <w:r w:rsidR="003A7E0D"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da tempo da </w:t>
      </w:r>
      <w:r>
        <w:rPr>
          <w:rFonts w:ascii="Calibri Light" w:eastAsia="Times New Roman" w:hAnsi="Calibri Light" w:cs="Calibri Light"/>
          <w:sz w:val="22"/>
          <w:szCs w:val="22"/>
          <w:lang w:val="it-IT"/>
        </w:rPr>
        <w:t>BETTER FINANCE</w:t>
      </w:r>
      <w:r w:rsidR="003A7E0D"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 per migliorare la divulgazione delle informazioni chiave </w:t>
      </w:r>
      <w:r>
        <w:rPr>
          <w:rFonts w:ascii="Calibri Light" w:eastAsia="Times New Roman" w:hAnsi="Calibri Light" w:cs="Calibri Light"/>
          <w:sz w:val="22"/>
          <w:szCs w:val="22"/>
          <w:lang w:val="it-IT"/>
        </w:rPr>
        <w:t>relative a</w:t>
      </w:r>
      <w:r w:rsidR="003A7E0D"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i prodotti d'investimento al dettaglio </w:t>
      </w:r>
      <w:proofErr w:type="spellStart"/>
      <w:r w:rsidR="003A7E0D"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>preassemblati</w:t>
      </w:r>
      <w:proofErr w:type="spellEnd"/>
      <w:r w:rsidR="003A7E0D"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 xml:space="preserve"> e i prodotti d'investimento assicurativi ("PRIIP"), chiedendo alla Commissione europea "</w:t>
      </w:r>
      <w:r w:rsidR="003A7E0D"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>di rivedere il prima possibile, e in tempo utile per evitare un conflitto con la scadenza dell'esenzione per gli OICVM, il regolamento PRIIP per affrontare le questioni sollevate dalla maggior parte de</w:t>
      </w:r>
      <w:r>
        <w:rPr>
          <w:rFonts w:ascii="Calibri Light" w:hAnsi="Calibri Light" w:cs="Calibri Light"/>
          <w:i/>
          <w:iCs/>
          <w:sz w:val="22"/>
          <w:szCs w:val="22"/>
          <w:lang w:val="it-IT"/>
        </w:rPr>
        <w:t>i soggetti interessati</w:t>
      </w:r>
      <w:r w:rsidR="003A7E0D"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 xml:space="preserve"> in merito all'intelligibilità e alla comparabilità delle informazioni e alla coerenza con le </w:t>
      </w:r>
      <w:r>
        <w:rPr>
          <w:rFonts w:ascii="Calibri Light" w:hAnsi="Calibri Light" w:cs="Calibri Light"/>
          <w:i/>
          <w:iCs/>
          <w:sz w:val="22"/>
          <w:szCs w:val="22"/>
          <w:lang w:val="it-IT"/>
        </w:rPr>
        <w:t xml:space="preserve">norme in materia di </w:t>
      </w:r>
      <w:r w:rsidR="003A7E0D"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 xml:space="preserve">informazione della </w:t>
      </w:r>
      <w:proofErr w:type="spellStart"/>
      <w:r w:rsidR="003A7E0D"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>M</w:t>
      </w:r>
      <w:r>
        <w:rPr>
          <w:rFonts w:ascii="Calibri Light" w:hAnsi="Calibri Light" w:cs="Calibri Light"/>
          <w:i/>
          <w:iCs/>
          <w:sz w:val="22"/>
          <w:szCs w:val="22"/>
          <w:lang w:val="it-IT"/>
        </w:rPr>
        <w:t>i</w:t>
      </w:r>
      <w:r w:rsidR="003A7E0D"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>FID</w:t>
      </w:r>
      <w:proofErr w:type="spellEnd"/>
      <w:r w:rsidR="003A7E0D" w:rsidRPr="00931353">
        <w:rPr>
          <w:rFonts w:ascii="Calibri Light" w:hAnsi="Calibri Light" w:cs="Calibri Light"/>
          <w:i/>
          <w:iCs/>
          <w:sz w:val="22"/>
          <w:szCs w:val="22"/>
          <w:lang w:val="it-IT"/>
        </w:rPr>
        <w:t xml:space="preserve">, in particolare per quanto riguarda </w:t>
      </w:r>
      <w:r>
        <w:rPr>
          <w:rFonts w:ascii="Calibri Light" w:hAnsi="Calibri Light" w:cs="Calibri Light"/>
          <w:i/>
          <w:iCs/>
          <w:sz w:val="22"/>
          <w:szCs w:val="22"/>
          <w:lang w:val="it-IT"/>
        </w:rPr>
        <w:t>costi e rendimenti</w:t>
      </w:r>
      <w:r w:rsidR="003A7E0D" w:rsidRPr="00931353">
        <w:rPr>
          <w:rFonts w:ascii="Calibri Light" w:hAnsi="Calibri Light" w:cs="Calibri Light"/>
          <w:sz w:val="22"/>
          <w:szCs w:val="22"/>
          <w:lang w:val="it-IT"/>
        </w:rPr>
        <w:t xml:space="preserve">". </w:t>
      </w:r>
      <w:r w:rsidR="003A7E0D" w:rsidRPr="00931353">
        <w:rPr>
          <w:rFonts w:ascii="Calibri Light" w:eastAsia="Times New Roman" w:hAnsi="Calibri Light" w:cs="Calibri Light"/>
          <w:sz w:val="22"/>
          <w:szCs w:val="22"/>
          <w:lang w:val="it-IT"/>
        </w:rPr>
        <w:t>Documenti informativi corretti e chiari sono un prerequisito per consentire ai consumatori di confrontare i prodotti e di prendere decisioni di investimento informate.</w:t>
      </w:r>
    </w:p>
    <w:p w14:paraId="00807746" w14:textId="77777777" w:rsidR="00055B80" w:rsidRPr="00931353" w:rsidRDefault="00055B80">
      <w:pPr>
        <w:pStyle w:val="Default"/>
        <w:spacing w:after="120"/>
        <w:jc w:val="both"/>
        <w:rPr>
          <w:rFonts w:ascii="Calibri Light" w:eastAsia="Times New Roman" w:hAnsi="Calibri Light" w:cs="Calibri Light"/>
          <w:sz w:val="22"/>
          <w:szCs w:val="22"/>
          <w:lang w:val="it-IT"/>
        </w:rPr>
      </w:pPr>
    </w:p>
    <w:p w14:paraId="00807747" w14:textId="77777777" w:rsidR="00055B80" w:rsidRPr="00931353" w:rsidRDefault="003A7E0D">
      <w:pPr>
        <w:pStyle w:val="Default"/>
        <w:spacing w:after="120"/>
        <w:jc w:val="both"/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it-IT"/>
        </w:rPr>
      </w:pPr>
      <w:r w:rsidRPr="00931353"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it-IT"/>
        </w:rPr>
        <w:t xml:space="preserve">Ripristinare la fiducia delle persone nei mercati azionari </w:t>
      </w:r>
    </w:p>
    <w:p w14:paraId="00807748" w14:textId="0930961F" w:rsidR="00055B80" w:rsidRPr="00931353" w:rsidRDefault="00E60D6D">
      <w:pPr>
        <w:spacing w:after="120" w:line="240" w:lineRule="auto"/>
        <w:jc w:val="both"/>
        <w:rPr>
          <w:rFonts w:ascii="Calibri Light" w:eastAsia="Times New Roman" w:hAnsi="Calibri Light" w:cs="Calibri Light"/>
          <w:lang w:val="it-IT"/>
        </w:rPr>
      </w:pPr>
      <w:r>
        <w:rPr>
          <w:rFonts w:ascii="Calibri Light" w:eastAsia="Times New Roman" w:hAnsi="Calibri Light" w:cs="Calibri Light"/>
          <w:lang w:val="it-IT"/>
        </w:rPr>
        <w:t xml:space="preserve">Il Forum </w:t>
      </w:r>
      <w:r w:rsidR="003A7E0D" w:rsidRPr="00931353">
        <w:rPr>
          <w:rFonts w:ascii="Calibri Light" w:eastAsia="Times New Roman" w:hAnsi="Calibri Light" w:cs="Calibri Light"/>
          <w:lang w:val="it-IT"/>
        </w:rPr>
        <w:t xml:space="preserve">raccomanda inoltre di non escludere più i </w:t>
      </w:r>
      <w:r>
        <w:rPr>
          <w:rFonts w:ascii="Calibri Light" w:eastAsia="Times New Roman" w:hAnsi="Calibri Light" w:cs="Calibri Light"/>
          <w:lang w:val="it-IT"/>
        </w:rPr>
        <w:t xml:space="preserve">singoli </w:t>
      </w:r>
      <w:r w:rsidR="003A7E0D" w:rsidRPr="00931353">
        <w:rPr>
          <w:rFonts w:ascii="Calibri Light" w:eastAsia="Times New Roman" w:hAnsi="Calibri Light" w:cs="Calibri Light"/>
          <w:lang w:val="it-IT"/>
        </w:rPr>
        <w:t>investitori in azioni e obbligazioni quotate dall'attuale progetto di regolamentazione dei ricorsi collettivi dell'UE</w:t>
      </w:r>
      <w:r>
        <w:rPr>
          <w:rFonts w:ascii="Calibri Light" w:eastAsia="Times New Roman" w:hAnsi="Calibri Light" w:cs="Calibri Light"/>
          <w:lang w:val="it-IT"/>
        </w:rPr>
        <w:t>,</w:t>
      </w:r>
      <w:r w:rsidR="003A7E0D" w:rsidRPr="00931353">
        <w:rPr>
          <w:rFonts w:ascii="Calibri Light" w:eastAsia="Times New Roman" w:hAnsi="Calibri Light" w:cs="Calibri Light"/>
          <w:lang w:val="it-IT"/>
        </w:rPr>
        <w:t xml:space="preserve"> e di promuovere i piani di partecipazione azionaria dei dipendenti (ESOP) </w:t>
      </w:r>
      <w:r>
        <w:rPr>
          <w:rFonts w:ascii="Calibri Light" w:eastAsia="Times New Roman" w:hAnsi="Calibri Light" w:cs="Calibri Light"/>
          <w:lang w:val="it-IT"/>
        </w:rPr>
        <w:t xml:space="preserve">in quanto </w:t>
      </w:r>
      <w:r w:rsidR="003A7E0D" w:rsidRPr="00931353">
        <w:rPr>
          <w:rFonts w:ascii="Calibri Light" w:eastAsia="Times New Roman" w:hAnsi="Calibri Light" w:cs="Calibri Light"/>
          <w:lang w:val="it-IT"/>
        </w:rPr>
        <w:t xml:space="preserve">potente strumento per </w:t>
      </w:r>
      <w:r w:rsidR="00727A1C">
        <w:rPr>
          <w:rFonts w:ascii="Calibri Light" w:eastAsia="Times New Roman" w:hAnsi="Calibri Light" w:cs="Calibri Light"/>
          <w:lang w:val="it-IT"/>
        </w:rPr>
        <w:t>un migliore finanziamento del</w:t>
      </w:r>
      <w:r w:rsidR="003A7E0D" w:rsidRPr="00931353">
        <w:rPr>
          <w:rFonts w:ascii="Calibri Light" w:eastAsia="Times New Roman" w:hAnsi="Calibri Light" w:cs="Calibri Light"/>
          <w:lang w:val="it-IT"/>
        </w:rPr>
        <w:t>le PMI (ad oggi, gli ESOP statunitensi hanno investito... cento volte di più nelle PMI non quotate rispetto a quell</w:t>
      </w:r>
      <w:r w:rsidR="00727A1C">
        <w:rPr>
          <w:rFonts w:ascii="Calibri Light" w:eastAsia="Times New Roman" w:hAnsi="Calibri Light" w:cs="Calibri Light"/>
          <w:lang w:val="it-IT"/>
        </w:rPr>
        <w:t>i</w:t>
      </w:r>
      <w:r w:rsidR="003A7E0D" w:rsidRPr="00931353">
        <w:rPr>
          <w:rFonts w:ascii="Calibri Light" w:eastAsia="Times New Roman" w:hAnsi="Calibri Light" w:cs="Calibri Light"/>
          <w:lang w:val="it-IT"/>
        </w:rPr>
        <w:t xml:space="preserve"> europe</w:t>
      </w:r>
      <w:r w:rsidR="00727A1C">
        <w:rPr>
          <w:rFonts w:ascii="Calibri Light" w:eastAsia="Times New Roman" w:hAnsi="Calibri Light" w:cs="Calibri Light"/>
          <w:lang w:val="it-IT"/>
        </w:rPr>
        <w:t>i</w:t>
      </w:r>
      <w:r w:rsidR="003A7E0D" w:rsidRPr="00931353">
        <w:rPr>
          <w:rFonts w:ascii="Calibri Light" w:eastAsia="Times New Roman" w:hAnsi="Calibri Light" w:cs="Calibri Light"/>
          <w:lang w:val="it-IT"/>
        </w:rPr>
        <w:t>) e per rilanciare la cultura de</w:t>
      </w:r>
      <w:r w:rsidR="00727A1C">
        <w:rPr>
          <w:rFonts w:ascii="Calibri Light" w:eastAsia="Times New Roman" w:hAnsi="Calibri Light" w:cs="Calibri Light"/>
          <w:lang w:val="it-IT"/>
        </w:rPr>
        <w:t>ll’investimento azionario</w:t>
      </w:r>
      <w:r w:rsidR="003A7E0D" w:rsidRPr="00931353">
        <w:rPr>
          <w:rFonts w:ascii="Calibri Light" w:eastAsia="Times New Roman" w:hAnsi="Calibri Light" w:cs="Calibri Light"/>
          <w:lang w:val="it-IT"/>
        </w:rPr>
        <w:t>, danneggiata da decenni di consulenza di</w:t>
      </w:r>
      <w:r w:rsidR="00727A1C">
        <w:rPr>
          <w:rFonts w:ascii="Calibri Light" w:eastAsia="Times New Roman" w:hAnsi="Calibri Light" w:cs="Calibri Light"/>
          <w:lang w:val="it-IT"/>
        </w:rPr>
        <w:t xml:space="preserve">storta in materia di investimenti </w:t>
      </w:r>
      <w:r w:rsidR="003A7E0D" w:rsidRPr="00931353">
        <w:rPr>
          <w:rFonts w:ascii="Calibri Light" w:eastAsia="Times New Roman" w:hAnsi="Calibri Light" w:cs="Calibri Light"/>
          <w:lang w:val="it-IT"/>
        </w:rPr>
        <w:t xml:space="preserve">al dettaglio. Anche l'esercizio del diritto di voto da parte dei singoli azionisti dovrebbe diventare meno </w:t>
      </w:r>
      <w:r w:rsidR="00727A1C">
        <w:rPr>
          <w:rFonts w:ascii="Calibri Light" w:eastAsia="Times New Roman" w:hAnsi="Calibri Light" w:cs="Calibri Light"/>
          <w:lang w:val="it-IT"/>
        </w:rPr>
        <w:t>difficoltoso</w:t>
      </w:r>
      <w:r w:rsidR="003A7E0D" w:rsidRPr="00931353">
        <w:rPr>
          <w:rFonts w:ascii="Calibri Light" w:eastAsia="Times New Roman" w:hAnsi="Calibri Light" w:cs="Calibri Light"/>
          <w:lang w:val="it-IT"/>
        </w:rPr>
        <w:t>.</w:t>
      </w:r>
    </w:p>
    <w:p w14:paraId="00807749" w14:textId="27FBCFD9" w:rsidR="00055B80" w:rsidRPr="00931353" w:rsidRDefault="003A7E0D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lang w:val="it-IT"/>
        </w:rPr>
      </w:pPr>
      <w:r w:rsidRPr="00931353">
        <w:rPr>
          <w:rFonts w:ascii="Calibri Light" w:eastAsia="Times New Roman" w:hAnsi="Calibri Light" w:cs="Calibri Light"/>
          <w:b/>
          <w:bCs/>
          <w:i/>
          <w:iCs/>
          <w:lang w:val="it-IT"/>
        </w:rPr>
        <w:t>Il denaro degli altri</w:t>
      </w:r>
    </w:p>
    <w:p w14:paraId="0080774A" w14:textId="24167947" w:rsidR="00055B80" w:rsidRPr="00931353" w:rsidRDefault="00662260">
      <w:pPr>
        <w:spacing w:after="120" w:line="240" w:lineRule="auto"/>
        <w:jc w:val="both"/>
        <w:rPr>
          <w:lang w:val="it-IT"/>
        </w:rPr>
      </w:pPr>
      <w:r w:rsidRPr="00662260">
        <w:rPr>
          <w:rFonts w:ascii="Calibri Light" w:eastAsia="Times New Roman" w:hAnsi="Calibri Light" w:cs="Calibri Light"/>
          <w:iCs/>
          <w:lang w:val="it-IT"/>
        </w:rPr>
        <w:t>“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>Anche se siamo lieti di vedere che i cittadini dell'UE</w:t>
      </w:r>
      <w:r w:rsidR="00727A1C">
        <w:rPr>
          <w:rFonts w:ascii="Calibri Light" w:eastAsia="Times New Roman" w:hAnsi="Calibri Light" w:cs="Calibri Light"/>
          <w:i/>
          <w:iCs/>
          <w:lang w:val="it-IT"/>
        </w:rPr>
        <w:t xml:space="preserve">, in quanto 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>risparmiatori</w:t>
      </w:r>
      <w:r w:rsidR="00727A1C">
        <w:rPr>
          <w:rFonts w:ascii="Calibri Light" w:eastAsia="Times New Roman" w:hAnsi="Calibri Light" w:cs="Calibri Light"/>
          <w:i/>
          <w:iCs/>
          <w:lang w:val="it-IT"/>
        </w:rPr>
        <w:t>,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 stanno trovando </w:t>
      </w:r>
      <w:r w:rsidR="00727A1C">
        <w:rPr>
          <w:rFonts w:ascii="Calibri Light" w:eastAsia="Times New Roman" w:hAnsi="Calibri Light" w:cs="Calibri Light"/>
          <w:i/>
          <w:iCs/>
          <w:lang w:val="it-IT"/>
        </w:rPr>
        <w:t xml:space="preserve">con discrezione 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il </w:t>
      </w:r>
      <w:r w:rsidR="00727A1C">
        <w:rPr>
          <w:rFonts w:ascii="Calibri Light" w:eastAsia="Times New Roman" w:hAnsi="Calibri Light" w:cs="Calibri Light"/>
          <w:i/>
          <w:iCs/>
          <w:lang w:val="it-IT"/>
        </w:rPr>
        <w:t xml:space="preserve">giusto spazio al centro 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dell'Unione dei mercati dei capitali", </w:t>
      </w:r>
      <w:r w:rsidR="003A7E0D" w:rsidRPr="00931353">
        <w:rPr>
          <w:rFonts w:ascii="Calibri Light" w:eastAsia="Times New Roman" w:hAnsi="Calibri Light" w:cs="Calibri Light"/>
          <w:lang w:val="it-IT"/>
        </w:rPr>
        <w:t xml:space="preserve">sottolinea Guillaume </w:t>
      </w:r>
      <w:proofErr w:type="spellStart"/>
      <w:r w:rsidR="003A7E0D" w:rsidRPr="00931353">
        <w:rPr>
          <w:rFonts w:ascii="Calibri Light" w:eastAsia="Times New Roman" w:hAnsi="Calibri Light" w:cs="Calibri Light"/>
          <w:lang w:val="it-IT"/>
        </w:rPr>
        <w:t>Prache</w:t>
      </w:r>
      <w:proofErr w:type="spellEnd"/>
      <w:r w:rsidR="003A7E0D" w:rsidRPr="00931353">
        <w:rPr>
          <w:rFonts w:ascii="Calibri Light" w:eastAsia="Times New Roman" w:hAnsi="Calibri Light" w:cs="Calibri Light"/>
          <w:lang w:val="it-IT"/>
        </w:rPr>
        <w:t>, "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rimane un malinteso fondamentale </w:t>
      </w:r>
      <w:r>
        <w:rPr>
          <w:rFonts w:ascii="Calibri Light" w:eastAsia="Times New Roman" w:hAnsi="Calibri Light" w:cs="Calibri Light"/>
          <w:i/>
          <w:iCs/>
          <w:lang w:val="it-IT"/>
        </w:rPr>
        <w:t>in merito a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lla "ragion d'essere" dei mercati dei capitali, </w:t>
      </w:r>
      <w:r w:rsidR="003A7E0D" w:rsidRPr="00662260">
        <w:rPr>
          <w:rFonts w:ascii="Calibri Light" w:eastAsia="Times New Roman" w:hAnsi="Calibri Light" w:cs="Calibri Light"/>
          <w:i/>
          <w:iCs/>
          <w:lang w:val="it-IT"/>
        </w:rPr>
        <w:t xml:space="preserve">e </w:t>
      </w:r>
      <w:r w:rsidRPr="00662260">
        <w:rPr>
          <w:rFonts w:ascii="Calibri Light" w:eastAsia="Times New Roman" w:hAnsi="Calibri Light" w:cs="Calibri Light"/>
          <w:i/>
          <w:iCs/>
          <w:lang w:val="it-IT"/>
        </w:rPr>
        <w:t xml:space="preserve">a </w:t>
      </w:r>
      <w:r w:rsidR="003A7E0D" w:rsidRPr="00662260">
        <w:rPr>
          <w:rFonts w:ascii="Calibri Light" w:eastAsia="Times New Roman" w:hAnsi="Calibri Light" w:cs="Calibri Light"/>
          <w:i/>
          <w:iCs/>
          <w:lang w:val="it-IT"/>
        </w:rPr>
        <w:t>chi sono</w:t>
      </w:r>
      <w:r>
        <w:rPr>
          <w:rFonts w:ascii="Calibri Light" w:eastAsia="Times New Roman" w:hAnsi="Calibri Light" w:cs="Calibri Light"/>
          <w:i/>
          <w:iCs/>
          <w:lang w:val="it-IT"/>
        </w:rPr>
        <w:t xml:space="preserve"> destinati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: non sono </w:t>
      </w:r>
      <w:r>
        <w:rPr>
          <w:rFonts w:ascii="Calibri Light" w:eastAsia="Times New Roman" w:hAnsi="Calibri Light" w:cs="Calibri Light"/>
          <w:i/>
          <w:iCs/>
          <w:lang w:val="it-IT"/>
        </w:rPr>
        <w:t xml:space="preserve">intesi 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>principalmente per gli intermediari finanziari, ma per gli utenti dell'economia reale e i fornitori di capitale</w:t>
      </w:r>
      <w:r>
        <w:rPr>
          <w:rFonts w:ascii="Calibri Light" w:eastAsia="Times New Roman" w:hAnsi="Calibri Light" w:cs="Calibri Light"/>
          <w:i/>
          <w:iCs/>
          <w:lang w:val="it-IT"/>
        </w:rPr>
        <w:t xml:space="preserve">, ossia 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>le imprese che hanno bisogno di capitali per crescere e gli investitori finali che forniscono quest</w:t>
      </w:r>
      <w:r>
        <w:rPr>
          <w:rFonts w:ascii="Calibri Light" w:eastAsia="Times New Roman" w:hAnsi="Calibri Light" w:cs="Calibri Light"/>
          <w:i/>
          <w:iCs/>
          <w:lang w:val="it-IT"/>
        </w:rPr>
        <w:t>i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 capital</w:t>
      </w:r>
      <w:r>
        <w:rPr>
          <w:rFonts w:ascii="Calibri Light" w:eastAsia="Times New Roman" w:hAnsi="Calibri Light" w:cs="Calibri Light"/>
          <w:i/>
          <w:iCs/>
          <w:lang w:val="it-IT"/>
        </w:rPr>
        <w:t>i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. E chi sono </w:t>
      </w:r>
      <w:r>
        <w:rPr>
          <w:rFonts w:ascii="Calibri Light" w:eastAsia="Times New Roman" w:hAnsi="Calibri Light" w:cs="Calibri Light"/>
          <w:i/>
          <w:iCs/>
          <w:lang w:val="it-IT"/>
        </w:rPr>
        <w:t xml:space="preserve">in definitiva 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>questi fornitori di capitale, che investono direttamente o tramite fondi pensione, fondi d'investimento o prodotti d'investimento assicurativi? I cittadini dell'UE</w:t>
      </w:r>
      <w:r>
        <w:rPr>
          <w:rFonts w:ascii="Calibri Light" w:eastAsia="Times New Roman" w:hAnsi="Calibri Light" w:cs="Calibri Light"/>
          <w:i/>
          <w:iCs/>
          <w:lang w:val="it-IT"/>
        </w:rPr>
        <w:t xml:space="preserve"> in quanto </w:t>
      </w:r>
      <w:r w:rsidR="003A7E0D" w:rsidRPr="00931353">
        <w:rPr>
          <w:rFonts w:ascii="Calibri Light" w:eastAsia="Times New Roman" w:hAnsi="Calibri Light" w:cs="Calibri Light"/>
          <w:i/>
          <w:iCs/>
          <w:lang w:val="it-IT"/>
        </w:rPr>
        <w:t>risparmiatori.</w:t>
      </w:r>
      <w:r w:rsidR="003A7E0D" w:rsidRPr="00662260">
        <w:rPr>
          <w:rFonts w:ascii="Calibri Light" w:eastAsia="Times New Roman" w:hAnsi="Calibri Light" w:cs="Calibri Light"/>
          <w:lang w:val="it-IT"/>
        </w:rPr>
        <w:t xml:space="preserve">” </w:t>
      </w:r>
    </w:p>
    <w:p w14:paraId="0080774B" w14:textId="6C089CAA" w:rsidR="00055B80" w:rsidRPr="00931353" w:rsidRDefault="003A7E0D">
      <w:pPr>
        <w:spacing w:after="120" w:line="240" w:lineRule="auto"/>
        <w:jc w:val="both"/>
        <w:rPr>
          <w:lang w:val="it-IT"/>
        </w:rPr>
      </w:pPr>
      <w:proofErr w:type="spellStart"/>
      <w:r w:rsidRPr="00931353">
        <w:rPr>
          <w:rFonts w:ascii="Calibri Light" w:eastAsia="Times New Roman" w:hAnsi="Calibri Light" w:cs="Calibri Light"/>
          <w:lang w:val="it-IT"/>
        </w:rPr>
        <w:t>Prache</w:t>
      </w:r>
      <w:proofErr w:type="spellEnd"/>
      <w:r w:rsidRPr="00931353">
        <w:rPr>
          <w:rFonts w:ascii="Calibri Light" w:eastAsia="Times New Roman" w:hAnsi="Calibri Light" w:cs="Calibri Light"/>
          <w:lang w:val="it-IT"/>
        </w:rPr>
        <w:t xml:space="preserve"> sottolinea a</w:t>
      </w:r>
      <w:r w:rsidR="00662260">
        <w:rPr>
          <w:rFonts w:ascii="Calibri Light" w:eastAsia="Times New Roman" w:hAnsi="Calibri Light" w:cs="Calibri Light"/>
          <w:lang w:val="it-IT"/>
        </w:rPr>
        <w:t xml:space="preserve">ltresì </w:t>
      </w:r>
      <w:r w:rsidRPr="00931353">
        <w:rPr>
          <w:rFonts w:ascii="Calibri Light" w:eastAsia="Times New Roman" w:hAnsi="Calibri Light" w:cs="Calibri Light"/>
          <w:lang w:val="it-IT"/>
        </w:rPr>
        <w:t>la necessità di un solido sostegno politico a queste raccomandazioni: "</w:t>
      </w:r>
      <w:r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è troppo presto per </w:t>
      </w:r>
      <w:r w:rsidR="00662260">
        <w:rPr>
          <w:rFonts w:ascii="Calibri Light" w:eastAsia="Times New Roman" w:hAnsi="Calibri Light" w:cs="Calibri Light"/>
          <w:i/>
          <w:iCs/>
          <w:lang w:val="it-IT"/>
        </w:rPr>
        <w:t xml:space="preserve">cantare vittoria. Sarà possibile </w:t>
      </w:r>
      <w:r w:rsidRPr="00931353">
        <w:rPr>
          <w:rFonts w:ascii="Calibri Light" w:eastAsia="Times New Roman" w:hAnsi="Calibri Light" w:cs="Calibri Light"/>
          <w:i/>
          <w:iCs/>
          <w:lang w:val="it-IT"/>
        </w:rPr>
        <w:t>ripristin</w:t>
      </w:r>
      <w:r w:rsidR="00662260">
        <w:rPr>
          <w:rFonts w:ascii="Calibri Light" w:eastAsia="Times New Roman" w:hAnsi="Calibri Light" w:cs="Calibri Light"/>
          <w:i/>
          <w:iCs/>
          <w:lang w:val="it-IT"/>
        </w:rPr>
        <w:t xml:space="preserve">are </w:t>
      </w:r>
      <w:r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la fiducia necessaria tra i singoli investitori solo se i responsabili politici terranno conto di questo rapporto e si impegneranno seriamente </w:t>
      </w:r>
      <w:r w:rsidR="00662260">
        <w:rPr>
          <w:rFonts w:ascii="Calibri Light" w:eastAsia="Times New Roman" w:hAnsi="Calibri Light" w:cs="Calibri Light"/>
          <w:i/>
          <w:iCs/>
          <w:lang w:val="it-IT"/>
        </w:rPr>
        <w:t xml:space="preserve">per concretizzare </w:t>
      </w:r>
      <w:r w:rsidRPr="00931353">
        <w:rPr>
          <w:rFonts w:ascii="Calibri Light" w:eastAsia="Times New Roman" w:hAnsi="Calibri Light" w:cs="Calibri Light"/>
          <w:i/>
          <w:iCs/>
          <w:lang w:val="it-IT"/>
        </w:rPr>
        <w:t xml:space="preserve">le sue proposte di cambiamento </w:t>
      </w:r>
      <w:r w:rsidR="00662260">
        <w:rPr>
          <w:rFonts w:ascii="Calibri Light" w:eastAsia="Times New Roman" w:hAnsi="Calibri Light" w:cs="Calibri Light"/>
          <w:i/>
          <w:iCs/>
          <w:lang w:val="it-IT"/>
        </w:rPr>
        <w:t>radicale</w:t>
      </w:r>
      <w:r w:rsidRPr="00931353">
        <w:rPr>
          <w:rFonts w:ascii="Calibri Light" w:eastAsia="Times New Roman" w:hAnsi="Calibri Light" w:cs="Calibri Light"/>
          <w:i/>
          <w:iCs/>
          <w:lang w:val="it-IT"/>
        </w:rPr>
        <w:t>"</w:t>
      </w:r>
      <w:r w:rsidRPr="00931353">
        <w:rPr>
          <w:rFonts w:ascii="Calibri Light" w:eastAsia="Times New Roman" w:hAnsi="Calibri Light" w:cs="Calibri Light"/>
          <w:lang w:val="it-IT"/>
        </w:rPr>
        <w:t xml:space="preserve">.  </w:t>
      </w:r>
    </w:p>
    <w:p w14:paraId="0080774C" w14:textId="77777777" w:rsidR="00055B80" w:rsidRPr="00931353" w:rsidRDefault="003A7E0D">
      <w:pPr>
        <w:spacing w:after="120" w:line="240" w:lineRule="auto"/>
        <w:jc w:val="both"/>
        <w:rPr>
          <w:rFonts w:ascii="Calibri Light" w:eastAsia="Times New Roman" w:hAnsi="Calibri Light" w:cs="Calibri Light"/>
          <w:lang w:val="it-IT"/>
        </w:rPr>
      </w:pPr>
      <w:r w:rsidRPr="00931353">
        <w:rPr>
          <w:rFonts w:ascii="Calibri Light" w:eastAsia="Times New Roman" w:hAnsi="Calibri Light" w:cs="Calibri Light"/>
          <w:lang w:val="it-IT"/>
        </w:rPr>
        <w:t>BETTER FINANCE seguirà e monitorerà attentamente i progressi.</w:t>
      </w:r>
    </w:p>
    <w:p w14:paraId="0080774D" w14:textId="77777777" w:rsidR="00055B80" w:rsidRPr="00931353" w:rsidRDefault="003A7E0D">
      <w:pPr>
        <w:spacing w:after="0" w:line="240" w:lineRule="auto"/>
        <w:jc w:val="center"/>
        <w:rPr>
          <w:rFonts w:ascii="Calibri Light" w:hAnsi="Calibri Light" w:cs="Calibri Light"/>
          <w:lang w:val="it-IT"/>
        </w:rPr>
      </w:pPr>
      <w:r w:rsidRPr="00931353">
        <w:rPr>
          <w:rFonts w:ascii="Calibri Light" w:hAnsi="Calibri Light" w:cs="Calibri Light"/>
          <w:lang w:val="it-IT"/>
        </w:rPr>
        <w:t>***</w:t>
      </w:r>
    </w:p>
    <w:p w14:paraId="0080774E" w14:textId="77777777" w:rsidR="00055B80" w:rsidRPr="00931353" w:rsidRDefault="003A7E0D">
      <w:pPr>
        <w:pStyle w:val="Corpotesto"/>
        <w:spacing w:before="120" w:after="0" w:line="240" w:lineRule="auto"/>
        <w:jc w:val="center"/>
        <w:rPr>
          <w:lang w:val="it-IT"/>
        </w:rPr>
      </w:pPr>
      <w:r w:rsidRPr="00931353">
        <w:rPr>
          <w:rFonts w:ascii="Calibri Light" w:hAnsi="Calibri Light" w:cs="Calibri Light"/>
          <w:sz w:val="20"/>
          <w:u w:val="single"/>
          <w:lang w:val="it-IT"/>
        </w:rPr>
        <w:t>Contatto</w:t>
      </w:r>
      <w:r w:rsidRPr="00931353">
        <w:rPr>
          <w:rFonts w:ascii="Calibri Light" w:hAnsi="Calibri Light" w:cs="Calibri Light"/>
          <w:sz w:val="20"/>
          <w:lang w:val="it-IT"/>
        </w:rPr>
        <w:t xml:space="preserve">: Direttore delle comunicazioni ǀ </w:t>
      </w:r>
      <w:proofErr w:type="spellStart"/>
      <w:r w:rsidRPr="00931353">
        <w:rPr>
          <w:rFonts w:ascii="Calibri Light" w:hAnsi="Calibri Light" w:cs="Calibri Light"/>
          <w:sz w:val="20"/>
          <w:lang w:val="it-IT"/>
        </w:rPr>
        <w:t>Arnaud</w:t>
      </w:r>
      <w:proofErr w:type="spellEnd"/>
      <w:r w:rsidRPr="00931353">
        <w:rPr>
          <w:rFonts w:ascii="Calibri Light" w:hAnsi="Calibri Light" w:cs="Calibri Light"/>
          <w:sz w:val="20"/>
          <w:lang w:val="it-IT"/>
        </w:rPr>
        <w:t xml:space="preserve"> </w:t>
      </w:r>
      <w:proofErr w:type="spellStart"/>
      <w:r w:rsidRPr="00931353">
        <w:rPr>
          <w:rFonts w:ascii="Calibri Light" w:hAnsi="Calibri Light" w:cs="Calibri Light"/>
          <w:sz w:val="20"/>
          <w:lang w:val="it-IT"/>
        </w:rPr>
        <w:t>Houdmont</w:t>
      </w:r>
      <w:proofErr w:type="spellEnd"/>
      <w:r w:rsidRPr="00931353">
        <w:rPr>
          <w:rFonts w:ascii="Calibri Light" w:hAnsi="Calibri Light" w:cs="Calibri Light"/>
          <w:sz w:val="20"/>
          <w:lang w:val="it-IT"/>
        </w:rPr>
        <w:t xml:space="preserve"> ǀ +32 (0)2 514 37 77 ǀ </w:t>
      </w:r>
      <w:hyperlink r:id="rId11" w:history="1">
        <w:r w:rsidRPr="00931353">
          <w:rPr>
            <w:rStyle w:val="Collegamentoipertestuale"/>
            <w:rFonts w:ascii="Calibri Light" w:hAnsi="Calibri Light" w:cs="Calibri Light"/>
            <w:sz w:val="20"/>
            <w:lang w:val="it-IT"/>
          </w:rPr>
          <w:t>houdmont@betterfinance.eu</w:t>
        </w:r>
      </w:hyperlink>
    </w:p>
    <w:p w14:paraId="0080774F" w14:textId="77777777" w:rsidR="00055B80" w:rsidRPr="00931353" w:rsidRDefault="00055B80">
      <w:pPr>
        <w:pStyle w:val="Corpotesto"/>
        <w:spacing w:before="120" w:after="0" w:line="240" w:lineRule="auto"/>
        <w:rPr>
          <w:lang w:val="it-IT"/>
        </w:rPr>
      </w:pPr>
    </w:p>
    <w:p w14:paraId="00807750" w14:textId="4AC03534" w:rsidR="00055B80" w:rsidRPr="00931353" w:rsidRDefault="003A7E0D">
      <w:pPr>
        <w:pStyle w:val="Corpotesto"/>
        <w:numPr>
          <w:ilvl w:val="0"/>
          <w:numId w:val="1"/>
        </w:numPr>
        <w:spacing w:before="120" w:after="0" w:line="240" w:lineRule="auto"/>
        <w:ind w:left="426" w:hanging="426"/>
        <w:rPr>
          <w:lang w:val="it-IT"/>
        </w:rPr>
      </w:pPr>
      <w:r w:rsidRPr="00931353">
        <w:rPr>
          <w:rFonts w:ascii="Calibri Light" w:hAnsi="Calibri Light" w:cs="Calibri Light"/>
          <w:color w:val="1F497D"/>
          <w:spacing w:val="0"/>
          <w:sz w:val="20"/>
          <w:u w:val="single"/>
          <w:lang w:val="it-IT"/>
        </w:rPr>
        <w:t>Vedi pagina successiva per l'allegato</w:t>
      </w:r>
      <w:r w:rsidRPr="00931353">
        <w:rPr>
          <w:rFonts w:ascii="Calibri Light" w:hAnsi="Calibri Light" w:cs="Calibri Light"/>
          <w:color w:val="1F497D"/>
          <w:spacing w:val="0"/>
          <w:sz w:val="20"/>
          <w:lang w:val="it-IT"/>
        </w:rPr>
        <w:t>: "Raccomandazioni del</w:t>
      </w:r>
      <w:r w:rsidR="004C06A2">
        <w:rPr>
          <w:rFonts w:ascii="Calibri Light" w:hAnsi="Calibri Light" w:cs="Calibri Light"/>
          <w:color w:val="1F497D"/>
          <w:spacing w:val="0"/>
          <w:sz w:val="20"/>
          <w:lang w:val="it-IT"/>
        </w:rPr>
        <w:t xml:space="preserve"> rapporto </w:t>
      </w:r>
      <w:r w:rsidRPr="00931353">
        <w:rPr>
          <w:rFonts w:ascii="Calibri Light" w:hAnsi="Calibri Light" w:cs="Calibri Light"/>
          <w:color w:val="1F497D"/>
          <w:spacing w:val="0"/>
          <w:sz w:val="20"/>
          <w:lang w:val="it-IT"/>
        </w:rPr>
        <w:t>finale del</w:t>
      </w:r>
      <w:r w:rsidR="004C06A2">
        <w:rPr>
          <w:rFonts w:ascii="Calibri Light" w:hAnsi="Calibri Light" w:cs="Calibri Light"/>
          <w:color w:val="1F497D"/>
          <w:spacing w:val="0"/>
          <w:sz w:val="20"/>
          <w:lang w:val="it-IT"/>
        </w:rPr>
        <w:t xml:space="preserve"> Forum ad alto livello </w:t>
      </w:r>
      <w:r w:rsidRPr="00931353">
        <w:rPr>
          <w:rFonts w:ascii="Calibri Light" w:hAnsi="Calibri Light" w:cs="Calibri Light"/>
          <w:color w:val="1F497D"/>
          <w:spacing w:val="0"/>
          <w:sz w:val="20"/>
          <w:lang w:val="it-IT"/>
        </w:rPr>
        <w:t xml:space="preserve">CMU </w:t>
      </w:r>
      <w:r w:rsidR="004C06A2">
        <w:rPr>
          <w:rFonts w:ascii="Calibri Light" w:hAnsi="Calibri Light" w:cs="Calibri Light"/>
          <w:color w:val="1F497D"/>
          <w:spacing w:val="0"/>
          <w:sz w:val="20"/>
          <w:lang w:val="it-IT"/>
        </w:rPr>
        <w:t>e principali priorità di BETTER FINANCE</w:t>
      </w:r>
      <w:r w:rsidRPr="00931353">
        <w:rPr>
          <w:rFonts w:ascii="Calibri Light" w:hAnsi="Calibri Light" w:cs="Calibri Light"/>
          <w:color w:val="1F497D"/>
          <w:spacing w:val="0"/>
          <w:sz w:val="20"/>
          <w:lang w:val="it-IT"/>
        </w:rPr>
        <w:t xml:space="preserve"> (2019-2024)"</w:t>
      </w:r>
    </w:p>
    <w:p w14:paraId="00807751" w14:textId="77777777" w:rsidR="00055B80" w:rsidRPr="00931353" w:rsidRDefault="00055B80">
      <w:pPr>
        <w:pageBreakBefore/>
        <w:rPr>
          <w:lang w:val="it-IT"/>
        </w:rPr>
      </w:pPr>
    </w:p>
    <w:p w14:paraId="00807752" w14:textId="77777777" w:rsidR="000327E5" w:rsidRPr="00931353" w:rsidRDefault="000327E5">
      <w:pPr>
        <w:rPr>
          <w:lang w:val="it-IT"/>
        </w:rPr>
        <w:sectPr w:rsidR="000327E5" w:rsidRPr="00931353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20"/>
        </w:sectPr>
      </w:pPr>
    </w:p>
    <w:p w14:paraId="00807753" w14:textId="77777777" w:rsidR="00055B80" w:rsidRPr="00931353" w:rsidRDefault="003A7E0D">
      <w:pPr>
        <w:pStyle w:val="Titolo2"/>
        <w:spacing w:after="80"/>
        <w:jc w:val="center"/>
        <w:rPr>
          <w:rFonts w:eastAsia="Calibri" w:cs="Arial"/>
          <w:b/>
          <w:color w:val="auto"/>
          <w:spacing w:val="20"/>
          <w:kern w:val="3"/>
          <w:sz w:val="24"/>
          <w:szCs w:val="24"/>
          <w:lang w:val="it-IT"/>
        </w:rPr>
      </w:pPr>
      <w:r w:rsidRPr="00931353">
        <w:rPr>
          <w:rFonts w:eastAsia="Calibri" w:cs="Arial"/>
          <w:b/>
          <w:color w:val="auto"/>
          <w:spacing w:val="20"/>
          <w:kern w:val="3"/>
          <w:sz w:val="24"/>
          <w:szCs w:val="24"/>
          <w:lang w:val="it-IT"/>
        </w:rPr>
        <w:t>ALLEGATO AL COMUNICATO STAMPA</w:t>
      </w:r>
    </w:p>
    <w:p w14:paraId="00807754" w14:textId="1D66721E" w:rsidR="00055B80" w:rsidRPr="00931353" w:rsidRDefault="003A7E0D">
      <w:pPr>
        <w:pStyle w:val="Titolo2"/>
        <w:spacing w:before="0" w:line="240" w:lineRule="auto"/>
        <w:jc w:val="center"/>
        <w:rPr>
          <w:rFonts w:eastAsia="Calibri" w:cs="Arial"/>
          <w:b/>
          <w:spacing w:val="20"/>
          <w:kern w:val="3"/>
          <w:sz w:val="28"/>
          <w:szCs w:val="28"/>
          <w:lang w:val="it-IT"/>
        </w:rPr>
      </w:pPr>
      <w:r w:rsidRPr="00931353">
        <w:rPr>
          <w:rFonts w:eastAsia="Calibri" w:cs="Arial"/>
          <w:b/>
          <w:spacing w:val="20"/>
          <w:kern w:val="3"/>
          <w:sz w:val="28"/>
          <w:szCs w:val="28"/>
          <w:lang w:val="it-IT"/>
        </w:rPr>
        <w:t>Raccomandazioni del</w:t>
      </w:r>
      <w:r w:rsidR="00662260">
        <w:rPr>
          <w:rFonts w:eastAsia="Calibri" w:cs="Arial"/>
          <w:b/>
          <w:spacing w:val="20"/>
          <w:kern w:val="3"/>
          <w:sz w:val="28"/>
          <w:szCs w:val="28"/>
          <w:lang w:val="it-IT"/>
        </w:rPr>
        <w:t xml:space="preserve"> rapporto </w:t>
      </w:r>
      <w:r w:rsidRPr="00931353">
        <w:rPr>
          <w:rFonts w:eastAsia="Calibri" w:cs="Arial"/>
          <w:b/>
          <w:spacing w:val="20"/>
          <w:kern w:val="3"/>
          <w:sz w:val="28"/>
          <w:szCs w:val="28"/>
          <w:lang w:val="it-IT"/>
        </w:rPr>
        <w:t>finale del</w:t>
      </w:r>
      <w:r w:rsidR="00662260">
        <w:rPr>
          <w:rFonts w:eastAsia="Calibri" w:cs="Arial"/>
          <w:b/>
          <w:spacing w:val="20"/>
          <w:kern w:val="3"/>
          <w:sz w:val="28"/>
          <w:szCs w:val="28"/>
          <w:lang w:val="it-IT"/>
        </w:rPr>
        <w:t xml:space="preserve"> Forum ad alto livello </w:t>
      </w:r>
      <w:r w:rsidRPr="00931353">
        <w:rPr>
          <w:rFonts w:eastAsia="Calibri" w:cs="Arial"/>
          <w:b/>
          <w:spacing w:val="20"/>
          <w:kern w:val="3"/>
          <w:sz w:val="28"/>
          <w:szCs w:val="28"/>
          <w:lang w:val="it-IT"/>
        </w:rPr>
        <w:t xml:space="preserve">CMU </w:t>
      </w:r>
      <w:r w:rsidR="00662260">
        <w:rPr>
          <w:rFonts w:eastAsia="Calibri" w:cs="Arial"/>
          <w:b/>
          <w:spacing w:val="20"/>
          <w:kern w:val="3"/>
          <w:sz w:val="28"/>
          <w:szCs w:val="28"/>
          <w:lang w:val="it-IT"/>
        </w:rPr>
        <w:t xml:space="preserve">e </w:t>
      </w:r>
      <w:r w:rsidR="008D6286">
        <w:rPr>
          <w:rFonts w:eastAsia="Calibri" w:cs="Arial"/>
          <w:b/>
          <w:spacing w:val="20"/>
          <w:kern w:val="3"/>
          <w:sz w:val="28"/>
          <w:szCs w:val="28"/>
          <w:lang w:val="it-IT"/>
        </w:rPr>
        <w:t xml:space="preserve">principali priorità di BETTER FINANCE </w:t>
      </w:r>
      <w:r w:rsidRPr="00931353">
        <w:rPr>
          <w:rFonts w:eastAsia="Calibri" w:cs="Arial"/>
          <w:b/>
          <w:spacing w:val="20"/>
          <w:kern w:val="3"/>
          <w:sz w:val="28"/>
          <w:szCs w:val="28"/>
          <w:lang w:val="it-IT"/>
        </w:rPr>
        <w:t>(2019-2024)</w:t>
      </w:r>
    </w:p>
    <w:p w14:paraId="00807755" w14:textId="77777777" w:rsidR="00055B80" w:rsidRPr="00931353" w:rsidRDefault="00055B80">
      <w:pPr>
        <w:pBdr>
          <w:bottom w:val="single" w:sz="4" w:space="1" w:color="000000"/>
        </w:pBdr>
        <w:spacing w:after="0"/>
        <w:rPr>
          <w:rFonts w:ascii="Cambria" w:hAnsi="Cambria"/>
          <w:color w:val="0070C0"/>
          <w:sz w:val="18"/>
          <w:szCs w:val="18"/>
          <w:lang w:val="it-IT"/>
        </w:rPr>
      </w:pPr>
    </w:p>
    <w:p w14:paraId="00807756" w14:textId="77777777" w:rsidR="00055B80" w:rsidRPr="00931353" w:rsidRDefault="00055B80">
      <w:pPr>
        <w:spacing w:after="0"/>
        <w:jc w:val="both"/>
        <w:rPr>
          <w:rFonts w:ascii="Cambria" w:hAnsi="Cambria" w:cs="Cambria"/>
          <w:sz w:val="18"/>
          <w:szCs w:val="18"/>
          <w:lang w:val="it-IT"/>
        </w:rPr>
      </w:pPr>
    </w:p>
    <w:p w14:paraId="00807757" w14:textId="2534D4BA" w:rsidR="00055B80" w:rsidRPr="00931353" w:rsidRDefault="003A7E0D">
      <w:pPr>
        <w:spacing w:after="120"/>
        <w:jc w:val="both"/>
        <w:rPr>
          <w:rFonts w:ascii="Calibri Light" w:hAnsi="Calibri Light" w:cs="Calibri Light"/>
          <w:sz w:val="20"/>
          <w:szCs w:val="20"/>
          <w:lang w:val="it-IT"/>
        </w:rPr>
      </w:pPr>
      <w:r w:rsidRPr="00931353">
        <w:rPr>
          <w:rFonts w:ascii="Calibri Light" w:hAnsi="Calibri Light" w:cs="Calibri Light"/>
          <w:sz w:val="20"/>
          <w:szCs w:val="20"/>
          <w:lang w:val="it-IT"/>
        </w:rPr>
        <w:t>Questa tabella elenca le priorità chiave d</w:t>
      </w:r>
      <w:r w:rsidR="005C7497">
        <w:rPr>
          <w:rFonts w:ascii="Calibri Light" w:hAnsi="Calibri Light" w:cs="Calibri Light"/>
          <w:sz w:val="20"/>
          <w:szCs w:val="20"/>
          <w:lang w:val="it-IT"/>
        </w:rPr>
        <w:t xml:space="preserve">i BETTER FINANCE </w:t>
      </w:r>
      <w:r w:rsidRPr="00931353">
        <w:rPr>
          <w:rFonts w:ascii="Calibri Light" w:hAnsi="Calibri Light" w:cs="Calibri Light"/>
          <w:sz w:val="20"/>
          <w:szCs w:val="20"/>
          <w:lang w:val="it-IT"/>
        </w:rPr>
        <w:t>(in grassetto) e il modo in cui sono state accolte nelle raccoman</w:t>
      </w:r>
      <w:r w:rsidR="005C7497">
        <w:rPr>
          <w:rFonts w:ascii="Calibri Light" w:hAnsi="Calibri Light" w:cs="Calibri Light"/>
          <w:sz w:val="20"/>
          <w:szCs w:val="20"/>
          <w:lang w:val="it-IT"/>
        </w:rPr>
        <w:t xml:space="preserve">dazioni concrete presentate nel rapporto </w:t>
      </w:r>
      <w:r w:rsidRPr="00931353">
        <w:rPr>
          <w:rFonts w:ascii="Calibri Light" w:hAnsi="Calibri Light" w:cs="Calibri Light"/>
          <w:sz w:val="20"/>
          <w:szCs w:val="20"/>
          <w:lang w:val="it-IT"/>
        </w:rPr>
        <w:t xml:space="preserve">finale del Forum ad alto livello </w:t>
      </w:r>
      <w:r w:rsidR="005C7497">
        <w:rPr>
          <w:rFonts w:ascii="Calibri Light" w:hAnsi="Calibri Light" w:cs="Calibri Light"/>
          <w:sz w:val="20"/>
          <w:szCs w:val="20"/>
          <w:lang w:val="it-IT"/>
        </w:rPr>
        <w:t xml:space="preserve">(HLF) </w:t>
      </w:r>
      <w:r w:rsidRPr="00931353">
        <w:rPr>
          <w:rFonts w:ascii="Calibri Light" w:hAnsi="Calibri Light" w:cs="Calibri Light"/>
          <w:sz w:val="20"/>
          <w:szCs w:val="20"/>
          <w:lang w:val="it-IT"/>
        </w:rPr>
        <w:t>sul futuro dell'Unione dei mercati dei capitali (CMU).</w:t>
      </w:r>
    </w:p>
    <w:p w14:paraId="00807758" w14:textId="76E5A6C0" w:rsidR="00055B80" w:rsidRPr="00931353" w:rsidRDefault="003A7E0D">
      <w:pPr>
        <w:jc w:val="both"/>
        <w:rPr>
          <w:rFonts w:ascii="Calibri Light" w:hAnsi="Calibri Light" w:cs="Calibri Light"/>
          <w:sz w:val="20"/>
          <w:szCs w:val="20"/>
          <w:lang w:val="it-IT"/>
        </w:rPr>
      </w:pPr>
      <w:r w:rsidRPr="00931353">
        <w:rPr>
          <w:rFonts w:ascii="Calibri Light" w:hAnsi="Calibri Light" w:cs="Calibri Light"/>
          <w:sz w:val="20"/>
          <w:szCs w:val="20"/>
          <w:lang w:val="it-IT"/>
        </w:rPr>
        <w:t>Il rapporto finale del</w:t>
      </w:r>
      <w:r w:rsidR="005C7497">
        <w:rPr>
          <w:rFonts w:ascii="Calibri Light" w:hAnsi="Calibri Light" w:cs="Calibri Light"/>
          <w:sz w:val="20"/>
          <w:szCs w:val="20"/>
          <w:lang w:val="it-IT"/>
        </w:rPr>
        <w:t xml:space="preserve"> Forum </w:t>
      </w:r>
      <w:r w:rsidRPr="00931353">
        <w:rPr>
          <w:rFonts w:ascii="Calibri Light" w:hAnsi="Calibri Light" w:cs="Calibri Light"/>
          <w:sz w:val="20"/>
          <w:szCs w:val="20"/>
          <w:lang w:val="it-IT"/>
        </w:rPr>
        <w:t>copre tutte le priorità chiave proposte da BF per creare una CMU che ripristi</w:t>
      </w:r>
      <w:r w:rsidR="005C7497">
        <w:rPr>
          <w:rFonts w:ascii="Calibri Light" w:hAnsi="Calibri Light" w:cs="Calibri Light"/>
          <w:sz w:val="20"/>
          <w:szCs w:val="20"/>
          <w:lang w:val="it-IT"/>
        </w:rPr>
        <w:t xml:space="preserve">ni la fiducia dei cittadini nel settore </w:t>
      </w:r>
      <w:r w:rsidRPr="00931353">
        <w:rPr>
          <w:rFonts w:ascii="Calibri Light" w:hAnsi="Calibri Light" w:cs="Calibri Light"/>
          <w:sz w:val="20"/>
          <w:szCs w:val="20"/>
          <w:lang w:val="it-IT"/>
        </w:rPr>
        <w:t>finanziari</w:t>
      </w:r>
      <w:r w:rsidR="005C7497">
        <w:rPr>
          <w:rFonts w:ascii="Calibri Light" w:hAnsi="Calibri Light" w:cs="Calibri Light"/>
          <w:sz w:val="20"/>
          <w:szCs w:val="20"/>
          <w:lang w:val="it-IT"/>
        </w:rPr>
        <w:t>o</w:t>
      </w:r>
      <w:r w:rsidRPr="00931353">
        <w:rPr>
          <w:rFonts w:ascii="Calibri Light" w:hAnsi="Calibri Light" w:cs="Calibri Light"/>
          <w:sz w:val="20"/>
          <w:szCs w:val="20"/>
          <w:lang w:val="it-IT"/>
        </w:rPr>
        <w:t>, disinneschi la bomba a orologeria delle pensioni e aumenti l'attrattiva dei mercati dei capitali dell'UE. Le raccomandazioni del</w:t>
      </w:r>
      <w:r w:rsidR="005C7497">
        <w:rPr>
          <w:rFonts w:ascii="Calibri Light" w:hAnsi="Calibri Light" w:cs="Calibri Light"/>
          <w:sz w:val="20"/>
          <w:szCs w:val="20"/>
          <w:lang w:val="it-IT"/>
        </w:rPr>
        <w:t xml:space="preserve"> Forum </w:t>
      </w:r>
      <w:r w:rsidRPr="00931353">
        <w:rPr>
          <w:rFonts w:ascii="Calibri Light" w:hAnsi="Calibri Light" w:cs="Calibri Light"/>
          <w:sz w:val="20"/>
          <w:szCs w:val="20"/>
          <w:lang w:val="it-IT"/>
        </w:rPr>
        <w:t xml:space="preserve">CMU hanno </w:t>
      </w:r>
      <w:r w:rsidR="005C7497">
        <w:rPr>
          <w:rFonts w:ascii="Calibri Light" w:hAnsi="Calibri Light" w:cs="Calibri Light"/>
          <w:sz w:val="20"/>
          <w:szCs w:val="20"/>
          <w:lang w:val="it-IT"/>
        </w:rPr>
        <w:t xml:space="preserve">recepito </w:t>
      </w:r>
      <w:r w:rsidRPr="00931353">
        <w:rPr>
          <w:rFonts w:ascii="Calibri Light" w:hAnsi="Calibri Light" w:cs="Calibri Light"/>
          <w:sz w:val="20"/>
          <w:szCs w:val="20"/>
          <w:lang w:val="it-IT"/>
        </w:rPr>
        <w:t>16 delle nostre 35 misure chiave.</w:t>
      </w:r>
    </w:p>
    <w:p w14:paraId="00807759" w14:textId="4932BD19" w:rsidR="00055B80" w:rsidRPr="00931353" w:rsidRDefault="003A7E0D">
      <w:pPr>
        <w:jc w:val="both"/>
        <w:rPr>
          <w:rFonts w:ascii="Calibri Light" w:hAnsi="Calibri Light" w:cs="Calibri Light"/>
          <w:sz w:val="20"/>
          <w:szCs w:val="20"/>
          <w:lang w:val="it-IT"/>
        </w:rPr>
      </w:pPr>
      <w:r w:rsidRPr="00931353">
        <w:rPr>
          <w:rFonts w:ascii="Calibri Light" w:hAnsi="Calibri Light" w:cs="Calibri Light"/>
          <w:sz w:val="20"/>
          <w:szCs w:val="20"/>
          <w:lang w:val="it-IT"/>
        </w:rPr>
        <w:t>L'elenco che segue non è esaustivo, ma si concentra su</w:t>
      </w:r>
      <w:r w:rsidR="005C7497">
        <w:rPr>
          <w:rFonts w:ascii="Calibri Light" w:hAnsi="Calibri Light" w:cs="Calibri Light"/>
          <w:sz w:val="20"/>
          <w:szCs w:val="20"/>
          <w:lang w:val="it-IT"/>
        </w:rPr>
        <w:t xml:space="preserve">lle misure </w:t>
      </w:r>
      <w:r w:rsidRPr="00931353">
        <w:rPr>
          <w:rFonts w:ascii="Calibri Light" w:hAnsi="Calibri Light" w:cs="Calibri Light"/>
          <w:sz w:val="20"/>
          <w:szCs w:val="20"/>
          <w:lang w:val="it-IT"/>
        </w:rPr>
        <w:t>più rilevanti ("</w:t>
      </w:r>
      <w:r w:rsidR="005C7497">
        <w:rPr>
          <w:rFonts w:ascii="Calibri Light" w:hAnsi="Calibri Light" w:cs="Calibri Light"/>
          <w:sz w:val="20"/>
          <w:szCs w:val="20"/>
          <w:lang w:val="it-IT"/>
        </w:rPr>
        <w:t>indispensabili</w:t>
      </w:r>
      <w:r w:rsidRPr="00931353">
        <w:rPr>
          <w:rFonts w:ascii="Calibri Light" w:hAnsi="Calibri Light" w:cs="Calibri Light"/>
          <w:sz w:val="20"/>
          <w:szCs w:val="20"/>
          <w:lang w:val="it-IT"/>
        </w:rPr>
        <w:t>") per i singoli investitori.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5103"/>
      </w:tblGrid>
      <w:tr w:rsidR="00055B80" w:rsidRPr="00931353" w14:paraId="0080775C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5A" w14:textId="77777777" w:rsidR="00055B80" w:rsidRPr="00931353" w:rsidRDefault="003A7E0D">
            <w:pPr>
              <w:spacing w:after="0" w:line="240" w:lineRule="auto"/>
              <w:jc w:val="center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Priorità chiave BF 2019 - 2024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5B" w14:textId="5724180B" w:rsidR="00055B80" w:rsidRPr="00931353" w:rsidRDefault="003A7E0D" w:rsidP="005C749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Raccomandazioni </w:t>
            </w:r>
            <w:r w:rsidR="005C7497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Forum 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CMU</w:t>
            </w:r>
          </w:p>
        </w:tc>
      </w:tr>
      <w:tr w:rsidR="00055B80" w:rsidRPr="00931353" w14:paraId="00807766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5D" w14:textId="013CB23F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Miglior</w:t>
            </w:r>
            <w:r w:rsidR="005C7497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ar</w:t>
            </w: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e </w:t>
            </w:r>
            <w:r w:rsidR="005C7497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l’</w:t>
            </w: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accesso a prodotti semplici e trasparenti</w:t>
            </w:r>
          </w:p>
          <w:p w14:paraId="0080775E" w14:textId="5B19C21F" w:rsidR="00055B80" w:rsidRPr="00931353" w:rsidRDefault="003A7E0D">
            <w:pPr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1) "</w:t>
            </w:r>
            <w:r w:rsidR="005C7497">
              <w:rPr>
                <w:rFonts w:ascii="Calibri Light" w:hAnsi="Calibri Light" w:cs="Calibri Light"/>
                <w:sz w:val="20"/>
                <w:szCs w:val="20"/>
                <w:lang w:val="it-IT"/>
              </w:rPr>
              <w:t>M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igliore allineamento degli incentivi dei distributori con i rendimenti </w:t>
            </w:r>
            <w:r w:rsidR="005C7497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per 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i clienti riducendo al minimo i conflitti di interesse nella distribuzione..."</w:t>
            </w:r>
          </w:p>
          <w:p w14:paraId="0080775F" w14:textId="77777777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Garantire la coerenza di tutte le norme di protezione degli utenti finanziari dell'UE</w:t>
            </w:r>
          </w:p>
          <w:p w14:paraId="00807760" w14:textId="3C8504EB" w:rsidR="00055B80" w:rsidRPr="00931353" w:rsidRDefault="003A7E0D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2) "Eliminare le incoerenze tra le norme vigenti in materia di tutela degli investitori e degli assicurati (ad es. </w:t>
            </w:r>
            <w:proofErr w:type="spellStart"/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MiFID</w:t>
            </w:r>
            <w:proofErr w:type="spellEnd"/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 II e PRIIP, IDD e IBIP) (...) </w:t>
            </w:r>
            <w:r w:rsidR="005C7497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e 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in particolare i co</w:t>
            </w:r>
            <w:r w:rsidR="005C7497">
              <w:rPr>
                <w:rFonts w:ascii="Calibri Light" w:hAnsi="Calibri Light" w:cs="Calibri Light"/>
                <w:sz w:val="20"/>
                <w:szCs w:val="20"/>
                <w:lang w:val="it-IT"/>
              </w:rPr>
              <w:t>nflitti di interesse"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61" w14:textId="7A28687F" w:rsidR="00055B80" w:rsidRPr="00931353" w:rsidRDefault="003A7E0D">
            <w:pPr>
              <w:spacing w:after="0" w:line="240" w:lineRule="auto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Problem</w:t>
            </w:r>
            <w:r w:rsidR="00656B6E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atiche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 e cambi</w:t>
            </w:r>
            <w:r w:rsidR="005C7497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amenti radicali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:</w:t>
            </w:r>
          </w:p>
          <w:p w14:paraId="00807762" w14:textId="77777777" w:rsidR="00055B80" w:rsidRPr="00931353" w:rsidRDefault="003A7E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4" w:hanging="218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necessità che la Commissione indaghi sul ruolo degli incentivi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00807763" w14:textId="2FA0069B" w:rsidR="00055B80" w:rsidRPr="00931353" w:rsidRDefault="003A7E0D">
            <w:pPr>
              <w:pStyle w:val="Default"/>
              <w:numPr>
                <w:ilvl w:val="0"/>
                <w:numId w:val="3"/>
              </w:numPr>
              <w:ind w:left="599" w:hanging="239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"studio sul ruolo degli incentivi per </w:t>
            </w:r>
            <w:r w:rsidR="005C7497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l'adeguatezza della consulenza"</w:t>
            </w:r>
          </w:p>
          <w:p w14:paraId="00807764" w14:textId="02F7B954" w:rsidR="00055B80" w:rsidRPr="00931353" w:rsidRDefault="003A7E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4" w:hanging="218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  <w:r w:rsidR="005C7497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maggiore armonizzazione delle norme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sugli incentivi nella legislazione </w:t>
            </w:r>
            <w:r w:rsidR="009C0CAC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di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settore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" </w:t>
            </w:r>
          </w:p>
          <w:p w14:paraId="00807765" w14:textId="5E3339AE" w:rsidR="00055B80" w:rsidRPr="00931353" w:rsidRDefault="00656B6E" w:rsidP="00104AD5">
            <w:pPr>
              <w:pStyle w:val="Default"/>
              <w:numPr>
                <w:ilvl w:val="0"/>
                <w:numId w:val="3"/>
              </w:numPr>
              <w:ind w:left="599" w:hanging="239"/>
              <w:rPr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"m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odifiche all</w:t>
            </w:r>
            <w:r w:rsidR="00104AD5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e direttive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IDD, </w:t>
            </w:r>
            <w:proofErr w:type="spellStart"/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MiFID</w:t>
            </w:r>
            <w:proofErr w:type="spellEnd"/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II per migliorare l'equità e la qualità</w:t>
            </w:r>
            <w:r w:rsidR="00104AD5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della consulenza finanziaria"</w:t>
            </w:r>
          </w:p>
        </w:tc>
      </w:tr>
      <w:tr w:rsidR="00055B80" w:rsidRPr="00931353" w14:paraId="0080777C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67" w14:textId="41A0D082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Rendere i mercati europei dei capitali più attraenti per i cittadini dell'UE </w:t>
            </w:r>
            <w:r w:rsidR="005C7497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in quanto </w:t>
            </w: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risparmiatori e investitori</w:t>
            </w:r>
          </w:p>
          <w:p w14:paraId="00807768" w14:textId="52CB7669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3) "</w:t>
            </w:r>
            <w:r w:rsidR="005C7497">
              <w:rPr>
                <w:rFonts w:ascii="Calibri Light" w:hAnsi="Calibri Light" w:cs="Calibri Light"/>
                <w:sz w:val="20"/>
                <w:szCs w:val="20"/>
                <w:lang w:val="it-IT"/>
              </w:rPr>
              <w:t>G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arantire la corretta applicazione delle norm</w:t>
            </w:r>
            <w:r w:rsidR="005C7497">
              <w:rPr>
                <w:rFonts w:ascii="Calibri Light" w:hAnsi="Calibri Light" w:cs="Calibri Light"/>
                <w:sz w:val="20"/>
                <w:szCs w:val="20"/>
                <w:lang w:val="it-IT"/>
              </w:rPr>
              <w:t>e UE contro le vendite abusive"</w:t>
            </w:r>
          </w:p>
          <w:p w14:paraId="00807769" w14:textId="73376BBC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4) "</w:t>
            </w:r>
            <w:r w:rsidR="005C7497">
              <w:rPr>
                <w:rFonts w:ascii="Calibri Light" w:hAnsi="Calibri Light" w:cs="Calibri Light"/>
                <w:sz w:val="20"/>
                <w:szCs w:val="20"/>
                <w:lang w:val="it-IT"/>
              </w:rPr>
              <w:t>U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tilizzare le tasse come </w:t>
            </w:r>
            <w:r w:rsidR="005C7497">
              <w:rPr>
                <w:rFonts w:ascii="Calibri Light" w:hAnsi="Calibri Light" w:cs="Calibri Light"/>
                <w:sz w:val="20"/>
                <w:szCs w:val="20"/>
                <w:lang w:val="it-IT"/>
              </w:rPr>
              <w:t>incentivo e non come punizione"</w:t>
            </w:r>
          </w:p>
          <w:p w14:paraId="0080776A" w14:textId="302D06DB" w:rsidR="00055B80" w:rsidRPr="00931353" w:rsidRDefault="003A7E0D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5) "</w:t>
            </w:r>
            <w:r w:rsidR="005C7497">
              <w:rPr>
                <w:rFonts w:ascii="Calibri Light" w:hAnsi="Calibri Light" w:cs="Calibri Light"/>
                <w:sz w:val="20"/>
                <w:szCs w:val="20"/>
                <w:lang w:val="it-IT"/>
              </w:rPr>
              <w:t>A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ccrescere la responsabilità degli investitori istituzionali" </w:t>
            </w:r>
          </w:p>
          <w:p w14:paraId="0080776B" w14:textId="77777777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Garantire un accesso equo e paritario ai mezzi di ricorso</w:t>
            </w:r>
          </w:p>
          <w:p w14:paraId="0080776C" w14:textId="4A254F06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6) "Introdurre regole comuni per il ricorso collettivo per</w:t>
            </w:r>
            <w:r w:rsidR="005C7497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 tutti gli investitori dell'UE"</w:t>
            </w:r>
          </w:p>
          <w:p w14:paraId="0080776D" w14:textId="77777777" w:rsidR="00055B80" w:rsidRPr="00931353" w:rsidRDefault="00055B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  <w:p w14:paraId="0080776E" w14:textId="77777777" w:rsidR="00055B80" w:rsidRPr="00931353" w:rsidRDefault="00055B80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6F" w14:textId="0B3544F6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Problem</w:t>
            </w:r>
            <w:r w:rsidR="00656B6E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atiche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 e cambi</w:t>
            </w:r>
            <w:r w:rsidR="00656B6E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amenti radicali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:</w:t>
            </w:r>
          </w:p>
          <w:p w14:paraId="00807770" w14:textId="75DDD8F6" w:rsidR="00055B80" w:rsidRPr="00931353" w:rsidRDefault="003A7E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6" w:hanging="214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  <w:r w:rsidR="00656B6E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l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 fiducia dei cittadini nei mercati dei capitali dovrebbe essere ulteriormente rafforzata garantendo </w:t>
            </w:r>
            <w:r w:rsidR="00656B6E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efficacia e portata adeguata a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gli </w:t>
            </w:r>
            <w:r w:rsidR="00656B6E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strumenti di ricorso collettivo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00807771" w14:textId="0EBEB21D" w:rsidR="00055B80" w:rsidRPr="00931353" w:rsidRDefault="003A7E0D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ind w:left="599" w:hanging="219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  <w:r w:rsidR="00656B6E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il Forum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invita i </w:t>
            </w:r>
            <w:proofErr w:type="spellStart"/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colegislatori</w:t>
            </w:r>
            <w:proofErr w:type="spellEnd"/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 a non discriminare i </w:t>
            </w:r>
            <w:r w:rsidR="00656B6E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singoli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investimenti diretti degli investitori al dettaglio in strumenti azionari e a reddito fisso, includendoli nell'ambito di applicazione della </w:t>
            </w:r>
            <w:r w:rsidR="00656B6E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d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irettiva </w:t>
            </w:r>
            <w:r w:rsidR="00656B6E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relativa a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lle azioni rappresentative a tutela degli interessi collettivi dei consumatori 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(...)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attraverso l'inclusione d</w:t>
            </w:r>
            <w:r w:rsidR="00656B6E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el regolamento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MAR </w:t>
            </w:r>
            <w:r w:rsidR="00656B6E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(abusi di mercato)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e </w:t>
            </w:r>
            <w:r w:rsidR="00656B6E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della direttiva SRD (diritti degli azionisti) nel suo Allegato I"</w:t>
            </w:r>
          </w:p>
          <w:p w14:paraId="00807772" w14:textId="44C3ADC5" w:rsidR="00055B80" w:rsidRPr="00931353" w:rsidRDefault="003A7E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6" w:hanging="214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mancanza di armonizzazione e standardizzazione tra gli Stati membri delle norme che disciplinano l'attribuzione dei diritti di voto e l'esercizio del diritto di voto da parte degli azionisti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00807773" w14:textId="21EE30FD" w:rsidR="00055B80" w:rsidRPr="00931353" w:rsidRDefault="003A7E0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605" w:hanging="245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"presentare una proposta di regolamento sui diritti degli azionisti per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fornire una definizione armonizzata di "azionista"</w:t>
            </w:r>
            <w:r w:rsidRPr="00656B6E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val="it-IT"/>
              </w:rPr>
              <w:t xml:space="preserve"> a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livello UE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00807774" w14:textId="6DCC8774" w:rsidR="00055B80" w:rsidRPr="00931353" w:rsidRDefault="00656B6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6" w:hanging="214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"a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nche la gestione d</w:t>
            </w:r>
            <w:r w:rsidR="00A320C8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ei trattamenti di eventi societari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complessi e divergenti tra gli Stati membr</w:t>
            </w:r>
            <w:r w:rsidR="00A320C8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 rimane inefficiente e costosa”</w:t>
            </w:r>
          </w:p>
          <w:p w14:paraId="00807775" w14:textId="37901571" w:rsidR="00055B80" w:rsidRPr="00931353" w:rsidRDefault="003A7E0D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ind w:left="599" w:hanging="218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"modificare la </w:t>
            </w:r>
            <w:r w:rsidR="00A320C8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d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irettiva sui diritti degli azionisti 2 (SRD 2) e il suo </w:t>
            </w:r>
            <w:r w:rsidR="00A320C8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r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egolamento </w:t>
            </w:r>
            <w:r w:rsidRPr="00A320C8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val="it-IT"/>
              </w:rPr>
              <w:t>di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attuazione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per chiarire e armonizzare ulteriormente l'interazione tra investitori,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lastRenderedPageBreak/>
              <w:t>intermediari, inclusi CSD ed emittenti</w:t>
            </w:r>
            <w:r w:rsidR="00A320C8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 e loro agenti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in relazione all'esercizio dei diritti di voto e al trattamento de</w:t>
            </w:r>
            <w:r w:rsidR="00A320C8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gli eventi societari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</w:p>
          <w:p w14:paraId="00807776" w14:textId="3B53A782" w:rsidR="00055B80" w:rsidRPr="00EE3BD7" w:rsidRDefault="003A7E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4" w:hanging="218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"l</w:t>
            </w:r>
            <w:r w:rsidR="00B005AA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'uso delle nuove tecnologie ha le potenzialità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per migliorare l'efficienza (...) e facilitare l'esercizio dei diritti degli azionisti in un contesto transfrontaliero</w:t>
            </w:r>
            <w:r w:rsidR="00B005AA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6720F697" w14:textId="77777777" w:rsidR="00EE3BD7" w:rsidRPr="00931353" w:rsidRDefault="00EE3BD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4" w:hanging="218"/>
              <w:jc w:val="both"/>
              <w:rPr>
                <w:lang w:val="it-IT"/>
              </w:rPr>
            </w:pPr>
          </w:p>
          <w:p w14:paraId="00807777" w14:textId="7544B150" w:rsidR="00055B80" w:rsidRPr="00931353" w:rsidRDefault="003A7E0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99" w:hanging="239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facilitare l'uso delle nuove tecnologie digitali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per (i) consentire un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più ampio coinvolgimento degli investitori 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(...)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e (ii)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rendere più efficient</w:t>
            </w:r>
            <w:r w:rsidR="009C0CA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e</w:t>
            </w:r>
            <w:r w:rsidR="000036DB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 il trattamento degli eventi societari e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delle assemblee generali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</w:p>
          <w:p w14:paraId="00807778" w14:textId="78D7EC75" w:rsidR="00055B80" w:rsidRPr="00931353" w:rsidRDefault="000036D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74" w:hanging="174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"u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n sistema unico UE consentirebbe di ottenere un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’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immediat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 esenzione dalle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ritenute alla f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onte per i redditi da capitale"</w:t>
            </w:r>
          </w:p>
          <w:p w14:paraId="00807779" w14:textId="7E4C99C3" w:rsidR="00055B80" w:rsidRPr="00931353" w:rsidRDefault="000036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99" w:hanging="218"/>
              <w:rPr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"l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 Commissione è invitata a definire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,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nel diritto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comunitario,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definizioni comuni, processi comuni e un modulo unico,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in relazione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alle procedure di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esenzione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alla fonte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e alla loro razionalizzazione"</w:t>
            </w:r>
          </w:p>
          <w:p w14:paraId="0080777A" w14:textId="4A7A0D07" w:rsidR="00055B80" w:rsidRPr="00931353" w:rsidRDefault="003A7E0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74" w:hanging="174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  <w:r w:rsidR="000036DB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l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'UE soffre di una carenza cronica di finanziamenti per le aziende che hanno </w:t>
            </w:r>
            <w:r w:rsidR="000036DB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le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potenzial</w:t>
            </w:r>
            <w:r w:rsidR="000036DB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ità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per diventare attori globali e per gli investimenti a lungo termine necessari p</w:t>
            </w:r>
            <w:r w:rsidR="000036DB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er la sostenibilità ambientale"</w:t>
            </w:r>
          </w:p>
          <w:p w14:paraId="0080777B" w14:textId="3828F4F0" w:rsidR="00055B80" w:rsidRPr="00931353" w:rsidRDefault="003A7E0D" w:rsidP="000036DB">
            <w:pPr>
              <w:pStyle w:val="Paragrafoelenco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  <w:r w:rsidR="000036DB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g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li Stati membri sono invitati a semplificare l</w:t>
            </w:r>
            <w:r w:rsidR="000036DB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e norme fiscali applicabili ai f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ondi europei </w:t>
            </w:r>
            <w:r w:rsidR="000036DB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per gli investimenti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a lungo termine (ELTIF) e/o il trattamento fiscale preferenziale per gli ELTIF. Inoltre, gli Stati membri dovrebbero prendere in considerazione incentivi fiscali per promuovere gli investimenti a lungo termine nelle PMI attraverso gli ELTIF</w:t>
            </w:r>
            <w:r w:rsidR="000036DB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</w:tc>
      </w:tr>
      <w:tr w:rsidR="00055B80" w:rsidRPr="00931353" w14:paraId="00807789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7D" w14:textId="77777777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lastRenderedPageBreak/>
              <w:t>Migliorare la competitività dei mercati europei dei capitali per le PMI</w:t>
            </w:r>
          </w:p>
          <w:p w14:paraId="0080777E" w14:textId="27CDF76C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7) "Aumentare l'attrattiva delle borse </w:t>
            </w:r>
            <w:r w:rsidR="000036DB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europee 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per le</w:t>
            </w:r>
            <w:r w:rsidR="000036DB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 PMI dell'UE"</w:t>
            </w:r>
          </w:p>
          <w:p w14:paraId="0080777F" w14:textId="03404FBC" w:rsidR="00055B80" w:rsidRPr="00931353" w:rsidRDefault="003A7E0D" w:rsidP="000036DB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8) "Rafforzare il mercato del</w:t>
            </w:r>
            <w:r w:rsidR="000036DB">
              <w:rPr>
                <w:rFonts w:ascii="Calibri Light" w:hAnsi="Calibri Light" w:cs="Calibri Light"/>
                <w:sz w:val="20"/>
                <w:szCs w:val="20"/>
                <w:lang w:val="it-IT"/>
              </w:rPr>
              <w:t>le offerte pubbliche iniziali (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IPO</w:t>
            </w:r>
            <w:r w:rsidR="000036DB">
              <w:rPr>
                <w:rFonts w:ascii="Calibri Light" w:hAnsi="Calibri Light" w:cs="Calibri Light"/>
                <w:sz w:val="20"/>
                <w:szCs w:val="20"/>
                <w:lang w:val="it-IT"/>
              </w:rPr>
              <w:t>) nell'Europa continentale..."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80" w14:textId="732B1C14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Problem</w:t>
            </w:r>
            <w:r w:rsidR="000036DB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atiche 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e cambi</w:t>
            </w:r>
            <w:r w:rsidR="000036DB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amenti radicali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:</w:t>
            </w:r>
          </w:p>
          <w:p w14:paraId="00807781" w14:textId="7DA757ED" w:rsidR="00055B80" w:rsidRPr="00931353" w:rsidRDefault="003A7E0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  <w:r w:rsidR="00C179A7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la garanzia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che le PMI non debbano sostenere oneri amministrativi e costi sproporzionati per conformarsi ai requisiti di quotazione, compresi gli abusi di mercato, ridurrà la loro riluttanza a quotarsi sui mercati pubblici</w:t>
            </w:r>
            <w:r w:rsidR="00C179A7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00807782" w14:textId="4AEBEA5C" w:rsidR="00055B80" w:rsidRPr="00931353" w:rsidRDefault="003A7E0D">
            <w:pPr>
              <w:pStyle w:val="Paragrafoelenco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it-IT"/>
              </w:rPr>
            </w:pPr>
            <w:proofErr w:type="gramStart"/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nuova</w:t>
            </w:r>
            <w:proofErr w:type="gramEnd"/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 definizione per le PMI (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"Piccole e medie imprese a capitalizzazione</w:t>
            </w:r>
            <w:r w:rsidR="00C179A7">
              <w:rPr>
                <w:rFonts w:ascii="Calibri Light" w:hAnsi="Calibri Light" w:cs="Calibri Light"/>
                <w:sz w:val="20"/>
                <w:szCs w:val="20"/>
                <w:lang w:val="it-IT"/>
              </w:rPr>
              <w:t>")</w:t>
            </w:r>
          </w:p>
          <w:p w14:paraId="00807783" w14:textId="33A64028" w:rsidR="00055B80" w:rsidRPr="00931353" w:rsidRDefault="003A7E0D">
            <w:pPr>
              <w:pStyle w:val="Paragrafoelenco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  <w:r w:rsidR="00C179A7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p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eriodi di transizione IPO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", attraverso l'alleggerimento dei requisiti di quotazione per "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beneficiare di un periodo di transizione fino ad un massimo di 5 anni per l'applicazione di alcuni elementi dell</w:t>
            </w:r>
            <w:r w:rsidR="00C179A7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e relative normative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00807784" w14:textId="12E25515" w:rsidR="00055B80" w:rsidRPr="00931353" w:rsidRDefault="00C179A7">
            <w:pPr>
              <w:pStyle w:val="Paragrafoelenco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it-IT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c</w:t>
            </w:r>
            <w:r w:rsidR="003A7E0D"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reazione</w:t>
            </w:r>
            <w:proofErr w:type="gramEnd"/>
            <w:r w:rsidR="003A7E0D"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 di un fondo IPO pubblico-privato pan-UE sostenuto dall'UE</w:t>
            </w:r>
            <w:r w:rsidR="003A7E0D"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00807785" w14:textId="3261A94E" w:rsidR="00055B80" w:rsidRPr="00931353" w:rsidRDefault="003A7E0D">
            <w:pPr>
              <w:pStyle w:val="Paragrafoelenco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  <w:r w:rsidR="00C179A7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e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senzione della ricerca nelle PMI dalla regola d</w:t>
            </w:r>
            <w:r w:rsidR="00C179A7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i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 disaggregazione nella </w:t>
            </w:r>
            <w:proofErr w:type="spellStart"/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MiFID</w:t>
            </w:r>
            <w:proofErr w:type="spellEnd"/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 II</w:t>
            </w:r>
            <w:r w:rsidR="00C179A7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00807786" w14:textId="1B73FE28" w:rsidR="00055B80" w:rsidRPr="00931353" w:rsidRDefault="00C179A7">
            <w:pPr>
              <w:pStyle w:val="Paragrafoelenco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"alleggerimento in materie di prospetti</w:t>
            </w:r>
            <w:r w:rsidR="003A7E0D"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" </w:t>
            </w:r>
            <w:r w:rsidR="003A7E0D"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in termini di scade</w:t>
            </w:r>
            <w:r>
              <w:rPr>
                <w:rFonts w:ascii="Calibri Light" w:hAnsi="Calibri Light" w:cs="Calibri Light"/>
                <w:sz w:val="20"/>
                <w:szCs w:val="20"/>
                <w:lang w:val="it-IT"/>
              </w:rPr>
              <w:t>nze, durata, soglie e passaporti</w:t>
            </w:r>
          </w:p>
          <w:p w14:paraId="00807787" w14:textId="49015306" w:rsidR="00055B80" w:rsidRPr="00931353" w:rsidRDefault="00C179A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"l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 mancanza di informazioni pubbliche facilmente accessibili, affidabili, comprensibili e comparabili è uno dei motivi per cui le a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ziende (...) fanno fatica ad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attirare gli investitori"</w:t>
            </w:r>
          </w:p>
          <w:p w14:paraId="00807788" w14:textId="01FFB894" w:rsidR="00055B80" w:rsidRPr="00931353" w:rsidRDefault="0045635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lastRenderedPageBreak/>
              <w:t>"p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roporre una legislazione che consenta all'ESMA di creare una piattaforma di accesso digitale a livello UE (punto di accesso unico UE, o "ESAP") alle informazioni finanziarie e non finanziarie pubbliche delle imprese, nonché ad altri prodotti finanziari o ad altre informazioni pubbl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iche rilevanti per le attività"</w:t>
            </w:r>
          </w:p>
        </w:tc>
      </w:tr>
      <w:tr w:rsidR="00055B80" w:rsidRPr="00931353" w14:paraId="00807798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8A" w14:textId="377A1250" w:rsidR="00055B80" w:rsidRPr="00931353" w:rsidRDefault="003A7E0D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lastRenderedPageBreak/>
              <w:t>Miglior</w:t>
            </w:r>
            <w:r w:rsidR="0045635E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ar</w:t>
            </w: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e </w:t>
            </w:r>
            <w:r w:rsidR="0045635E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l’</w:t>
            </w: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accesso a informazioni comparabili, eque, chiare e non fuorvianti</w:t>
            </w:r>
          </w:p>
          <w:p w14:paraId="0080778B" w14:textId="3C976C8F" w:rsidR="00055B80" w:rsidRPr="00931353" w:rsidRDefault="003A7E0D">
            <w:pPr>
              <w:spacing w:after="0" w:line="240" w:lineRule="auto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9) "(...) 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rivedere urgentemente il regolamento PRIIP"</w:t>
            </w:r>
          </w:p>
          <w:p w14:paraId="0080778C" w14:textId="68C46373" w:rsidR="00055B80" w:rsidRPr="00931353" w:rsidRDefault="003A7E0D">
            <w:pPr>
              <w:spacing w:after="0" w:line="240" w:lineRule="auto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10) "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Semplificare 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e standardizzare </w:t>
            </w:r>
            <w:r w:rsidR="00B9070A">
              <w:rPr>
                <w:rFonts w:ascii="Calibri Light" w:hAnsi="Calibri Light" w:cs="Calibri Light"/>
                <w:sz w:val="20"/>
                <w:szCs w:val="20"/>
                <w:lang w:val="it-IT"/>
              </w:rPr>
              <w:t>i documenti informativi chiave"</w:t>
            </w:r>
          </w:p>
          <w:p w14:paraId="0080778D" w14:textId="4B2E26AB" w:rsidR="00055B80" w:rsidRPr="00931353" w:rsidRDefault="00B9070A">
            <w:pPr>
              <w:spacing w:after="0" w:line="240" w:lineRule="auto"/>
              <w:rPr>
                <w:lang w:val="it-IT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it-IT"/>
              </w:rPr>
              <w:t>11) "C</w:t>
            </w:r>
            <w:r w:rsidR="003A7E0D"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reare </w:t>
            </w:r>
            <w:r w:rsidR="003A7E0D"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strumenti di confronto </w:t>
            </w:r>
            <w:r w:rsidR="003A7E0D"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pubblici o almeno indipendenti </w:t>
            </w:r>
            <w:r w:rsidR="003A7E0D"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 livello europeo basati sul web</w:t>
            </w:r>
            <w:r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0080778E" w14:textId="71912FC1" w:rsidR="00055B80" w:rsidRPr="00931353" w:rsidRDefault="003A7E0D">
            <w:pPr>
              <w:spacing w:after="0" w:line="240" w:lineRule="auto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12) "</w:t>
            </w:r>
            <w:r w:rsidR="00B9070A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D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istinguere tra investitori inesperti ed esperti</w:t>
            </w:r>
            <w:r w:rsidR="00B9070A">
              <w:rPr>
                <w:rFonts w:ascii="Calibri Light" w:hAnsi="Calibri Light" w:cs="Calibri Light"/>
                <w:sz w:val="20"/>
                <w:szCs w:val="20"/>
                <w:lang w:val="it-IT"/>
              </w:rPr>
              <w:t>..."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8F" w14:textId="0A5C846C" w:rsidR="00055B80" w:rsidRPr="00931353" w:rsidRDefault="00B9070A">
            <w:pPr>
              <w:spacing w:after="0" w:line="240" w:lineRule="auto"/>
              <w:rPr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Problematiche </w:t>
            </w:r>
            <w:r w:rsidR="003A7E0D"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e cambi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amenti radicali</w:t>
            </w:r>
            <w:r w:rsidR="003A7E0D"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:</w:t>
            </w:r>
          </w:p>
          <w:p w14:paraId="00807790" w14:textId="7BBE17FC" w:rsidR="00055B80" w:rsidRPr="00931353" w:rsidRDefault="00252FD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"occorre riesaminare l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e regole di divulgazione al fine di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migliorarne la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coeren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za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la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comprensibili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tà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per gli investitori al dettaglio 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l’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accessibili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tà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digitale"</w:t>
            </w:r>
          </w:p>
          <w:p w14:paraId="00807791" w14:textId="7A2B3525" w:rsidR="00055B80" w:rsidRPr="00931353" w:rsidRDefault="00252FD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"l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 Commissione è invitata a riesaminare quanto prima, e in tempo utile per evitare un conflitto con la scadenza dell'esenzione </w:t>
            </w:r>
            <w:r w:rsidR="0028536E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prevista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per </w:t>
            </w:r>
            <w:r w:rsidR="0028536E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gli OICVM, il regolamento PRIIP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per affrontare le questioni sollevate dalla maggior parte de</w:t>
            </w:r>
            <w:r w:rsidR="0028536E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 soggetti interessati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in merito all'intelligibilità e alla comparabilità delle informazioni</w:t>
            </w:r>
            <w:r w:rsidR="0028536E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,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e alla coerenza con le norme in materia di informazione della </w:t>
            </w:r>
            <w:proofErr w:type="spellStart"/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M</w:t>
            </w:r>
            <w:r w:rsidR="0028536E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FID</w:t>
            </w:r>
            <w:proofErr w:type="spellEnd"/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, in particolare per quanto riguarda risultati e costi"</w:t>
            </w:r>
          </w:p>
          <w:p w14:paraId="00807792" w14:textId="2288B384" w:rsidR="00055B80" w:rsidRPr="00931353" w:rsidRDefault="003A7E0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it-IT"/>
              </w:rPr>
            </w:pPr>
            <w:r w:rsidRPr="006D43A4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  <w:r w:rsidR="0028536E" w:rsidRPr="006D43A4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l</w:t>
            </w:r>
            <w:r w:rsidRPr="006D43A4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 Commissione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è inoltre invitata a svolgere un'analisi e una valutazione approfondit</w:t>
            </w:r>
            <w:r w:rsidR="00D957D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e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di tutte le norme pertinenti in vigore e della loro attuazione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00807793" w14:textId="0E962315" w:rsidR="00055B80" w:rsidRPr="00931353" w:rsidRDefault="00D957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"l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 Commissione dovrebbe garantire che la divulgazione ai sensi del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documento contenente informazioni chiave (KID) dei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PRIIP sia adeguata e significativa per consentire un ragionevole confronto delle caratteristiche principali dei prodotti, compres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i i risultati passati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 lungo termine dei prodotti d'inv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estimento e del loro benchmark"</w:t>
            </w:r>
          </w:p>
          <w:p w14:paraId="00807794" w14:textId="12DFD98E" w:rsidR="00055B80" w:rsidRPr="00931353" w:rsidRDefault="003A7E0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"regole semplificate in materia di divulgazione potrebbero facilitare la creazione di </w:t>
            </w:r>
            <w:r w:rsidR="00D957D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più efficaci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banche dati d</w:t>
            </w:r>
            <w:r w:rsidR="00D957D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e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 prodotti d'investimento e d</w:t>
            </w:r>
            <w:r w:rsidR="00D957D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egli strumenti di confronto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</w:p>
          <w:p w14:paraId="00807795" w14:textId="572351AD" w:rsidR="00055B80" w:rsidRPr="00931353" w:rsidRDefault="00D957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"l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 Commissione dovrebbe esaminare le modalità per promuovere lo sviluppo di strumenti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web indipendenti per </w:t>
            </w:r>
            <w:r w:rsidR="00953981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il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confronto dei prodotti d’investimento"</w:t>
            </w:r>
          </w:p>
          <w:p w14:paraId="00807796" w14:textId="3B6B00B4" w:rsidR="00055B80" w:rsidRPr="00931353" w:rsidRDefault="003A7E0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  <w:r w:rsidR="00D957D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u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na nuova categoria di investitori qualificati o la possibilità di </w:t>
            </w:r>
            <w:r w:rsidR="00D957D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aderire in veste di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investitori professionali offrirebbe ai clienti più esperti una divulgazione delle informazioni </w:t>
            </w:r>
            <w:r w:rsidR="00D957D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migliore e personalizzata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</w:p>
          <w:p w14:paraId="00807797" w14:textId="1DBD0EF5" w:rsidR="00055B80" w:rsidRPr="00931353" w:rsidRDefault="003A7E0D" w:rsidP="00516FE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"creare una nuova categoria di investitori non professionali qualifica</w:t>
            </w:r>
            <w:r w:rsidR="00516FEF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ti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[...] o modificare la definizione di investitori profess</w:t>
            </w:r>
            <w:r w:rsidR="00516FEF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ionali ai sensi della </w:t>
            </w:r>
            <w:proofErr w:type="spellStart"/>
            <w:r w:rsidR="00516FEF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MiFID</w:t>
            </w:r>
            <w:proofErr w:type="spellEnd"/>
            <w:r w:rsidR="00516FEF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II"</w:t>
            </w:r>
          </w:p>
        </w:tc>
      </w:tr>
      <w:tr w:rsidR="00055B80" w:rsidRPr="00931353" w14:paraId="0080779E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99" w14:textId="2B837B2F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Migliorare la creazione di valore </w:t>
            </w:r>
            <w:r w:rsidR="00516FEF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sostenibile </w:t>
            </w: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a lungo termine </w:t>
            </w:r>
          </w:p>
          <w:p w14:paraId="0080779A" w14:textId="367ABF8F" w:rsidR="00055B80" w:rsidRPr="00931353" w:rsidRDefault="00516FEF" w:rsidP="00516FEF">
            <w:pPr>
              <w:spacing w:after="0" w:line="240" w:lineRule="auto"/>
              <w:rPr>
                <w:lang w:val="it-IT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it-IT"/>
              </w:rPr>
              <w:t>13) "Seguito dato a</w:t>
            </w:r>
            <w:r w:rsidR="003A7E0D"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lle </w:t>
            </w:r>
            <w:r w:rsidR="003A7E0D"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migliori pratiche di partecipazione azionaria dei dipendenti </w:t>
            </w:r>
            <w:r w:rsidR="003A7E0D"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con un '</w:t>
            </w:r>
            <w:r>
              <w:rPr>
                <w:rFonts w:ascii="Calibri Light" w:hAnsi="Calibri Light" w:cs="Calibri Light"/>
                <w:sz w:val="20"/>
                <w:szCs w:val="20"/>
                <w:lang w:val="it-IT"/>
              </w:rPr>
              <w:t>intervento</w:t>
            </w:r>
            <w:r w:rsidR="003A7E0D"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' CMU"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9B" w14:textId="5A1B7492" w:rsidR="00055B80" w:rsidRPr="00931353" w:rsidRDefault="003A7E0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Problem</w:t>
            </w:r>
            <w:r w:rsidR="00516FEF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atiche 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e cambi</w:t>
            </w:r>
            <w:r w:rsidR="00516FEF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amenti radicali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:</w:t>
            </w:r>
          </w:p>
          <w:p w14:paraId="0080779C" w14:textId="03F49ACF" w:rsidR="00055B80" w:rsidRPr="00931353" w:rsidRDefault="003A7E0D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"l'uso dei piani di partecipazione azionaria dei dipendenti </w:t>
            </w:r>
            <w:r w:rsidR="005376E8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(ESO)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dovrebbe essere promosso nell'UE come un modo per incoraggiare la partecipazione dei cittadini ai mercati dei capitali e sviluppare una cultura dell'</w:t>
            </w:r>
            <w:r w:rsidR="00516FEF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investimento azionario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</w:p>
          <w:p w14:paraId="0080779D" w14:textId="7EA9DA77" w:rsidR="00055B80" w:rsidRPr="00931353" w:rsidRDefault="00516FE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"l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 Commissione è invitata </w:t>
            </w:r>
            <w:r w:rsidR="003A7E0D"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a promuovere insieme agli Stati membri l'uso dell'ESO in tutta l'UE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. A tal fine, la Commissione dovrebbe esaminare quali fondi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lastRenderedPageBreak/>
              <w:t xml:space="preserve">UE potrebbero essere utilizzati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per sostenere questo obiettivo"</w:t>
            </w:r>
          </w:p>
        </w:tc>
      </w:tr>
      <w:tr w:rsidR="00055B80" w:rsidRPr="00931353" w14:paraId="008077AB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9F" w14:textId="3DE2C205" w:rsidR="00055B80" w:rsidRPr="00931353" w:rsidRDefault="003A7E0D">
            <w:pPr>
              <w:spacing w:after="0" w:line="240" w:lineRule="auto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lastRenderedPageBreak/>
              <w:t xml:space="preserve">Promuovere la formazione degli investitori </w:t>
            </w:r>
            <w:r w:rsidR="00645EE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in quanto </w:t>
            </w: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chiave </w:t>
            </w:r>
            <w:r w:rsidR="00645EE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per il </w:t>
            </w: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successo di </w:t>
            </w:r>
            <w:bookmarkStart w:id="5" w:name="_GoBack"/>
            <w:bookmarkEnd w:id="5"/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una CMU</w:t>
            </w:r>
            <w:r w:rsidR="00645EE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 autentica</w:t>
            </w:r>
          </w:p>
          <w:p w14:paraId="008077A0" w14:textId="79BCC893" w:rsidR="00055B80" w:rsidRPr="00931353" w:rsidRDefault="003A7E0D" w:rsidP="00645EEC">
            <w:pPr>
              <w:spacing w:after="0" w:line="240" w:lineRule="auto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>14) "</w:t>
            </w:r>
            <w:r w:rsidR="00645EEC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Si r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ichied</w:t>
            </w:r>
            <w:r w:rsidR="00645EEC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ai distributori 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[...] di migliorare l'educazione </w:t>
            </w:r>
            <w:r w:rsidR="00645EEC">
              <w:rPr>
                <w:rFonts w:ascii="Calibri Light" w:hAnsi="Calibri Light" w:cs="Calibri Light"/>
                <w:sz w:val="20"/>
                <w:szCs w:val="20"/>
                <w:lang w:val="it-IT"/>
              </w:rPr>
              <w:t>finanziaria del loro personale"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A1" w14:textId="6C1FA30B" w:rsidR="00055B80" w:rsidRPr="00931353" w:rsidRDefault="003A7E0D">
            <w:pPr>
              <w:spacing w:after="0" w:line="240" w:lineRule="auto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Problem</w:t>
            </w:r>
            <w:r w:rsidR="00645EEC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atiche 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e cambi</w:t>
            </w:r>
            <w:r w:rsidR="00645EEC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amenti radicali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: </w:t>
            </w:r>
          </w:p>
          <w:p w14:paraId="008077A2" w14:textId="58A7F4A0" w:rsidR="00055B80" w:rsidRPr="00931353" w:rsidRDefault="00645EE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"u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n certificato per consulenti finanziari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–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un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 loro migliore formazione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–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garantirebbe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l’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adeguato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livello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di qualifiche, conoscenze e competenze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de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 consulenti professionali"</w:t>
            </w:r>
          </w:p>
          <w:p w14:paraId="008077A3" w14:textId="2CE2347A" w:rsidR="00055B80" w:rsidRPr="00931353" w:rsidRDefault="003A7E0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"</w:t>
            </w:r>
            <w:r w:rsidR="00645EEC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l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 Commissione è invitata a presentare una proposta per la creazione di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un marchio di qualità paneuropeo per i consulenti finanziari europei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</w:p>
          <w:p w14:paraId="008077A4" w14:textId="29F4B11F" w:rsidR="00055B80" w:rsidRPr="00931353" w:rsidRDefault="00645EE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"l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'aumento dell'alfabetizzazione finanziaria, anche attraverso meccanismi, come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i programmi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di partecipazione azionaria dei dipendenti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(ESO)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, e stimoli in fasi importanti della vita </w:t>
            </w:r>
            <w:r w:rsidR="003A7E0D"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(...)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aiuta a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emancipare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 cittadini</w:t>
            </w:r>
            <w:r>
              <w:rPr>
                <w:rFonts w:ascii="Calibri Light" w:hAnsi="Calibri Light" w:cs="Calibri Light"/>
                <w:sz w:val="20"/>
                <w:szCs w:val="20"/>
                <w:lang w:val="it-IT"/>
              </w:rPr>
              <w:t>..."</w:t>
            </w:r>
          </w:p>
          <w:p w14:paraId="008077A5" w14:textId="2B3BBF84" w:rsidR="00055B80" w:rsidRPr="00931353" w:rsidRDefault="00645EE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"l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 Commissione è invitata a promuovere insieme agli Stati membri l'uso dell'ESO in tutta l'UE"</w:t>
            </w:r>
          </w:p>
          <w:p w14:paraId="008077A6" w14:textId="473043CF" w:rsidR="00055B80" w:rsidRPr="00931353" w:rsidRDefault="00645EE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"g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li Stati membri dovrebbero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inoltre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sos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tenere misure che sostengano la consulenza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finanziari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ai consumatori in relazione agli investiment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 e al risparmio pensionistico"</w:t>
            </w:r>
          </w:p>
          <w:p w14:paraId="008077A7" w14:textId="5F6F1919" w:rsidR="00055B80" w:rsidRPr="00931353" w:rsidRDefault="00645EE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"g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li Stati membri dovrebbero istituire organismi nazionali di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consulenza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finanziari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 ai consumatori"</w:t>
            </w:r>
          </w:p>
          <w:p w14:paraId="008077A8" w14:textId="78CF43D5" w:rsidR="00055B80" w:rsidRPr="00931353" w:rsidRDefault="00645EE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"u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na maggiore alfabetizzazione finanziaria si tradurrebbe in una maggiore partecipazione degli investitori al dettaglio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,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e questo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aiuterebbe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la crescita dei mercati dei capitali dell'UE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</w:p>
          <w:p w14:paraId="008077A9" w14:textId="11318235" w:rsidR="00055B80" w:rsidRPr="00931353" w:rsidRDefault="00645EE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"l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 Commissione dovrebbe proporre di </w:t>
            </w:r>
            <w:r w:rsidR="003A7E0D"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ri</w:t>
            </w:r>
            <w:r w:rsidR="007C08F5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esaminare </w:t>
            </w:r>
            <w:r w:rsidR="003A7E0D"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la raccomandazione del Consiglio "Competenze chiave </w:t>
            </w:r>
            <w:r w:rsidR="007C08F5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per </w:t>
            </w:r>
            <w:r w:rsidR="003A7E0D"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l'apprendimento permanente"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per introdurre la competenza finanziaria come</w:t>
            </w:r>
            <w:r w:rsidR="007C08F5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competenza chiave a sé stante"</w:t>
            </w:r>
          </w:p>
          <w:p w14:paraId="008077AA" w14:textId="01A51229" w:rsidR="00055B80" w:rsidRPr="00931353" w:rsidRDefault="007C08F5" w:rsidP="007C08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it-IT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"l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a Commissione dovrebbe istituire un </w:t>
            </w:r>
            <w:r w:rsidR="003A7E0D"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quadro di competenza dell'UE </w:t>
            </w:r>
            <w:r w:rsidR="003A7E0D"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sulla competenza finanziaria e </w:t>
            </w:r>
            <w:r w:rsidR="003A7E0D"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facilitarne l'adozione nei gruppi di lavoro 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de</w:t>
            </w:r>
            <w:r w:rsidR="003A7E0D"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gli Stati membri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</w:p>
        </w:tc>
      </w:tr>
      <w:tr w:rsidR="00055B80" w:rsidRPr="00931353" w14:paraId="008077B6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AC" w14:textId="5D3C7D2E" w:rsidR="00055B80" w:rsidRPr="00931353" w:rsidRDefault="00026C6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Promuovere </w:t>
            </w:r>
            <w:r w:rsidR="003A7E0D"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il sostegno dell'UE al coinvolgimento degli utenti di servizi finanziari nel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 xml:space="preserve"> processo decisionale </w:t>
            </w:r>
            <w:r w:rsidR="003A7E0D"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dell'UE</w:t>
            </w:r>
          </w:p>
          <w:p w14:paraId="008077AD" w14:textId="75884836" w:rsidR="00055B80" w:rsidRPr="00931353" w:rsidRDefault="00026C61">
            <w:pPr>
              <w:spacing w:after="120" w:line="240" w:lineRule="auto"/>
              <w:jc w:val="both"/>
              <w:rPr>
                <w:lang w:val="it-IT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it-IT"/>
              </w:rPr>
              <w:t>15) "G</w:t>
            </w:r>
            <w:r w:rsidR="003A7E0D"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arantire che gli esperti indipendenti delle organizzazioni di utenti siano </w:t>
            </w:r>
            <w:r w:rsidR="003A7E0D"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adeguatamente rappresentati e compensati..</w:t>
            </w:r>
            <w:r>
              <w:rPr>
                <w:rFonts w:ascii="Calibri Light" w:hAnsi="Calibri Light" w:cs="Calibri Light"/>
                <w:sz w:val="20"/>
                <w:szCs w:val="20"/>
                <w:lang w:val="it-IT"/>
              </w:rPr>
              <w:t>."</w:t>
            </w:r>
          </w:p>
          <w:p w14:paraId="008077AE" w14:textId="2CC1F725" w:rsidR="00055B80" w:rsidRPr="00931353" w:rsidRDefault="003A7E0D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Aumentare l'efficienza delle proce</w:t>
            </w:r>
            <w:r w:rsidR="00026C61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it-IT"/>
              </w:rPr>
              <w:t>dure delle istituzioni dell'UE"</w:t>
            </w:r>
          </w:p>
          <w:p w14:paraId="008077AF" w14:textId="7CA7B899" w:rsidR="00055B80" w:rsidRPr="00931353" w:rsidRDefault="00026C61" w:rsidP="00026C61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it-IT"/>
              </w:rPr>
              <w:t>16) "M</w:t>
            </w:r>
            <w:r w:rsidR="003A7E0D"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igliorare la supervisione dei requisiti di </w:t>
            </w:r>
            <w:r>
              <w:rPr>
                <w:rFonts w:ascii="Calibri Light" w:hAnsi="Calibri Light" w:cs="Calibri Light"/>
                <w:sz w:val="20"/>
                <w:szCs w:val="20"/>
                <w:lang w:val="it-IT"/>
              </w:rPr>
              <w:t>governance e vigilanza dei prodotti..."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08077B0" w14:textId="007D0604" w:rsidR="00055B80" w:rsidRPr="00931353" w:rsidRDefault="003A7E0D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Problem</w:t>
            </w:r>
            <w:r w:rsidR="00026C61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 xml:space="preserve">atiche e 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cambi</w:t>
            </w:r>
            <w:r w:rsidR="00026C61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amenti radicali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:</w:t>
            </w:r>
          </w:p>
          <w:p w14:paraId="008077B1" w14:textId="2E254735" w:rsidR="00055B80" w:rsidRPr="00931353" w:rsidRDefault="003A7E0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  <w:r w:rsidR="00026C61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il Forum ad alto livello promuove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il rafforzamento dei poteri </w:t>
            </w:r>
            <w:r w:rsidR="00026C61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legislativi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dell'ESMA e dell'</w:t>
            </w:r>
            <w:r w:rsidR="00026C61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E</w:t>
            </w:r>
            <w:r w:rsidR="00026C61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P 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(...)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anche attraverso la riforma della loro governance e il rafforzamento dei loro poteri e degli strumenti...</w:t>
            </w:r>
            <w:r w:rsidR="00363C3A">
              <w:rPr>
                <w:rFonts w:ascii="Calibri Light" w:hAnsi="Calibri Light" w:cs="Calibri Light"/>
                <w:sz w:val="20"/>
                <w:szCs w:val="20"/>
                <w:lang w:val="it-IT"/>
              </w:rPr>
              <w:t>"</w:t>
            </w:r>
          </w:p>
          <w:p w14:paraId="008077B2" w14:textId="75980E3E" w:rsidR="00055B80" w:rsidRPr="00931353" w:rsidRDefault="003A7E0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99" w:hanging="239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"rafforzare o, se del caso, introdurre poteri per vietare o limitare la commercializzazione, la distribuzione o la vendita di determinati strumenti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,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attività 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o prodotti finanziari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</w:p>
          <w:p w14:paraId="008077B3" w14:textId="7E45D468" w:rsidR="00055B80" w:rsidRPr="00931353" w:rsidRDefault="003A7E0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99" w:hanging="239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"garantire una rappresentanza equilibrata nei gruppi di 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soggetti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interess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ati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tra i rappresentanti del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settore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e gli utenti/consumatori al dettaglio e far rispettare la "regola dell'adeguato 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indennizzo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per i rappresentanti non industriali senza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 scopo di lucro" (articolo 37)"</w:t>
            </w:r>
          </w:p>
          <w:p w14:paraId="008077B4" w14:textId="6165F87A" w:rsidR="00055B80" w:rsidRPr="00931353" w:rsidRDefault="003A7E0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99" w:hanging="239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"introdurre nuove o ulteriori disposizioni nella 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(...) 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e nella pertinente normativa di settore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dell'Unione </w:t>
            </w:r>
            <w:r w:rsidRPr="00931353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(...)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per affidare all'ESMA/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E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A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P il compito di 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migliorare </w:t>
            </w:r>
            <w:r w:rsidR="000F6A46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l’a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rmonizza</w:t>
            </w:r>
            <w:r w:rsidR="000F6A46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zione degli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approcci nazionali in materia di prassi amministrative</w:t>
            </w:r>
            <w:r w:rsidRPr="00931353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"</w:t>
            </w:r>
          </w:p>
          <w:p w14:paraId="008077B5" w14:textId="5FCF2EF5" w:rsidR="00055B80" w:rsidRPr="00931353" w:rsidRDefault="003A7E0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599" w:hanging="239"/>
              <w:jc w:val="both"/>
              <w:rPr>
                <w:lang w:val="it-IT"/>
              </w:rPr>
            </w:pP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lastRenderedPageBreak/>
              <w:t xml:space="preserve">"rafforzare i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 xml:space="preserve">poteri </w:t>
            </w:r>
            <w:r w:rsidRPr="00931353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 xml:space="preserve">sanzionatori dell'ESMA </w:t>
            </w:r>
            <w:r w:rsidRPr="00931353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it-IT"/>
              </w:rPr>
              <w:t>per garantirne l'efficacia</w:t>
            </w:r>
            <w:r w:rsidR="000F6A46">
              <w:rPr>
                <w:rFonts w:ascii="Calibri Light" w:hAnsi="Calibri Light" w:cs="Calibri Light"/>
                <w:i/>
                <w:iCs/>
                <w:sz w:val="20"/>
                <w:szCs w:val="20"/>
                <w:lang w:val="it-IT"/>
              </w:rPr>
              <w:t>"</w:t>
            </w:r>
          </w:p>
        </w:tc>
      </w:tr>
    </w:tbl>
    <w:p w14:paraId="008077B7" w14:textId="77777777" w:rsidR="00055B80" w:rsidRPr="00931353" w:rsidRDefault="00055B80">
      <w:pPr>
        <w:rPr>
          <w:rFonts w:ascii="Calibri Light" w:hAnsi="Calibri Light" w:cs="Calibri Light"/>
          <w:b/>
          <w:bCs/>
          <w:sz w:val="20"/>
          <w:szCs w:val="20"/>
          <w:lang w:val="it-IT"/>
        </w:rPr>
      </w:pPr>
    </w:p>
    <w:p w14:paraId="008077B8" w14:textId="77777777" w:rsidR="00055B80" w:rsidRPr="00931353" w:rsidRDefault="00055B80">
      <w:pPr>
        <w:pStyle w:val="Corpotesto"/>
        <w:spacing w:before="120" w:after="0" w:line="240" w:lineRule="auto"/>
        <w:rPr>
          <w:lang w:val="it-IT"/>
        </w:rPr>
      </w:pPr>
    </w:p>
    <w:sectPr w:rsidR="00055B80" w:rsidRPr="00931353">
      <w:type w:val="continuous"/>
      <w:pgSz w:w="11906" w:h="16838"/>
      <w:pgMar w:top="1440" w:right="720" w:bottom="144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F8E8E" w14:textId="77777777" w:rsidR="005316B3" w:rsidRDefault="005316B3">
      <w:pPr>
        <w:spacing w:after="0" w:line="240" w:lineRule="auto"/>
      </w:pPr>
      <w:r>
        <w:separator/>
      </w:r>
    </w:p>
  </w:endnote>
  <w:endnote w:type="continuationSeparator" w:id="0">
    <w:p w14:paraId="31B7A8AB" w14:textId="77777777" w:rsidR="005316B3" w:rsidRDefault="0053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0774C" w14:textId="77777777" w:rsidR="00340A0C" w:rsidRPr="003A7E0D" w:rsidRDefault="003A7E0D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fr-BE"/>
      </w:rPr>
    </w:pPr>
    <w:r w:rsidRPr="003A7E0D">
      <w:rPr>
        <w:b/>
        <w:color w:val="006FB4"/>
        <w:sz w:val="16"/>
        <w:szCs w:val="16"/>
        <w:lang w:val="fr-BE"/>
      </w:rPr>
      <w:t>La Federazione europea degli investitori e degli utenti dei servizi finanziari</w:t>
    </w:r>
  </w:p>
  <w:p w14:paraId="0080774D" w14:textId="77777777" w:rsidR="00340A0C" w:rsidRDefault="003A7E0D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 xml:space="preserve">44, Rue </w:t>
    </w:r>
    <w:proofErr w:type="spellStart"/>
    <w:r>
      <w:rPr>
        <w:color w:val="006FB4"/>
        <w:sz w:val="16"/>
        <w:szCs w:val="16"/>
        <w:lang w:val="de-DE"/>
      </w:rPr>
      <w:t>d'Arenberg</w:t>
    </w:r>
    <w:proofErr w:type="spellEnd"/>
    <w:r>
      <w:rPr>
        <w:color w:val="006FB4"/>
        <w:sz w:val="16"/>
        <w:szCs w:val="16"/>
        <w:lang w:val="de-DE"/>
      </w:rPr>
      <w:t xml:space="preserve">, 1000 Bruxelles - </w:t>
    </w:r>
    <w:proofErr w:type="spellStart"/>
    <w:r>
      <w:rPr>
        <w:color w:val="006FB4"/>
        <w:sz w:val="16"/>
        <w:szCs w:val="16"/>
        <w:lang w:val="de-DE"/>
      </w:rPr>
      <w:t>Belgio</w:t>
    </w:r>
    <w:proofErr w:type="spellEnd"/>
  </w:p>
  <w:p w14:paraId="0080774E" w14:textId="77777777" w:rsidR="00340A0C" w:rsidRDefault="003A7E0D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de-DE"/>
      </w:rPr>
      <w:t xml:space="preserve">Tel.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0080774F" w14:textId="77777777" w:rsidR="00340A0C" w:rsidRDefault="003A7E0D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pt-PT"/>
      </w:rPr>
      <w:t xml:space="preserve">E-mail: info@betterfinance.eu - </w:t>
    </w:r>
    <w:bookmarkStart w:id="4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color w:val="006FB4"/>
        <w:sz w:val="16"/>
        <w:szCs w:val="16"/>
        <w:u w:val="single"/>
        <w:lang w:val="it-IT"/>
      </w:rPr>
      <w:fldChar w:fldCharType="end"/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C1A7C" w14:textId="77777777" w:rsidR="005316B3" w:rsidRDefault="005316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134DD3" w14:textId="77777777" w:rsidR="005316B3" w:rsidRDefault="0053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07747" w14:textId="77777777" w:rsidR="00340A0C" w:rsidRDefault="003A7E0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080773F" wp14:editId="00807740">
          <wp:simplePos x="0" y="0"/>
          <wp:positionH relativeFrom="margin">
            <wp:posOffset>2564133</wp:posOffset>
          </wp:positionH>
          <wp:positionV relativeFrom="paragraph">
            <wp:posOffset>-265432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0807748" w14:textId="77777777" w:rsidR="00340A0C" w:rsidRDefault="005316B3">
    <w:pPr>
      <w:pStyle w:val="Intestazione"/>
    </w:pPr>
  </w:p>
  <w:p w14:paraId="00807749" w14:textId="77777777" w:rsidR="00340A0C" w:rsidRDefault="005316B3">
    <w:pPr>
      <w:pStyle w:val="Intestazione"/>
      <w:rPr>
        <w:sz w:val="12"/>
        <w:szCs w:val="12"/>
      </w:rPr>
    </w:pPr>
  </w:p>
  <w:p w14:paraId="0080774A" w14:textId="77777777" w:rsidR="00340A0C" w:rsidRDefault="005316B3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1419"/>
    <w:multiLevelType w:val="multilevel"/>
    <w:tmpl w:val="56C2A12E"/>
    <w:lvl w:ilvl="0">
      <w:numFmt w:val="bullet"/>
      <w:lvlText w:val=""/>
      <w:lvlJc w:val="left"/>
      <w:pPr>
        <w:ind w:left="894" w:hanging="360"/>
      </w:pPr>
      <w:rPr>
        <w:rFonts w:ascii="Wingdings" w:eastAsia="Calibri" w:hAnsi="Wingdings" w:cs="Arial"/>
      </w:rPr>
    </w:lvl>
    <w:lvl w:ilvl="1">
      <w:numFmt w:val="bullet"/>
      <w:lvlText w:val="o"/>
      <w:lvlJc w:val="left"/>
      <w:pPr>
        <w:ind w:left="16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54" w:hanging="360"/>
      </w:pPr>
      <w:rPr>
        <w:rFonts w:ascii="Wingdings" w:hAnsi="Wingdings"/>
      </w:rPr>
    </w:lvl>
  </w:abstractNum>
  <w:abstractNum w:abstractNumId="1" w15:restartNumberingAfterBreak="0">
    <w:nsid w:val="48330704"/>
    <w:multiLevelType w:val="multilevel"/>
    <w:tmpl w:val="A0C092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"/>
      <w:lvlJc w:val="left"/>
      <w:pPr>
        <w:ind w:left="1080" w:hanging="360"/>
      </w:pPr>
      <w:rPr>
        <w:rFonts w:ascii="Wingdings" w:eastAsia="Calibri" w:hAnsi="Wingdings" w:cs="Aria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452219F"/>
    <w:multiLevelType w:val="multilevel"/>
    <w:tmpl w:val="108C4530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D114A8"/>
    <w:multiLevelType w:val="multilevel"/>
    <w:tmpl w:val="50C877C4"/>
    <w:lvl w:ilvl="0">
      <w:numFmt w:val="bullet"/>
      <w:lvlText w:val=""/>
      <w:lvlJc w:val="left"/>
      <w:pPr>
        <w:ind w:left="720" w:hanging="360"/>
      </w:pPr>
      <w:rPr>
        <w:rFonts w:ascii="Wingdings" w:eastAsia="Calibri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0CC1214"/>
    <w:multiLevelType w:val="multilevel"/>
    <w:tmpl w:val="7862E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0E30849"/>
    <w:multiLevelType w:val="multilevel"/>
    <w:tmpl w:val="F3AEF5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A8B00D0"/>
    <w:multiLevelType w:val="multilevel"/>
    <w:tmpl w:val="ACD4AB70"/>
    <w:lvl w:ilvl="0">
      <w:numFmt w:val="bullet"/>
      <w:lvlText w:val=""/>
      <w:lvlJc w:val="left"/>
      <w:pPr>
        <w:ind w:left="720" w:hanging="360"/>
      </w:pPr>
      <w:rPr>
        <w:rFonts w:ascii="Wingdings" w:eastAsia="Calibri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E44091"/>
    <w:multiLevelType w:val="multilevel"/>
    <w:tmpl w:val="893A17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"/>
      <w:lvlJc w:val="left"/>
      <w:pPr>
        <w:ind w:left="1440" w:hanging="360"/>
      </w:pPr>
      <w:rPr>
        <w:rFonts w:ascii="Wingdings" w:eastAsia="Calibri" w:hAnsi="Wingdings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80"/>
    <w:rsid w:val="000036DB"/>
    <w:rsid w:val="00026C61"/>
    <w:rsid w:val="000327E5"/>
    <w:rsid w:val="000356BE"/>
    <w:rsid w:val="00055B80"/>
    <w:rsid w:val="000F6A46"/>
    <w:rsid w:val="00104AD5"/>
    <w:rsid w:val="001D3402"/>
    <w:rsid w:val="00252FD2"/>
    <w:rsid w:val="0028536E"/>
    <w:rsid w:val="00342ECC"/>
    <w:rsid w:val="00363C3A"/>
    <w:rsid w:val="003A7E0D"/>
    <w:rsid w:val="00415B0E"/>
    <w:rsid w:val="0045635E"/>
    <w:rsid w:val="0048020E"/>
    <w:rsid w:val="004C06A2"/>
    <w:rsid w:val="00516FEF"/>
    <w:rsid w:val="005316B3"/>
    <w:rsid w:val="005376E8"/>
    <w:rsid w:val="005C7497"/>
    <w:rsid w:val="00645EEC"/>
    <w:rsid w:val="00656B6E"/>
    <w:rsid w:val="00662260"/>
    <w:rsid w:val="006D43A4"/>
    <w:rsid w:val="00727A1C"/>
    <w:rsid w:val="007C08F5"/>
    <w:rsid w:val="007D3EA2"/>
    <w:rsid w:val="008065F0"/>
    <w:rsid w:val="008D6286"/>
    <w:rsid w:val="00931353"/>
    <w:rsid w:val="00953981"/>
    <w:rsid w:val="009C0CAC"/>
    <w:rsid w:val="00A320C8"/>
    <w:rsid w:val="00B005AA"/>
    <w:rsid w:val="00B046EE"/>
    <w:rsid w:val="00B9070A"/>
    <w:rsid w:val="00C179A7"/>
    <w:rsid w:val="00CA7ED5"/>
    <w:rsid w:val="00D957D3"/>
    <w:rsid w:val="00DD6508"/>
    <w:rsid w:val="00DE31B5"/>
    <w:rsid w:val="00E60D6D"/>
    <w:rsid w:val="00ED77C1"/>
    <w:rsid w:val="00EE3BD7"/>
    <w:rsid w:val="00F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7738"/>
  <w15:docId w15:val="{5B7F683E-30C8-4C15-B5C1-EA37164D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Carpredefinitoparagrafo"/>
  </w:style>
  <w:style w:type="paragraph" w:styleId="Pidipagina">
    <w:name w:val="footer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Carpredefinitoparagrafo"/>
  </w:style>
  <w:style w:type="paragraph" w:styleId="Corpotesto">
    <w:name w:val="Body Text"/>
    <w:basedOn w:val="Normale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BodyTextChar">
    <w:name w:val="Body Text Char"/>
    <w:basedOn w:val="Carpredefinitoparagrafo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rFonts w:ascii="Cambria" w:eastAsia="SimSun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Carpredefinitoparagrafo"/>
    <w:rPr>
      <w:rFonts w:ascii="Cambria" w:eastAsia="SimSun" w:hAnsi="Cambria" w:cs="Times New Roman"/>
      <w:spacing w:val="-10"/>
      <w:kern w:val="3"/>
      <w:sz w:val="56"/>
      <w:szCs w:val="56"/>
    </w:rPr>
  </w:style>
  <w:style w:type="paragraph" w:styleId="Testofumetto">
    <w:name w:val="Balloon Text"/>
    <w:basedOn w:val="Normal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Carpredefinitoparagrafo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Heading2Char">
    <w:name w:val="Heading 2 Char"/>
    <w:basedOn w:val="Carpredefinitoparagrafo"/>
    <w:rPr>
      <w:rFonts w:ascii="Cambria" w:eastAsia="SimSun" w:hAnsi="Cambria" w:cs="Times New Roman"/>
      <w:color w:val="365F91"/>
      <w:sz w:val="26"/>
      <w:szCs w:val="26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Heading1Char">
    <w:name w:val="Heading 1 Char"/>
    <w:basedOn w:val="Carpredefinitoparagrafo"/>
    <w:rPr>
      <w:rFonts w:ascii="Cambria" w:eastAsia="SimSun" w:hAnsi="Cambria" w:cs="Times New Roman"/>
      <w:color w:val="365F91"/>
      <w:sz w:val="32"/>
      <w:szCs w:val="32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udmont@betterfinance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etterfinance.eu/publication/better-finance-key-priorities-for-the-next-five-years-&#9474;-2019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4A12C-E394-4FF9-992A-B34051311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CBB4-5917-4860-871F-FBED602D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803A3-E884-4C7E-87C7-7C9F2B10B1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Houdmont</dc:creator>
  <dc:description/>
  <cp:lastModifiedBy>Angelo Veglia</cp:lastModifiedBy>
  <cp:revision>28</cp:revision>
  <cp:lastPrinted>2020-06-09T11:09:00Z</cp:lastPrinted>
  <dcterms:created xsi:type="dcterms:W3CDTF">2020-12-31T16:28:00Z</dcterms:created>
  <dcterms:modified xsi:type="dcterms:W3CDTF">2021-01-03T09:36:00Z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