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CE534" w14:textId="69048359" w:rsidR="0057208C" w:rsidRPr="00256E83" w:rsidRDefault="0057208C">
      <w:pPr>
        <w:rPr>
          <w:lang w:val="it-IT"/>
        </w:rPr>
      </w:pPr>
    </w:p>
    <w:p w14:paraId="231CE535" w14:textId="77777777" w:rsidR="0057208C" w:rsidRPr="00256E83" w:rsidRDefault="0070092B">
      <w:pPr>
        <w:pStyle w:val="Corpotesto"/>
        <w:spacing w:after="120" w:line="312" w:lineRule="auto"/>
        <w:jc w:val="both"/>
        <w:rPr>
          <w:lang w:val="it-IT"/>
        </w:rPr>
      </w:pPr>
      <w:bookmarkStart w:id="0" w:name="_Hlk4143464"/>
      <w:r w:rsidRPr="00256E83">
        <w:rPr>
          <w:rStyle w:val="Enfasigrassetto"/>
          <w:sz w:val="18"/>
          <w:lang w:val="it-IT"/>
        </w:rPr>
        <w:t xml:space="preserve">COMUNICATO STAMPA </w:t>
      </w:r>
    </w:p>
    <w:p w14:paraId="231CE536" w14:textId="103E0D38" w:rsidR="0057208C" w:rsidRPr="00256E83" w:rsidRDefault="0070092B">
      <w:pPr>
        <w:pStyle w:val="Titolo2"/>
        <w:spacing w:after="80"/>
        <w:jc w:val="both"/>
        <w:rPr>
          <w:lang w:val="it-IT"/>
        </w:rPr>
      </w:pPr>
      <w:r w:rsidRPr="00256E83">
        <w:rPr>
          <w:rFonts w:eastAsia="Calibri" w:cs="Arial"/>
          <w:b/>
          <w:spacing w:val="20"/>
          <w:kern w:val="3"/>
          <w:sz w:val="30"/>
          <w:szCs w:val="30"/>
          <w:lang w:val="it-IT"/>
        </w:rPr>
        <w:t xml:space="preserve">L'autorità di vigilanza dell'UE non </w:t>
      </w:r>
      <w:r w:rsidR="00256E83">
        <w:rPr>
          <w:rFonts w:eastAsia="Calibri" w:cs="Arial"/>
          <w:b/>
          <w:spacing w:val="20"/>
          <w:kern w:val="3"/>
          <w:sz w:val="30"/>
          <w:szCs w:val="30"/>
          <w:lang w:val="it-IT"/>
        </w:rPr>
        <w:t xml:space="preserve">riesce a </w:t>
      </w:r>
      <w:r w:rsidRPr="00256E83">
        <w:rPr>
          <w:rFonts w:eastAsia="Calibri" w:cs="Arial"/>
          <w:b/>
          <w:spacing w:val="20"/>
          <w:kern w:val="3"/>
          <w:sz w:val="30"/>
          <w:szCs w:val="30"/>
          <w:lang w:val="it-IT"/>
        </w:rPr>
        <w:t>consigliare un divieto totale delle commissioni per i consule</w:t>
      </w:r>
      <w:r w:rsidR="00256E83">
        <w:rPr>
          <w:rFonts w:eastAsia="Calibri" w:cs="Arial"/>
          <w:b/>
          <w:spacing w:val="20"/>
          <w:kern w:val="3"/>
          <w:sz w:val="30"/>
          <w:szCs w:val="30"/>
          <w:lang w:val="it-IT"/>
        </w:rPr>
        <w:t>nti in materia di investimenti “</w:t>
      </w:r>
      <w:r w:rsidRPr="00256E83">
        <w:rPr>
          <w:rFonts w:eastAsia="Calibri" w:cs="Arial"/>
          <w:b/>
          <w:spacing w:val="20"/>
          <w:kern w:val="3"/>
          <w:sz w:val="30"/>
          <w:szCs w:val="30"/>
          <w:lang w:val="it-IT"/>
        </w:rPr>
        <w:t>al dettaglio</w:t>
      </w:r>
      <w:r w:rsidR="00256E83">
        <w:rPr>
          <w:rFonts w:eastAsia="Calibri" w:cs="Arial"/>
          <w:b/>
          <w:spacing w:val="20"/>
          <w:kern w:val="3"/>
          <w:sz w:val="30"/>
          <w:szCs w:val="30"/>
          <w:lang w:val="it-IT"/>
        </w:rPr>
        <w:t>”</w:t>
      </w:r>
      <w:r w:rsidRPr="00256E83">
        <w:rPr>
          <w:rFonts w:eastAsia="Calibri" w:cs="Arial"/>
          <w:b/>
          <w:spacing w:val="20"/>
          <w:kern w:val="3"/>
          <w:sz w:val="30"/>
          <w:szCs w:val="30"/>
          <w:lang w:val="it-IT"/>
        </w:rPr>
        <w:t xml:space="preserve"> </w:t>
      </w:r>
    </w:p>
    <w:p w14:paraId="231CE537" w14:textId="78912E43" w:rsidR="0057208C" w:rsidRPr="00256E83" w:rsidRDefault="0070092B">
      <w:pPr>
        <w:jc w:val="both"/>
        <w:rPr>
          <w:lang w:val="it-IT"/>
        </w:rPr>
      </w:pPr>
      <w:r w:rsidRPr="00256E83">
        <w:rPr>
          <w:rFonts w:ascii="Calibri Light" w:hAnsi="Calibri Light" w:cs="Calibri Light"/>
          <w:b/>
          <w:lang w:val="it-IT"/>
        </w:rPr>
        <w:t xml:space="preserve">Bruxelles, 4 maggio 2020 </w:t>
      </w:r>
      <w:bookmarkEnd w:id="0"/>
      <w:r w:rsidRPr="00256E83">
        <w:rPr>
          <w:rFonts w:ascii="Calibri Light" w:hAnsi="Calibri Light" w:cs="Calibri Light"/>
          <w:lang w:val="it-IT"/>
        </w:rPr>
        <w:t>- Il 1° aprile 2020</w:t>
      </w:r>
      <w:r w:rsidR="00256E83">
        <w:rPr>
          <w:rFonts w:ascii="Calibri Light" w:hAnsi="Calibri Light" w:cs="Calibri Light"/>
          <w:lang w:val="it-IT"/>
        </w:rPr>
        <w:t>,</w:t>
      </w:r>
      <w:r w:rsidRPr="00256E83">
        <w:rPr>
          <w:rFonts w:ascii="Calibri Light" w:hAnsi="Calibri Light" w:cs="Calibri Light"/>
          <w:lang w:val="it-IT"/>
        </w:rPr>
        <w:t xml:space="preserve"> l'Autorità europea degli strumenti finanziari e dei mercati (ESMA) ha pubblicato </w:t>
      </w:r>
      <w:r w:rsidR="00256E83">
        <w:rPr>
          <w:rFonts w:ascii="Calibri Light" w:hAnsi="Calibri Light" w:cs="Calibri Light"/>
          <w:lang w:val="it-IT"/>
        </w:rPr>
        <w:t xml:space="preserve">un </w:t>
      </w:r>
      <w:hyperlink r:id="rId10" w:history="1">
        <w:r w:rsidRPr="00256E83">
          <w:rPr>
            <w:rStyle w:val="Collegamentoipertestuale"/>
            <w:rFonts w:ascii="Calibri Light" w:hAnsi="Calibri Light" w:cs="Calibri Light"/>
            <w:lang w:val="it-IT"/>
          </w:rPr>
          <w:t>parere</w:t>
        </w:r>
      </w:hyperlink>
      <w:r w:rsidR="00256E83">
        <w:rPr>
          <w:rFonts w:ascii="Calibri Light" w:hAnsi="Calibri Light" w:cs="Calibri Light"/>
          <w:lang w:val="it-IT"/>
        </w:rPr>
        <w:t xml:space="preserve"> s</w:t>
      </w:r>
      <w:r w:rsidRPr="00256E83">
        <w:rPr>
          <w:rFonts w:ascii="Calibri Light" w:hAnsi="Calibri Light" w:cs="Calibri Light"/>
          <w:lang w:val="it-IT"/>
        </w:rPr>
        <w:t>ugli "incentivi"</w:t>
      </w:r>
      <w:r w:rsidRPr="00256E83">
        <w:rPr>
          <w:rStyle w:val="Rimandonotaapidipagina"/>
          <w:rFonts w:ascii="Calibri Light" w:hAnsi="Calibri Light" w:cs="Calibri Light"/>
          <w:lang w:val="it-IT"/>
        </w:rPr>
        <w:footnoteReference w:id="1"/>
      </w:r>
      <w:r w:rsidRPr="00256E83">
        <w:rPr>
          <w:rFonts w:ascii="Calibri Light" w:hAnsi="Calibri Light" w:cs="Calibri Light"/>
          <w:lang w:val="it-IT"/>
        </w:rPr>
        <w:t xml:space="preserve"> (e sulla divulgazione di costi e oneri) nell'ambito della "</w:t>
      </w:r>
      <w:proofErr w:type="spellStart"/>
      <w:r w:rsidRPr="00256E83">
        <w:rPr>
          <w:rFonts w:ascii="Calibri Light" w:hAnsi="Calibri Light" w:cs="Calibri Light"/>
          <w:lang w:val="it-IT"/>
        </w:rPr>
        <w:t>MiFID</w:t>
      </w:r>
      <w:proofErr w:type="spellEnd"/>
      <w:r w:rsidRPr="00256E83">
        <w:rPr>
          <w:rFonts w:ascii="Calibri Light" w:hAnsi="Calibri Light" w:cs="Calibri Light"/>
          <w:lang w:val="it-IT"/>
        </w:rPr>
        <w:t xml:space="preserve"> II", una delle principali direttive dell'UE in materia di tutela degli investitori che quest'anno </w:t>
      </w:r>
      <w:r w:rsidR="00256E83">
        <w:rPr>
          <w:rFonts w:ascii="Calibri Light" w:hAnsi="Calibri Light" w:cs="Calibri Light"/>
          <w:lang w:val="it-IT"/>
        </w:rPr>
        <w:t xml:space="preserve">sarà </w:t>
      </w:r>
      <w:r w:rsidRPr="00256E83">
        <w:rPr>
          <w:rFonts w:ascii="Calibri Light" w:hAnsi="Calibri Light" w:cs="Calibri Light"/>
          <w:lang w:val="it-IT"/>
        </w:rPr>
        <w:t xml:space="preserve">sottoposta a revisione, </w:t>
      </w:r>
      <w:r w:rsidR="00E22931">
        <w:rPr>
          <w:rFonts w:ascii="Calibri Light" w:hAnsi="Calibri Light" w:cs="Calibri Light"/>
          <w:lang w:val="it-IT"/>
        </w:rPr>
        <w:t xml:space="preserve">per </w:t>
      </w:r>
      <w:r w:rsidR="00256E83">
        <w:rPr>
          <w:rFonts w:ascii="Calibri Light" w:hAnsi="Calibri Light" w:cs="Calibri Light"/>
          <w:lang w:val="it-IT"/>
        </w:rPr>
        <w:t>porta</w:t>
      </w:r>
      <w:r w:rsidR="00E22931">
        <w:rPr>
          <w:rFonts w:ascii="Calibri Light" w:hAnsi="Calibri Light" w:cs="Calibri Light"/>
          <w:lang w:val="it-IT"/>
        </w:rPr>
        <w:t xml:space="preserve">re </w:t>
      </w:r>
      <w:r w:rsidR="00256E83">
        <w:rPr>
          <w:rFonts w:ascii="Calibri Light" w:hAnsi="Calibri Light" w:cs="Calibri Light"/>
          <w:lang w:val="it-IT"/>
        </w:rPr>
        <w:t xml:space="preserve">avanti </w:t>
      </w:r>
      <w:r w:rsidRPr="00256E83">
        <w:rPr>
          <w:rFonts w:ascii="Calibri Light" w:hAnsi="Calibri Light" w:cs="Calibri Light"/>
          <w:lang w:val="it-IT"/>
        </w:rPr>
        <w:t xml:space="preserve">la questione </w:t>
      </w:r>
      <w:r w:rsidR="00E22931">
        <w:rPr>
          <w:rFonts w:ascii="Calibri Light" w:hAnsi="Calibri Light" w:cs="Calibri Light"/>
          <w:lang w:val="it-IT"/>
        </w:rPr>
        <w:t>anche in</w:t>
      </w:r>
      <w:r w:rsidRPr="00256E83">
        <w:rPr>
          <w:rFonts w:ascii="Calibri Light" w:hAnsi="Calibri Light" w:cs="Calibri Light"/>
          <w:lang w:val="it-IT"/>
        </w:rPr>
        <w:t xml:space="preserve"> futuro </w:t>
      </w:r>
      <w:r w:rsidR="00356D54">
        <w:rPr>
          <w:rFonts w:ascii="Calibri Light" w:hAnsi="Calibri Light" w:cs="Calibri Light"/>
          <w:lang w:val="it-IT"/>
        </w:rPr>
        <w:t xml:space="preserve">e </w:t>
      </w:r>
      <w:r w:rsidRPr="00256E83">
        <w:rPr>
          <w:rFonts w:ascii="Calibri Light" w:hAnsi="Calibri Light" w:cs="Calibri Light"/>
          <w:lang w:val="it-IT"/>
        </w:rPr>
        <w:t>incoraggia</w:t>
      </w:r>
      <w:r w:rsidR="00356D54">
        <w:rPr>
          <w:rFonts w:ascii="Calibri Light" w:hAnsi="Calibri Light" w:cs="Calibri Light"/>
          <w:lang w:val="it-IT"/>
        </w:rPr>
        <w:t>re</w:t>
      </w:r>
      <w:r w:rsidRPr="00256E83">
        <w:rPr>
          <w:rFonts w:ascii="Calibri Light" w:hAnsi="Calibri Light" w:cs="Calibri Light"/>
          <w:lang w:val="it-IT"/>
        </w:rPr>
        <w:t xml:space="preserve"> la Commissione europea (CE) ad approfondire ulteriormente la sua valutazione degli "incentivi". </w:t>
      </w:r>
    </w:p>
    <w:p w14:paraId="231CE538" w14:textId="688FAF21" w:rsidR="0057208C" w:rsidRPr="00256E83" w:rsidRDefault="0070092B">
      <w:pPr>
        <w:jc w:val="both"/>
        <w:rPr>
          <w:lang w:val="it-IT"/>
        </w:rPr>
      </w:pPr>
      <w:r w:rsidRPr="00256E83">
        <w:rPr>
          <w:rFonts w:ascii="Calibri Light" w:hAnsi="Calibri Light" w:cs="Calibri Light"/>
          <w:lang w:val="it-IT"/>
        </w:rPr>
        <w:t>BETTER FINANCE spera</w:t>
      </w:r>
      <w:r w:rsidR="00E22931">
        <w:rPr>
          <w:rFonts w:ascii="Calibri Light" w:hAnsi="Calibri Light" w:cs="Calibri Light"/>
          <w:lang w:val="it-IT"/>
        </w:rPr>
        <w:t>va</w:t>
      </w:r>
      <w:r w:rsidRPr="00256E83">
        <w:rPr>
          <w:rFonts w:ascii="Calibri Light" w:hAnsi="Calibri Light" w:cs="Calibri Light"/>
          <w:lang w:val="it-IT"/>
        </w:rPr>
        <w:t xml:space="preserve"> che l'ESMA </w:t>
      </w:r>
      <w:r w:rsidR="00E22931">
        <w:rPr>
          <w:rFonts w:ascii="Calibri Light" w:hAnsi="Calibri Light" w:cs="Calibri Light"/>
          <w:lang w:val="it-IT"/>
        </w:rPr>
        <w:t xml:space="preserve">conducesse </w:t>
      </w:r>
      <w:r w:rsidRPr="00256E83">
        <w:rPr>
          <w:rFonts w:ascii="Calibri Light" w:hAnsi="Calibri Light" w:cs="Calibri Light"/>
          <w:lang w:val="it-IT"/>
        </w:rPr>
        <w:t xml:space="preserve">indagini </w:t>
      </w:r>
      <w:r w:rsidR="00E22931">
        <w:rPr>
          <w:rFonts w:ascii="Calibri Light" w:hAnsi="Calibri Light" w:cs="Calibri Light"/>
          <w:lang w:val="it-IT"/>
        </w:rPr>
        <w:t xml:space="preserve">proprie </w:t>
      </w:r>
      <w:r w:rsidRPr="00256E83">
        <w:rPr>
          <w:rFonts w:ascii="Calibri Light" w:hAnsi="Calibri Light" w:cs="Calibri Light"/>
          <w:lang w:val="it-IT"/>
        </w:rPr>
        <w:t>sull'enorme danno causato dagli incentivi, in particolare alla luce delle prove schiaccianti del fatto che i prodotti d'investimento a basso costo</w:t>
      </w:r>
      <w:r w:rsidR="00E22931">
        <w:rPr>
          <w:rFonts w:ascii="Calibri Light" w:hAnsi="Calibri Light" w:cs="Calibri Light"/>
          <w:lang w:val="it-IT"/>
        </w:rPr>
        <w:t>,</w:t>
      </w:r>
      <w:r w:rsidRPr="00256E83">
        <w:rPr>
          <w:rFonts w:ascii="Calibri Light" w:hAnsi="Calibri Light" w:cs="Calibri Light"/>
          <w:lang w:val="it-IT"/>
        </w:rPr>
        <w:t xml:space="preserve"> come ad esempio gli ETF indici</w:t>
      </w:r>
      <w:r w:rsidR="00E22931">
        <w:rPr>
          <w:rFonts w:ascii="Calibri Light" w:hAnsi="Calibri Light" w:cs="Calibri Light"/>
          <w:lang w:val="it-IT"/>
        </w:rPr>
        <w:t>zzati,</w:t>
      </w:r>
      <w:r w:rsidRPr="00256E83">
        <w:rPr>
          <w:rFonts w:ascii="Calibri Light" w:hAnsi="Calibri Light" w:cs="Calibri Light"/>
          <w:lang w:val="it-IT"/>
        </w:rPr>
        <w:t xml:space="preserve"> </w:t>
      </w:r>
      <w:r w:rsidR="00E22931">
        <w:rPr>
          <w:rFonts w:ascii="Calibri Light" w:hAnsi="Calibri Light" w:cs="Calibri Light"/>
          <w:lang w:val="it-IT"/>
        </w:rPr>
        <w:t xml:space="preserve">semplicemente </w:t>
      </w:r>
      <w:r w:rsidRPr="00256E83">
        <w:rPr>
          <w:rFonts w:ascii="Calibri Light" w:hAnsi="Calibri Light" w:cs="Calibri Light"/>
          <w:lang w:val="it-IT"/>
        </w:rPr>
        <w:t xml:space="preserve">non vengono promossi o venduti da "consulenti" </w:t>
      </w:r>
      <w:r w:rsidR="00E22931">
        <w:rPr>
          <w:rFonts w:ascii="Calibri Light" w:hAnsi="Calibri Light" w:cs="Calibri Light"/>
          <w:lang w:val="it-IT"/>
        </w:rPr>
        <w:t>pagati a commissione</w:t>
      </w:r>
      <w:r w:rsidRPr="00256E83">
        <w:rPr>
          <w:rFonts w:ascii="Calibri Light" w:hAnsi="Calibri Light" w:cs="Calibri Light"/>
          <w:lang w:val="it-IT"/>
        </w:rPr>
        <w:t xml:space="preserve">. Le stime indicano che nell'Unione </w:t>
      </w:r>
      <w:r w:rsidR="00E22931">
        <w:rPr>
          <w:rFonts w:ascii="Calibri Light" w:hAnsi="Calibri Light" w:cs="Calibri Light"/>
          <w:lang w:val="it-IT"/>
        </w:rPr>
        <w:t>e</w:t>
      </w:r>
      <w:r w:rsidRPr="00256E83">
        <w:rPr>
          <w:rFonts w:ascii="Calibri Light" w:hAnsi="Calibri Light" w:cs="Calibri Light"/>
          <w:lang w:val="it-IT"/>
        </w:rPr>
        <w:t xml:space="preserve">uropea (UE) i singoli investitori detengono solo una quota di circa il 10% del mercato degli ETF rispetto a quasi il 50% negli </w:t>
      </w:r>
      <w:r w:rsidR="00E22931">
        <w:rPr>
          <w:rFonts w:ascii="Calibri Light" w:hAnsi="Calibri Light" w:cs="Calibri Light"/>
          <w:lang w:val="it-IT"/>
        </w:rPr>
        <w:t>Stati Uniti</w:t>
      </w:r>
      <w:r w:rsidRPr="00256E83">
        <w:rPr>
          <w:rFonts w:ascii="Calibri Light" w:hAnsi="Calibri Light" w:cs="Calibri Light"/>
          <w:lang w:val="it-IT"/>
        </w:rPr>
        <w:t xml:space="preserve">. BETTER FINANCE ha ripetutamente richiamato l'attenzione sull'impatto devastante di questi conflitti d'interesse </w:t>
      </w:r>
      <w:r w:rsidR="00E22931">
        <w:rPr>
          <w:rFonts w:ascii="Calibri Light" w:hAnsi="Calibri Light" w:cs="Calibri Light"/>
          <w:lang w:val="it-IT"/>
        </w:rPr>
        <w:t>ne</w:t>
      </w:r>
      <w:r w:rsidRPr="00256E83">
        <w:rPr>
          <w:rFonts w:ascii="Calibri Light" w:hAnsi="Calibri Light" w:cs="Calibri Light"/>
          <w:lang w:val="it-IT"/>
        </w:rPr>
        <w:t>lla selezione dei fondi d'investimento e delle "</w:t>
      </w:r>
      <w:r w:rsidR="00E22931">
        <w:rPr>
          <w:rFonts w:ascii="Calibri Light" w:hAnsi="Calibri Light" w:cs="Calibri Light"/>
          <w:lang w:val="it-IT"/>
        </w:rPr>
        <w:t>unità</w:t>
      </w:r>
      <w:r w:rsidRPr="00256E83">
        <w:rPr>
          <w:rFonts w:ascii="Calibri Light" w:hAnsi="Calibri Light" w:cs="Calibri Light"/>
          <w:lang w:val="it-IT"/>
        </w:rPr>
        <w:t xml:space="preserve">" da parte degli intermediari e sui danni che ne derivano per </w:t>
      </w:r>
      <w:r w:rsidR="00E22931">
        <w:rPr>
          <w:rFonts w:ascii="Calibri Light" w:hAnsi="Calibri Light" w:cs="Calibri Light"/>
          <w:lang w:val="it-IT"/>
        </w:rPr>
        <w:t xml:space="preserve">i rendimenti </w:t>
      </w:r>
      <w:r w:rsidRPr="00256E83">
        <w:rPr>
          <w:rFonts w:ascii="Calibri Light" w:hAnsi="Calibri Light" w:cs="Calibri Light"/>
          <w:lang w:val="it-IT"/>
        </w:rPr>
        <w:t xml:space="preserve">del risparmio </w:t>
      </w:r>
      <w:r w:rsidR="00E22931">
        <w:rPr>
          <w:rFonts w:ascii="Calibri Light" w:hAnsi="Calibri Light" w:cs="Calibri Light"/>
          <w:lang w:val="it-IT"/>
        </w:rPr>
        <w:t xml:space="preserve">pensionistico e </w:t>
      </w:r>
      <w:r w:rsidRPr="00256E83">
        <w:rPr>
          <w:rFonts w:ascii="Calibri Light" w:hAnsi="Calibri Light" w:cs="Calibri Light"/>
          <w:lang w:val="it-IT"/>
        </w:rPr>
        <w:t>a lungo termine.</w:t>
      </w:r>
      <w:r w:rsidRPr="00256E83">
        <w:rPr>
          <w:rStyle w:val="Rimandonotaapidipagina"/>
          <w:rFonts w:ascii="Calibri Light" w:hAnsi="Calibri Light" w:cs="Calibri Light"/>
          <w:lang w:val="it-IT"/>
        </w:rPr>
        <w:footnoteReference w:id="2"/>
      </w:r>
    </w:p>
    <w:p w14:paraId="231CE539" w14:textId="090B8A47" w:rsidR="0057208C" w:rsidRPr="00256E83" w:rsidRDefault="0070092B">
      <w:pPr>
        <w:jc w:val="both"/>
        <w:rPr>
          <w:rFonts w:ascii="Calibri Light" w:hAnsi="Calibri Light" w:cs="Calibri Light"/>
          <w:lang w:val="it-IT"/>
        </w:rPr>
      </w:pPr>
      <w:r w:rsidRPr="00256E83">
        <w:rPr>
          <w:rFonts w:ascii="Calibri Light" w:hAnsi="Calibri Light" w:cs="Calibri Light"/>
          <w:lang w:val="it-IT"/>
        </w:rPr>
        <w:t xml:space="preserve">Inoltre, le regole della </w:t>
      </w:r>
      <w:proofErr w:type="spellStart"/>
      <w:r w:rsidRPr="00256E83">
        <w:rPr>
          <w:rFonts w:ascii="Calibri Light" w:hAnsi="Calibri Light" w:cs="Calibri Light"/>
          <w:lang w:val="it-IT"/>
        </w:rPr>
        <w:t>MiFID</w:t>
      </w:r>
      <w:proofErr w:type="spellEnd"/>
      <w:r w:rsidRPr="00256E83">
        <w:rPr>
          <w:rFonts w:ascii="Calibri Light" w:hAnsi="Calibri Light" w:cs="Calibri Light"/>
          <w:lang w:val="it-IT"/>
        </w:rPr>
        <w:t xml:space="preserve"> II sugli "incentivi" esentano de facto i </w:t>
      </w:r>
      <w:r w:rsidR="00356D54">
        <w:rPr>
          <w:rFonts w:ascii="Calibri Light" w:hAnsi="Calibri Light" w:cs="Calibri Light"/>
          <w:lang w:val="it-IT"/>
        </w:rPr>
        <w:t xml:space="preserve">fornitori </w:t>
      </w:r>
      <w:r w:rsidRPr="00256E83">
        <w:rPr>
          <w:rFonts w:ascii="Calibri Light" w:hAnsi="Calibri Light" w:cs="Calibri Light"/>
          <w:lang w:val="it-IT"/>
        </w:rPr>
        <w:t xml:space="preserve">di prodotti finanziari al dettaglio "ad architettura chiusa" o "integrati verticalmente", in quanto non sono </w:t>
      </w:r>
      <w:r w:rsidR="00E22931">
        <w:rPr>
          <w:rFonts w:ascii="Calibri Light" w:hAnsi="Calibri Light" w:cs="Calibri Light"/>
          <w:lang w:val="it-IT"/>
        </w:rPr>
        <w:t>ri</w:t>
      </w:r>
      <w:r w:rsidRPr="00256E83">
        <w:rPr>
          <w:rFonts w:ascii="Calibri Light" w:hAnsi="Calibri Light" w:cs="Calibri Light"/>
          <w:lang w:val="it-IT"/>
        </w:rPr>
        <w:t>compensati attraverso le commissioni, ma per lo più vendono e forniscono consulenza su prodotti interni, indipendentemente dal fatto che questi siano i più adatti alle esigenze dei loro clienti. Poiché tali pratiche non comportano commissioni o altri incentivi (</w:t>
      </w:r>
      <w:r w:rsidR="00EF38CD">
        <w:rPr>
          <w:rFonts w:ascii="Calibri Light" w:hAnsi="Calibri Light" w:cs="Calibri Light"/>
          <w:lang w:val="it-IT"/>
        </w:rPr>
        <w:t xml:space="preserve">in questo caso entrano in gioco altre forme di </w:t>
      </w:r>
      <w:r w:rsidRPr="00256E83">
        <w:rPr>
          <w:rFonts w:ascii="Calibri Light" w:hAnsi="Calibri Light" w:cs="Calibri Light"/>
          <w:lang w:val="it-IT"/>
        </w:rPr>
        <w:t>incentivi), le reti ad "architettura chiusa" non sono soggette a</w:t>
      </w:r>
      <w:r w:rsidR="00EF38CD">
        <w:rPr>
          <w:rFonts w:ascii="Calibri Light" w:hAnsi="Calibri Light" w:cs="Calibri Light"/>
          <w:lang w:val="it-IT"/>
        </w:rPr>
        <w:t xml:space="preserve">d alcuna norma </w:t>
      </w:r>
      <w:proofErr w:type="spellStart"/>
      <w:r w:rsidRPr="00256E83">
        <w:rPr>
          <w:rFonts w:ascii="Calibri Light" w:hAnsi="Calibri Light" w:cs="Calibri Light"/>
          <w:lang w:val="it-IT"/>
        </w:rPr>
        <w:t>MiFID</w:t>
      </w:r>
      <w:proofErr w:type="spellEnd"/>
      <w:r w:rsidRPr="00256E83">
        <w:rPr>
          <w:rFonts w:ascii="Calibri Light" w:hAnsi="Calibri Light" w:cs="Calibri Light"/>
          <w:lang w:val="it-IT"/>
        </w:rPr>
        <w:t xml:space="preserve"> II sugli incentivi. I ripetuti avvertimenti di BETTER FINANCE su questo importante conflitto di interessi sono finora caduti nel vuoto.</w:t>
      </w:r>
    </w:p>
    <w:p w14:paraId="231CE53A" w14:textId="64A5DA55" w:rsidR="0057208C" w:rsidRPr="00256E83" w:rsidRDefault="00EF38CD">
      <w:pPr>
        <w:jc w:val="both"/>
        <w:rPr>
          <w:lang w:val="it-IT"/>
        </w:rPr>
      </w:pPr>
      <w:r>
        <w:rPr>
          <w:rFonts w:ascii="Calibri Light" w:hAnsi="Calibri Light" w:cs="Calibri Light"/>
          <w:lang w:val="it-IT"/>
        </w:rPr>
        <w:t>BETTER FINANCE</w:t>
      </w:r>
      <w:r w:rsidR="0070092B" w:rsidRPr="00256E83">
        <w:rPr>
          <w:rFonts w:ascii="Calibri Light" w:hAnsi="Calibri Light" w:cs="Calibri Light"/>
          <w:lang w:val="it-IT"/>
        </w:rPr>
        <w:t xml:space="preserve"> </w:t>
      </w:r>
      <w:r>
        <w:rPr>
          <w:rFonts w:ascii="Calibri Light" w:hAnsi="Calibri Light" w:cs="Calibri Light"/>
          <w:lang w:val="it-IT"/>
        </w:rPr>
        <w:t>si compiace del fatto che ora, nel parere,</w:t>
      </w:r>
      <w:r w:rsidR="0070092B" w:rsidRPr="00256E83">
        <w:rPr>
          <w:rFonts w:ascii="Calibri Light" w:hAnsi="Calibri Light" w:cs="Calibri Light"/>
          <w:lang w:val="it-IT"/>
        </w:rPr>
        <w:t xml:space="preserve"> l'ESMA condivida questa preoccupazione e, osserva che "</w:t>
      </w:r>
      <w:r>
        <w:rPr>
          <w:rFonts w:ascii="Calibri Light" w:hAnsi="Calibri Light" w:cs="Calibri Light"/>
          <w:i/>
          <w:iCs/>
          <w:lang w:val="it-IT"/>
        </w:rPr>
        <w:t>sare</w:t>
      </w:r>
      <w:r w:rsidR="0070092B" w:rsidRPr="00256E83">
        <w:rPr>
          <w:rFonts w:ascii="Calibri Light" w:hAnsi="Calibri Light" w:cs="Calibri Light"/>
          <w:i/>
          <w:iCs/>
          <w:lang w:val="it-IT"/>
        </w:rPr>
        <w:t xml:space="preserve">bbe </w:t>
      </w:r>
      <w:r>
        <w:rPr>
          <w:rFonts w:ascii="Calibri Light" w:hAnsi="Calibri Light" w:cs="Calibri Light"/>
          <w:i/>
          <w:iCs/>
          <w:lang w:val="it-IT"/>
        </w:rPr>
        <w:t xml:space="preserve">utile </w:t>
      </w:r>
      <w:r w:rsidR="0070092B" w:rsidRPr="00256E83">
        <w:rPr>
          <w:rFonts w:ascii="Calibri Light" w:hAnsi="Calibri Light" w:cs="Calibri Light"/>
          <w:i/>
          <w:iCs/>
          <w:lang w:val="it-IT"/>
        </w:rPr>
        <w:t>chiarire che le imprese, anche se operano in mo</w:t>
      </w:r>
      <w:r>
        <w:rPr>
          <w:rFonts w:ascii="Calibri Light" w:hAnsi="Calibri Light" w:cs="Calibri Light"/>
          <w:i/>
          <w:iCs/>
          <w:lang w:val="it-IT"/>
        </w:rPr>
        <w:t xml:space="preserve">delli ad architettura chiusa, devono confrontare </w:t>
      </w:r>
      <w:r w:rsidR="0070092B" w:rsidRPr="00256E83">
        <w:rPr>
          <w:rFonts w:ascii="Calibri Light" w:hAnsi="Calibri Light" w:cs="Calibri Light"/>
          <w:i/>
          <w:iCs/>
          <w:lang w:val="it-IT"/>
        </w:rPr>
        <w:t xml:space="preserve">i loro prodotti </w:t>
      </w:r>
      <w:r>
        <w:rPr>
          <w:rFonts w:ascii="Calibri Light" w:hAnsi="Calibri Light" w:cs="Calibri Light"/>
          <w:i/>
          <w:iCs/>
          <w:lang w:val="it-IT"/>
        </w:rPr>
        <w:t xml:space="preserve">con </w:t>
      </w:r>
      <w:r w:rsidR="0070092B" w:rsidRPr="00256E83">
        <w:rPr>
          <w:rFonts w:ascii="Calibri Light" w:hAnsi="Calibri Light" w:cs="Calibri Light"/>
          <w:i/>
          <w:iCs/>
          <w:lang w:val="it-IT"/>
        </w:rPr>
        <w:t>i prodotti di terzi e</w:t>
      </w:r>
      <w:r w:rsidR="00705B0B">
        <w:rPr>
          <w:rFonts w:ascii="Calibri Light" w:hAnsi="Calibri Light" w:cs="Calibri Light"/>
          <w:i/>
          <w:iCs/>
          <w:lang w:val="it-IT"/>
        </w:rPr>
        <w:t>,</w:t>
      </w:r>
      <w:r w:rsidR="0070092B" w:rsidRPr="00256E83">
        <w:rPr>
          <w:rFonts w:ascii="Calibri Light" w:hAnsi="Calibri Light" w:cs="Calibri Light"/>
          <w:i/>
          <w:iCs/>
          <w:lang w:val="it-IT"/>
        </w:rPr>
        <w:t xml:space="preserve"> nel</w:t>
      </w:r>
      <w:r w:rsidR="00705B0B">
        <w:rPr>
          <w:rFonts w:ascii="Calibri Light" w:hAnsi="Calibri Light" w:cs="Calibri Light"/>
          <w:i/>
          <w:iCs/>
          <w:lang w:val="it-IT"/>
        </w:rPr>
        <w:t xml:space="preserve">la relazione </w:t>
      </w:r>
      <w:r w:rsidR="0070092B" w:rsidRPr="00256E83">
        <w:rPr>
          <w:rFonts w:ascii="Calibri Light" w:hAnsi="Calibri Light" w:cs="Calibri Light"/>
          <w:i/>
          <w:iCs/>
          <w:lang w:val="it-IT"/>
        </w:rPr>
        <w:t>di idoneità</w:t>
      </w:r>
      <w:r w:rsidR="00705B0B">
        <w:rPr>
          <w:rFonts w:ascii="Calibri Light" w:hAnsi="Calibri Light" w:cs="Calibri Light"/>
          <w:i/>
          <w:iCs/>
          <w:lang w:val="it-IT"/>
        </w:rPr>
        <w:t>, fornire dettagli</w:t>
      </w:r>
      <w:r w:rsidR="0070092B" w:rsidRPr="00256E83">
        <w:rPr>
          <w:rFonts w:ascii="Calibri Light" w:hAnsi="Calibri Light" w:cs="Calibri Light"/>
          <w:i/>
          <w:iCs/>
          <w:lang w:val="it-IT"/>
        </w:rPr>
        <w:t xml:space="preserve"> di eventuali alternative meno costose e meno complesse</w:t>
      </w:r>
      <w:r w:rsidR="0070092B" w:rsidRPr="00256E83">
        <w:rPr>
          <w:rFonts w:ascii="Calibri Light" w:hAnsi="Calibri Light" w:cs="Calibri Light"/>
          <w:lang w:val="it-IT"/>
        </w:rPr>
        <w:t xml:space="preserve">". </w:t>
      </w:r>
    </w:p>
    <w:p w14:paraId="231CE53B" w14:textId="670D3143" w:rsidR="0057208C" w:rsidRPr="00256E83" w:rsidRDefault="0070092B">
      <w:pPr>
        <w:jc w:val="both"/>
        <w:rPr>
          <w:rFonts w:ascii="Calibri Light" w:hAnsi="Calibri Light" w:cs="Calibri Light"/>
          <w:lang w:val="it-IT"/>
        </w:rPr>
      </w:pPr>
      <w:r w:rsidRPr="00256E83">
        <w:rPr>
          <w:rFonts w:ascii="Calibri Light" w:hAnsi="Calibri Light" w:cs="Calibri Light"/>
          <w:lang w:val="it-IT"/>
        </w:rPr>
        <w:t xml:space="preserve">Per adattare </w:t>
      </w:r>
      <w:r w:rsidR="00E94D5C">
        <w:rPr>
          <w:rFonts w:ascii="Calibri Light" w:hAnsi="Calibri Light" w:cs="Calibri Light"/>
          <w:lang w:val="it-IT"/>
        </w:rPr>
        <w:t>un</w:t>
      </w:r>
      <w:r w:rsidRPr="00256E83">
        <w:rPr>
          <w:rFonts w:ascii="Calibri Light" w:hAnsi="Calibri Light" w:cs="Calibri Light"/>
          <w:lang w:val="it-IT"/>
        </w:rPr>
        <w:t xml:space="preserve"> divieto </w:t>
      </w:r>
      <w:r w:rsidR="00E94D5C">
        <w:rPr>
          <w:rFonts w:ascii="Calibri Light" w:hAnsi="Calibri Light" w:cs="Calibri Light"/>
          <w:lang w:val="it-IT"/>
        </w:rPr>
        <w:t>sugli</w:t>
      </w:r>
      <w:r w:rsidRPr="00256E83">
        <w:rPr>
          <w:rFonts w:ascii="Calibri Light" w:hAnsi="Calibri Light" w:cs="Calibri Light"/>
          <w:lang w:val="it-IT"/>
        </w:rPr>
        <w:t xml:space="preserve"> "incentivi" alle reti ad "architettura chiusa", l'ESMA propone tre opzioni:</w:t>
      </w:r>
    </w:p>
    <w:p w14:paraId="231CE53C" w14:textId="67A50E45" w:rsidR="0057208C" w:rsidRPr="00256E83" w:rsidRDefault="0070092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 w:rsidRPr="00256E83">
        <w:rPr>
          <w:rFonts w:ascii="Calibri Light" w:hAnsi="Calibri Light" w:cs="Calibri Light"/>
          <w:lang w:val="it-IT"/>
        </w:rPr>
        <w:t>La prima</w:t>
      </w:r>
      <w:r w:rsidR="00E94D5C">
        <w:rPr>
          <w:rFonts w:ascii="Calibri Light" w:hAnsi="Calibri Light" w:cs="Calibri Light"/>
          <w:lang w:val="it-IT"/>
        </w:rPr>
        <w:t>,</w:t>
      </w:r>
      <w:r w:rsidRPr="00256E83">
        <w:rPr>
          <w:rFonts w:ascii="Calibri Light" w:hAnsi="Calibri Light" w:cs="Calibri Light"/>
          <w:lang w:val="it-IT"/>
        </w:rPr>
        <w:t xml:space="preserve"> </w:t>
      </w:r>
      <w:r w:rsidRPr="00256E83">
        <w:rPr>
          <w:rFonts w:ascii="Calibri Light" w:hAnsi="Calibri Light" w:cs="Calibri Light"/>
          <w:i/>
          <w:iCs/>
          <w:lang w:val="it-IT"/>
        </w:rPr>
        <w:t>"[investire] nell'educazione finanziaria per rendere gli investitori al dettaglio consapevoli dell'importanza di una consulenza indipendente a pagamento</w:t>
      </w:r>
      <w:r w:rsidRPr="00256E83">
        <w:rPr>
          <w:rFonts w:ascii="Calibri Light" w:hAnsi="Calibri Light" w:cs="Calibri Light"/>
          <w:lang w:val="it-IT"/>
        </w:rPr>
        <w:t>"</w:t>
      </w:r>
      <w:r w:rsidR="00E94D5C">
        <w:rPr>
          <w:rFonts w:ascii="Calibri Light" w:hAnsi="Calibri Light" w:cs="Calibri Light"/>
          <w:lang w:val="it-IT"/>
        </w:rPr>
        <w:t xml:space="preserve">, </w:t>
      </w:r>
      <w:r w:rsidRPr="00256E83">
        <w:rPr>
          <w:rFonts w:ascii="Calibri Light" w:hAnsi="Calibri Light" w:cs="Calibri Light"/>
          <w:lang w:val="it-IT"/>
        </w:rPr>
        <w:t xml:space="preserve">non affronta il fatto che mancano </w:t>
      </w:r>
      <w:r w:rsidR="00E94D5C">
        <w:rPr>
          <w:rFonts w:ascii="Calibri Light" w:hAnsi="Calibri Light" w:cs="Calibri Light"/>
          <w:lang w:val="it-IT"/>
        </w:rPr>
        <w:t xml:space="preserve">gli </w:t>
      </w:r>
      <w:r w:rsidRPr="00256E83">
        <w:rPr>
          <w:rFonts w:ascii="Calibri Light" w:hAnsi="Calibri Light" w:cs="Calibri Light"/>
          <w:lang w:val="it-IT"/>
        </w:rPr>
        <w:t xml:space="preserve">incentivi </w:t>
      </w:r>
      <w:r w:rsidR="00E94D5C">
        <w:rPr>
          <w:rFonts w:ascii="Calibri Light" w:hAnsi="Calibri Light" w:cs="Calibri Light"/>
          <w:lang w:val="it-IT"/>
        </w:rPr>
        <w:t>a disposizione dei soggetti interessati per</w:t>
      </w:r>
      <w:r w:rsidRPr="00256E83">
        <w:rPr>
          <w:rFonts w:ascii="Calibri Light" w:hAnsi="Calibri Light" w:cs="Calibri Light"/>
          <w:lang w:val="it-IT"/>
        </w:rPr>
        <w:t xml:space="preserve"> investire tempo e denaro in tale educazione. </w:t>
      </w:r>
    </w:p>
    <w:p w14:paraId="231CE53D" w14:textId="2CDE6730" w:rsidR="0057208C" w:rsidRPr="00256E83" w:rsidRDefault="0070092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 w:rsidRPr="00256E83">
        <w:rPr>
          <w:rFonts w:ascii="Calibri Light" w:hAnsi="Calibri Light" w:cs="Calibri Light"/>
          <w:lang w:val="it-IT"/>
        </w:rPr>
        <w:lastRenderedPageBreak/>
        <w:t>La seconda</w:t>
      </w:r>
      <w:r w:rsidR="00C64596">
        <w:rPr>
          <w:rFonts w:ascii="Calibri Light" w:hAnsi="Calibri Light" w:cs="Calibri Light"/>
          <w:lang w:val="it-IT"/>
        </w:rPr>
        <w:t>,</w:t>
      </w:r>
      <w:r w:rsidRPr="00256E83">
        <w:rPr>
          <w:rFonts w:ascii="Calibri Light" w:hAnsi="Calibri Light" w:cs="Calibri Light"/>
          <w:lang w:val="it-IT"/>
        </w:rPr>
        <w:t xml:space="preserve"> </w:t>
      </w:r>
      <w:r w:rsidRPr="00256E83">
        <w:rPr>
          <w:rFonts w:ascii="Calibri Light" w:hAnsi="Calibri Light" w:cs="Calibri Light"/>
          <w:i/>
          <w:iCs/>
          <w:lang w:val="it-IT"/>
        </w:rPr>
        <w:t>"[fornire] dettagli</w:t>
      </w:r>
      <w:r w:rsidR="00C64596">
        <w:rPr>
          <w:rFonts w:ascii="Calibri Light" w:hAnsi="Calibri Light" w:cs="Calibri Light"/>
          <w:i/>
          <w:iCs/>
          <w:lang w:val="it-IT"/>
        </w:rPr>
        <w:t>,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 nella relazione </w:t>
      </w:r>
      <w:r w:rsidR="00C64596">
        <w:rPr>
          <w:rFonts w:ascii="Calibri Light" w:hAnsi="Calibri Light" w:cs="Calibri Light"/>
          <w:i/>
          <w:iCs/>
          <w:lang w:val="it-IT"/>
        </w:rPr>
        <w:t xml:space="preserve">di </w:t>
      </w:r>
      <w:r w:rsidRPr="00256E83">
        <w:rPr>
          <w:rFonts w:ascii="Calibri Light" w:hAnsi="Calibri Light" w:cs="Calibri Light"/>
          <w:i/>
          <w:iCs/>
          <w:lang w:val="it-IT"/>
        </w:rPr>
        <w:t>idoneità</w:t>
      </w:r>
      <w:r w:rsidR="00C64596">
        <w:rPr>
          <w:rFonts w:ascii="Calibri Light" w:hAnsi="Calibri Light" w:cs="Calibri Light"/>
          <w:i/>
          <w:iCs/>
          <w:lang w:val="it-IT"/>
        </w:rPr>
        <w:t>,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 di </w:t>
      </w:r>
      <w:r w:rsidR="00C64596">
        <w:rPr>
          <w:rFonts w:ascii="Calibri Light" w:hAnsi="Calibri Light" w:cs="Calibri Light"/>
          <w:i/>
          <w:iCs/>
          <w:lang w:val="it-IT"/>
        </w:rPr>
        <w:t xml:space="preserve">ogni </w:t>
      </w:r>
      <w:r w:rsidRPr="00256E83">
        <w:rPr>
          <w:rFonts w:ascii="Calibri Light" w:hAnsi="Calibri Light" w:cs="Calibri Light"/>
          <w:i/>
          <w:iCs/>
          <w:lang w:val="it-IT"/>
        </w:rPr>
        <w:t>alternativa meno costosa e meno compl</w:t>
      </w:r>
      <w:r w:rsidR="00C64596">
        <w:rPr>
          <w:rFonts w:ascii="Calibri Light" w:hAnsi="Calibri Light" w:cs="Calibri Light"/>
          <w:i/>
          <w:iCs/>
          <w:lang w:val="it-IT"/>
        </w:rPr>
        <w:t>essa"</w:t>
      </w:r>
      <w:r w:rsidR="00C64596">
        <w:rPr>
          <w:rFonts w:ascii="Calibri Light" w:hAnsi="Calibri Light" w:cs="Calibri Light"/>
          <w:lang w:val="it-IT"/>
        </w:rPr>
        <w:t>, è</w:t>
      </w:r>
      <w:r w:rsidRPr="00256E83">
        <w:rPr>
          <w:rFonts w:ascii="Calibri Light" w:hAnsi="Calibri Light" w:cs="Calibri Light"/>
          <w:lang w:val="it-IT"/>
        </w:rPr>
        <w:t xml:space="preserve"> sicuramente </w:t>
      </w:r>
      <w:r w:rsidR="00C64596">
        <w:rPr>
          <w:rFonts w:ascii="Calibri Light" w:hAnsi="Calibri Light" w:cs="Calibri Light"/>
          <w:lang w:val="it-IT"/>
        </w:rPr>
        <w:t>valida</w:t>
      </w:r>
      <w:r w:rsidRPr="00256E83">
        <w:rPr>
          <w:rFonts w:ascii="Calibri Light" w:hAnsi="Calibri Light" w:cs="Calibri Light"/>
          <w:lang w:val="it-IT"/>
        </w:rPr>
        <w:t xml:space="preserve">, ma dovrebbe essere </w:t>
      </w:r>
      <w:r w:rsidR="00C64596">
        <w:rPr>
          <w:rFonts w:ascii="Calibri Light" w:hAnsi="Calibri Light" w:cs="Calibri Light"/>
          <w:lang w:val="it-IT"/>
        </w:rPr>
        <w:t xml:space="preserve">comunicata </w:t>
      </w:r>
      <w:r w:rsidRPr="00256E83">
        <w:rPr>
          <w:rFonts w:ascii="Calibri Light" w:hAnsi="Calibri Light" w:cs="Calibri Light"/>
          <w:lang w:val="it-IT"/>
        </w:rPr>
        <w:t>in modo molto chiaro per iscritto e</w:t>
      </w:r>
      <w:r w:rsidR="00C64596">
        <w:rPr>
          <w:rFonts w:ascii="Calibri Light" w:hAnsi="Calibri Light" w:cs="Calibri Light"/>
          <w:lang w:val="it-IT"/>
        </w:rPr>
        <w:t>d essere</w:t>
      </w:r>
      <w:r w:rsidRPr="00256E83">
        <w:rPr>
          <w:rFonts w:ascii="Calibri Light" w:hAnsi="Calibri Light" w:cs="Calibri Light"/>
          <w:lang w:val="it-IT"/>
        </w:rPr>
        <w:t xml:space="preserve"> facilmente accessibile in tutte le informazioni precontrattuali. </w:t>
      </w:r>
    </w:p>
    <w:p w14:paraId="231CE53E" w14:textId="1A31D1E4" w:rsidR="0057208C" w:rsidRPr="00256E83" w:rsidRDefault="0070092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 w:rsidRPr="00256E83">
        <w:rPr>
          <w:rFonts w:ascii="Calibri Light" w:hAnsi="Calibri Light" w:cs="Calibri Light"/>
          <w:lang w:val="it-IT"/>
        </w:rPr>
        <w:t>La terza opzione</w:t>
      </w:r>
      <w:r w:rsidR="00C64596">
        <w:rPr>
          <w:rFonts w:ascii="Calibri Light" w:hAnsi="Calibri Light" w:cs="Calibri Light"/>
          <w:lang w:val="it-IT"/>
        </w:rPr>
        <w:t xml:space="preserve">, ossia </w:t>
      </w:r>
      <w:r w:rsidRPr="00256E83">
        <w:rPr>
          <w:rFonts w:ascii="Calibri Light" w:hAnsi="Calibri Light" w:cs="Calibri Light"/>
          <w:lang w:val="it-IT"/>
        </w:rPr>
        <w:t>imporre il criterio di incentivazione del "miglioramento della qualità" alle reti ad "architettura chiusa"</w:t>
      </w:r>
      <w:r w:rsidR="00D62C9D">
        <w:rPr>
          <w:rFonts w:ascii="Calibri Light" w:hAnsi="Calibri Light" w:cs="Calibri Light"/>
          <w:lang w:val="it-IT"/>
        </w:rPr>
        <w:t>,</w:t>
      </w:r>
      <w:r w:rsidRPr="00256E83">
        <w:rPr>
          <w:rFonts w:ascii="Calibri Light" w:hAnsi="Calibri Light" w:cs="Calibri Light"/>
          <w:lang w:val="it-IT"/>
        </w:rPr>
        <w:t xml:space="preserve"> avrebbe a nostro avviso un impatto molto limitato, in quanto difficil</w:t>
      </w:r>
      <w:r w:rsidR="00D62C9D">
        <w:rPr>
          <w:rFonts w:ascii="Calibri Light" w:hAnsi="Calibri Light" w:cs="Calibri Light"/>
          <w:lang w:val="it-IT"/>
        </w:rPr>
        <w:t>issimo</w:t>
      </w:r>
      <w:r w:rsidRPr="00256E83">
        <w:rPr>
          <w:rFonts w:ascii="Calibri Light" w:hAnsi="Calibri Light" w:cs="Calibri Light"/>
          <w:lang w:val="it-IT"/>
        </w:rPr>
        <w:t xml:space="preserve"> da valutare. Il requisito più importante </w:t>
      </w:r>
      <w:r w:rsidR="00356D54">
        <w:rPr>
          <w:rFonts w:ascii="Calibri Light" w:hAnsi="Calibri Light" w:cs="Calibri Light"/>
          <w:lang w:val="it-IT"/>
        </w:rPr>
        <w:t>–</w:t>
      </w:r>
      <w:r w:rsidRPr="00256E83">
        <w:rPr>
          <w:rFonts w:ascii="Calibri Light" w:hAnsi="Calibri Light" w:cs="Calibri Light"/>
          <w:lang w:val="it-IT"/>
        </w:rPr>
        <w:t xml:space="preserve"> e</w:t>
      </w:r>
      <w:r w:rsidR="00356D54">
        <w:rPr>
          <w:rFonts w:ascii="Calibri Light" w:hAnsi="Calibri Light" w:cs="Calibri Light"/>
          <w:lang w:val="it-IT"/>
        </w:rPr>
        <w:t xml:space="preserve"> </w:t>
      </w:r>
      <w:r w:rsidRPr="00256E83">
        <w:rPr>
          <w:rFonts w:ascii="Calibri Light" w:hAnsi="Calibri Light" w:cs="Calibri Light"/>
          <w:lang w:val="it-IT"/>
        </w:rPr>
        <w:t xml:space="preserve">più facile da valutare </w:t>
      </w:r>
      <w:r w:rsidR="00356D54">
        <w:rPr>
          <w:rFonts w:ascii="Calibri Light" w:hAnsi="Calibri Light" w:cs="Calibri Light"/>
          <w:lang w:val="it-IT"/>
        </w:rPr>
        <w:t>–</w:t>
      </w:r>
      <w:r w:rsidRPr="00256E83">
        <w:rPr>
          <w:rFonts w:ascii="Calibri Light" w:hAnsi="Calibri Light" w:cs="Calibri Light"/>
          <w:lang w:val="it-IT"/>
        </w:rPr>
        <w:t xml:space="preserve"> per consentire l'introduzione di incentivi nella </w:t>
      </w:r>
      <w:proofErr w:type="spellStart"/>
      <w:r w:rsidRPr="00256E83">
        <w:rPr>
          <w:rFonts w:ascii="Calibri Light" w:hAnsi="Calibri Light" w:cs="Calibri Light"/>
          <w:lang w:val="it-IT"/>
        </w:rPr>
        <w:t>MiFID</w:t>
      </w:r>
      <w:proofErr w:type="spellEnd"/>
      <w:r w:rsidRPr="00256E83">
        <w:rPr>
          <w:rFonts w:ascii="Calibri Light" w:hAnsi="Calibri Light" w:cs="Calibri Light"/>
          <w:lang w:val="it-IT"/>
        </w:rPr>
        <w:t xml:space="preserve"> II (che "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non </w:t>
      </w:r>
      <w:r w:rsidR="006E15F7">
        <w:rPr>
          <w:rFonts w:ascii="Calibri Light" w:hAnsi="Calibri Light" w:cs="Calibri Light"/>
          <w:i/>
          <w:iCs/>
          <w:lang w:val="it-IT"/>
        </w:rPr>
        <w:t xml:space="preserve">ostacolano l’adempimento da parte dell’impresa dell’obbligo 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di agire in modo onesto, equo e professionale </w:t>
      </w:r>
      <w:r w:rsidR="006E15F7">
        <w:rPr>
          <w:rFonts w:ascii="Calibri Light" w:hAnsi="Calibri Light" w:cs="Calibri Light"/>
          <w:i/>
          <w:iCs/>
          <w:lang w:val="it-IT"/>
        </w:rPr>
        <w:t xml:space="preserve">per servire al meglio gli interessi dei suoi </w:t>
      </w:r>
      <w:r w:rsidRPr="00256E83">
        <w:rPr>
          <w:rFonts w:ascii="Calibri Light" w:hAnsi="Calibri Light" w:cs="Calibri Light"/>
          <w:i/>
          <w:iCs/>
          <w:lang w:val="it-IT"/>
        </w:rPr>
        <w:t>clienti</w:t>
      </w:r>
      <w:r w:rsidRPr="00256E83">
        <w:rPr>
          <w:rFonts w:ascii="Calibri Light" w:hAnsi="Calibri Light" w:cs="Calibri Light"/>
          <w:lang w:val="it-IT"/>
        </w:rPr>
        <w:t>") è ancora una volta trascurato da</w:t>
      </w:r>
      <w:r w:rsidR="006E15F7">
        <w:rPr>
          <w:rFonts w:ascii="Calibri Light" w:hAnsi="Calibri Light" w:cs="Calibri Light"/>
          <w:lang w:val="it-IT"/>
        </w:rPr>
        <w:t>ll’</w:t>
      </w:r>
      <w:r w:rsidR="00356D54">
        <w:rPr>
          <w:rFonts w:ascii="Calibri Light" w:hAnsi="Calibri Light" w:cs="Calibri Light"/>
          <w:lang w:val="it-IT"/>
        </w:rPr>
        <w:t>A</w:t>
      </w:r>
      <w:r w:rsidR="006E15F7">
        <w:rPr>
          <w:rFonts w:ascii="Calibri Light" w:hAnsi="Calibri Light" w:cs="Calibri Light"/>
          <w:lang w:val="it-IT"/>
        </w:rPr>
        <w:t xml:space="preserve">utorità europea di vigilanza </w:t>
      </w:r>
      <w:r w:rsidRPr="00256E83">
        <w:rPr>
          <w:rFonts w:ascii="Calibri Light" w:hAnsi="Calibri Light" w:cs="Calibri Light"/>
          <w:lang w:val="it-IT"/>
        </w:rPr>
        <w:t xml:space="preserve">(come </w:t>
      </w:r>
      <w:r w:rsidR="006E15F7">
        <w:rPr>
          <w:rFonts w:ascii="Calibri Light" w:hAnsi="Calibri Light" w:cs="Calibri Light"/>
          <w:lang w:val="it-IT"/>
        </w:rPr>
        <w:t>dal</w:t>
      </w:r>
      <w:r w:rsidRPr="00256E83">
        <w:rPr>
          <w:rFonts w:ascii="Calibri Light" w:hAnsi="Calibri Light" w:cs="Calibri Light"/>
          <w:lang w:val="it-IT"/>
        </w:rPr>
        <w:t>la maggior parte di quell</w:t>
      </w:r>
      <w:r w:rsidR="006E15F7">
        <w:rPr>
          <w:rFonts w:ascii="Calibri Light" w:hAnsi="Calibri Light" w:cs="Calibri Light"/>
          <w:lang w:val="it-IT"/>
        </w:rPr>
        <w:t>e</w:t>
      </w:r>
      <w:r w:rsidRPr="00256E83">
        <w:rPr>
          <w:rFonts w:ascii="Calibri Light" w:hAnsi="Calibri Light" w:cs="Calibri Light"/>
          <w:lang w:val="it-IT"/>
        </w:rPr>
        <w:t xml:space="preserve"> nazionali). Altrimenti, </w:t>
      </w:r>
      <w:r w:rsidR="006E15F7">
        <w:rPr>
          <w:rFonts w:ascii="Calibri Light" w:hAnsi="Calibri Light" w:cs="Calibri Light"/>
          <w:lang w:val="it-IT"/>
        </w:rPr>
        <w:t xml:space="preserve">perché </w:t>
      </w:r>
      <w:r w:rsidRPr="00256E83">
        <w:rPr>
          <w:rFonts w:ascii="Calibri Light" w:hAnsi="Calibri Light" w:cs="Calibri Light"/>
          <w:lang w:val="it-IT"/>
        </w:rPr>
        <w:t xml:space="preserve">mai </w:t>
      </w:r>
      <w:r w:rsidR="006E15F7">
        <w:rPr>
          <w:rFonts w:ascii="Calibri Light" w:hAnsi="Calibri Light" w:cs="Calibri Light"/>
          <w:lang w:val="it-IT"/>
        </w:rPr>
        <w:t>ai cittadini dell’UE si continuerebbe</w:t>
      </w:r>
      <w:r w:rsidR="00356D54">
        <w:rPr>
          <w:rFonts w:ascii="Calibri Light" w:hAnsi="Calibri Light" w:cs="Calibri Light"/>
          <w:lang w:val="it-IT"/>
        </w:rPr>
        <w:t>ro</w:t>
      </w:r>
      <w:r w:rsidR="006E15F7">
        <w:rPr>
          <w:rFonts w:ascii="Calibri Light" w:hAnsi="Calibri Light" w:cs="Calibri Light"/>
          <w:lang w:val="it-IT"/>
        </w:rPr>
        <w:t xml:space="preserve"> a vendere (e “consigliare”) </w:t>
      </w:r>
      <w:r w:rsidRPr="00256E83">
        <w:rPr>
          <w:rFonts w:ascii="Calibri Light" w:hAnsi="Calibri Light" w:cs="Calibri Light"/>
          <w:lang w:val="it-IT"/>
        </w:rPr>
        <w:t xml:space="preserve">fondi indicizzati che sono da sei a dieci volte più costosi dei loro equivalenti ETF, nonostante </w:t>
      </w:r>
      <w:r w:rsidR="006E15F7">
        <w:rPr>
          <w:rFonts w:ascii="Calibri Light" w:hAnsi="Calibri Light" w:cs="Calibri Light"/>
          <w:lang w:val="it-IT"/>
        </w:rPr>
        <w:t>le numerose denunce che le associazioni dei risparmiatori presentano da oltre un decennio</w:t>
      </w:r>
      <w:r w:rsidRPr="00256E83">
        <w:rPr>
          <w:rFonts w:ascii="Calibri Light" w:hAnsi="Calibri Light" w:cs="Calibri Light"/>
          <w:lang w:val="it-IT"/>
        </w:rPr>
        <w:t xml:space="preserve">? </w:t>
      </w:r>
    </w:p>
    <w:p w14:paraId="231CE53F" w14:textId="77777777" w:rsidR="0057208C" w:rsidRPr="00256E83" w:rsidRDefault="0057208C">
      <w:pPr>
        <w:spacing w:after="0" w:line="240" w:lineRule="auto"/>
        <w:ind w:left="360"/>
        <w:jc w:val="both"/>
        <w:rPr>
          <w:rFonts w:ascii="Calibri Light" w:hAnsi="Calibri Light" w:cs="Calibri Light"/>
          <w:lang w:val="it-IT"/>
        </w:rPr>
      </w:pPr>
    </w:p>
    <w:p w14:paraId="231CE540" w14:textId="38FE6FAE" w:rsidR="0057208C" w:rsidRPr="00256E83" w:rsidRDefault="0070092B">
      <w:pPr>
        <w:jc w:val="both"/>
        <w:rPr>
          <w:lang w:val="it-IT"/>
        </w:rPr>
      </w:pPr>
      <w:r w:rsidRPr="00256E83">
        <w:rPr>
          <w:rFonts w:ascii="Calibri Light" w:hAnsi="Calibri Light" w:cs="Calibri Light"/>
          <w:lang w:val="it-IT"/>
        </w:rPr>
        <w:t xml:space="preserve">Per Guillaume </w:t>
      </w:r>
      <w:proofErr w:type="spellStart"/>
      <w:r w:rsidRPr="00256E83">
        <w:rPr>
          <w:rFonts w:ascii="Calibri Light" w:hAnsi="Calibri Light" w:cs="Calibri Light"/>
          <w:lang w:val="it-IT"/>
        </w:rPr>
        <w:t>Prache</w:t>
      </w:r>
      <w:proofErr w:type="spellEnd"/>
      <w:r w:rsidRPr="00256E83">
        <w:rPr>
          <w:rFonts w:ascii="Calibri Light" w:hAnsi="Calibri Light" w:cs="Calibri Light"/>
          <w:lang w:val="it-IT"/>
        </w:rPr>
        <w:t xml:space="preserve">, </w:t>
      </w:r>
      <w:r w:rsidR="00356D54">
        <w:rPr>
          <w:rFonts w:ascii="Calibri Light" w:hAnsi="Calibri Light" w:cs="Calibri Light"/>
          <w:lang w:val="it-IT"/>
        </w:rPr>
        <w:t>a</w:t>
      </w:r>
      <w:bookmarkStart w:id="1" w:name="_GoBack"/>
      <w:bookmarkEnd w:id="1"/>
      <w:r w:rsidRPr="00256E83">
        <w:rPr>
          <w:rFonts w:ascii="Calibri Light" w:hAnsi="Calibri Light" w:cs="Calibri Light"/>
          <w:lang w:val="it-IT"/>
        </w:rPr>
        <w:t>mministratore delegato di BETTER FINANCE, "</w:t>
      </w:r>
      <w:r w:rsidR="006E15F7">
        <w:rPr>
          <w:rFonts w:ascii="Calibri Light" w:hAnsi="Calibri Light" w:cs="Calibri Light"/>
          <w:i/>
          <w:iCs/>
          <w:lang w:val="it-IT"/>
        </w:rPr>
        <w:t>l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a </w:t>
      </w:r>
      <w:r w:rsidR="00DF3284">
        <w:rPr>
          <w:rFonts w:ascii="Calibri Light" w:hAnsi="Calibri Light" w:cs="Calibri Light"/>
          <w:i/>
          <w:iCs/>
          <w:lang w:val="it-IT"/>
        </w:rPr>
        <w:t xml:space="preserve">normativa comunitaria 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sulla </w:t>
      </w:r>
      <w:r w:rsidR="00DF3284">
        <w:rPr>
          <w:rFonts w:ascii="Calibri Light" w:hAnsi="Calibri Light" w:cs="Calibri Light"/>
          <w:i/>
          <w:iCs/>
          <w:lang w:val="it-IT"/>
        </w:rPr>
        <w:t xml:space="preserve">protezione 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degli investitori si basa su una </w:t>
      </w:r>
      <w:r w:rsidR="008A6CF3">
        <w:rPr>
          <w:rFonts w:ascii="Calibri Light" w:hAnsi="Calibri Light" w:cs="Calibri Light"/>
          <w:i/>
          <w:iCs/>
          <w:lang w:val="it-IT"/>
        </w:rPr>
        <w:t xml:space="preserve">pericolosa 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confusione tra consulenza e vendita: </w:t>
      </w:r>
      <w:r w:rsidR="008A6CF3">
        <w:rPr>
          <w:rFonts w:ascii="Calibri Light" w:hAnsi="Calibri Light" w:cs="Calibri Light"/>
          <w:i/>
          <w:iCs/>
          <w:lang w:val="it-IT"/>
        </w:rPr>
        <w:t>g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li "incentivi" (per lo più commissioni di vendita) non hanno mai </w:t>
      </w:r>
      <w:r w:rsidR="008A6CF3">
        <w:rPr>
          <w:rFonts w:ascii="Calibri Light" w:hAnsi="Calibri Light" w:cs="Calibri Light"/>
          <w:i/>
          <w:iCs/>
          <w:lang w:val="it-IT"/>
        </w:rPr>
        <w:t>ri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compensato alcun </w:t>
      </w:r>
      <w:r w:rsidRPr="00256E83">
        <w:rPr>
          <w:rFonts w:ascii="Calibri Light" w:hAnsi="Calibri Light" w:cs="Calibri Light"/>
          <w:i/>
          <w:iCs/>
          <w:u w:val="single"/>
          <w:lang w:val="it-IT"/>
        </w:rPr>
        <w:t>consiglio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, </w:t>
      </w:r>
      <w:r w:rsidR="008A6CF3">
        <w:rPr>
          <w:rFonts w:ascii="Calibri Light" w:hAnsi="Calibri Light" w:cs="Calibri Light"/>
          <w:i/>
          <w:iCs/>
          <w:lang w:val="it-IT"/>
        </w:rPr>
        <w:t>ma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 solo la </w:t>
      </w:r>
      <w:r w:rsidRPr="008A6CF3">
        <w:rPr>
          <w:rFonts w:ascii="Calibri Light" w:hAnsi="Calibri Light" w:cs="Calibri Light"/>
          <w:i/>
          <w:iCs/>
          <w:u w:val="single"/>
          <w:lang w:val="it-IT"/>
        </w:rPr>
        <w:t>vendita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 </w:t>
      </w:r>
      <w:r w:rsidR="008A6CF3">
        <w:rPr>
          <w:rFonts w:ascii="Calibri Light" w:hAnsi="Calibri Light" w:cs="Calibri Light"/>
          <w:i/>
          <w:iCs/>
          <w:lang w:val="it-IT"/>
        </w:rPr>
        <w:t>di p</w:t>
      </w:r>
      <w:r w:rsidRPr="00256E83">
        <w:rPr>
          <w:rFonts w:ascii="Calibri Light" w:hAnsi="Calibri Light" w:cs="Calibri Light"/>
          <w:i/>
          <w:iCs/>
          <w:lang w:val="it-IT"/>
        </w:rPr>
        <w:t>rodotti specifici</w:t>
      </w:r>
      <w:r w:rsidR="008A6CF3">
        <w:rPr>
          <w:rFonts w:ascii="Calibri Light" w:hAnsi="Calibri Light" w:cs="Calibri Light"/>
          <w:i/>
          <w:iCs/>
          <w:lang w:val="it-IT"/>
        </w:rPr>
        <w:t>;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 </w:t>
      </w:r>
      <w:r w:rsidR="008A6CF3">
        <w:rPr>
          <w:rFonts w:ascii="Calibri Light" w:hAnsi="Calibri Light" w:cs="Calibri Light"/>
          <w:i/>
          <w:iCs/>
          <w:lang w:val="it-IT"/>
        </w:rPr>
        <w:t xml:space="preserve">se non si vendono </w:t>
      </w:r>
      <w:r w:rsidRPr="00256E83">
        <w:rPr>
          <w:rFonts w:ascii="Calibri Light" w:hAnsi="Calibri Light" w:cs="Calibri Light"/>
          <w:i/>
          <w:iCs/>
          <w:lang w:val="it-IT"/>
        </w:rPr>
        <w:t xml:space="preserve">prodotti </w:t>
      </w:r>
      <w:r w:rsidR="008A6CF3">
        <w:rPr>
          <w:rFonts w:ascii="Calibri Light" w:hAnsi="Calibri Light" w:cs="Calibri Light"/>
          <w:i/>
          <w:iCs/>
          <w:lang w:val="it-IT"/>
        </w:rPr>
        <w:t xml:space="preserve">non si ottiene alcun </w:t>
      </w:r>
      <w:r w:rsidRPr="00256E83">
        <w:rPr>
          <w:rFonts w:ascii="Calibri Light" w:hAnsi="Calibri Light" w:cs="Calibri Light"/>
          <w:i/>
          <w:iCs/>
          <w:lang w:val="it-IT"/>
        </w:rPr>
        <w:t>compenso, che si tratti di una vendita "consigliata" o</w:t>
      </w:r>
      <w:r w:rsidR="008A6CF3">
        <w:rPr>
          <w:rFonts w:ascii="Calibri Light" w:hAnsi="Calibri Light" w:cs="Calibri Light"/>
          <w:i/>
          <w:iCs/>
          <w:lang w:val="it-IT"/>
        </w:rPr>
        <w:t>ppure no</w:t>
      </w:r>
      <w:r w:rsidR="008A6CF3" w:rsidRPr="00256E83">
        <w:rPr>
          <w:rFonts w:ascii="Calibri Light" w:hAnsi="Calibri Light" w:cs="Calibri Light"/>
          <w:lang w:val="it-IT"/>
        </w:rPr>
        <w:t xml:space="preserve"> </w:t>
      </w:r>
      <w:r w:rsidRPr="00256E83">
        <w:rPr>
          <w:rFonts w:ascii="Calibri Light" w:hAnsi="Calibri Light" w:cs="Calibri Light"/>
          <w:lang w:val="it-IT"/>
        </w:rPr>
        <w:t xml:space="preserve">". </w:t>
      </w:r>
    </w:p>
    <w:p w14:paraId="231CE541" w14:textId="6A471539" w:rsidR="0057208C" w:rsidRPr="00256E83" w:rsidRDefault="0070092B">
      <w:pPr>
        <w:jc w:val="both"/>
        <w:rPr>
          <w:lang w:val="it-IT"/>
        </w:rPr>
      </w:pPr>
      <w:r w:rsidRPr="00256E83">
        <w:rPr>
          <w:rFonts w:ascii="Calibri Light" w:hAnsi="Calibri Light" w:cs="Calibri Light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E53B" wp14:editId="5AEA4794">
                <wp:simplePos x="0" y="0"/>
                <wp:positionH relativeFrom="margin">
                  <wp:align>right</wp:align>
                </wp:positionH>
                <wp:positionV relativeFrom="paragraph">
                  <wp:posOffset>1282061</wp:posOffset>
                </wp:positionV>
                <wp:extent cx="5715000" cy="3028950"/>
                <wp:effectExtent l="0" t="0" r="19050" b="1905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1CE541" w14:textId="0C3B282E" w:rsidR="0057208C" w:rsidRPr="008A6CF3" w:rsidRDefault="0070092B">
                            <w:pPr>
                              <w:rPr>
                                <w:rFonts w:ascii="Calibri Light" w:hAnsi="Calibri Light" w:cs="Calibri Light"/>
                                <w:lang w:val="it-IT"/>
                              </w:rPr>
                            </w:pP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Se le lobby del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settore 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si riveleranno ancora una volta troppo potenti perché le autorità dell'UE possano vietare completamente gli incentivi 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–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anche se le autorità del Regno Unito e dei Paesi Bassi sono state in grado di farlo 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–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noi chiediamo, come minimo, 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che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:</w:t>
                            </w:r>
                          </w:p>
                          <w:p w14:paraId="231CE542" w14:textId="4E6659F9" w:rsidR="0057208C" w:rsidRPr="008A6CF3" w:rsidRDefault="0070092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 Light" w:hAnsi="Calibri Light" w:cs="Calibri Light"/>
                                <w:lang w:val="it-IT"/>
                              </w:rPr>
                            </w:pP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i divieti specifici esistenti nella </w:t>
                            </w:r>
                            <w:proofErr w:type="spellStart"/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M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i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FID</w:t>
                            </w:r>
                            <w:proofErr w:type="spellEnd"/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II s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ia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no estesi a tutti i prodotti d'investimento 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alternativi 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per garantire una protezione coerente degli investitori 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per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tutti i prodotti d'investimento "al dettaglio" e porre fine all'arbitraggio normativo, estendendo l'attuale divieto 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sugl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i incentivi per i consulenti indipendenti e per la gestione d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i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portafogli anche agli IBIP e alle pensioni 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individuali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(modificando quindi la </w:t>
                            </w:r>
                            <w:r w:rsidR="002B10D6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d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irettiva sulla distribuzione assicura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tiva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): 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l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'ESMA concorda sul fatto che prodotti d'investimento simili dovrebbero avere le stesse regole di incentivazione;</w:t>
                            </w:r>
                          </w:p>
                          <w:p w14:paraId="231CE543" w14:textId="6607DCC5" w:rsidR="0057208C" w:rsidRPr="008A6CF3" w:rsidRDefault="0070092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 Light" w:hAnsi="Calibri Light" w:cs="Calibri Light"/>
                                <w:lang w:val="it-IT"/>
                              </w:rPr>
                            </w:pPr>
                            <w:proofErr w:type="gramStart"/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il</w:t>
                            </w:r>
                            <w:proofErr w:type="gramEnd"/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divieto esiste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nte sia esteso alle transazioni "puramente 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esecu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tiv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e" dove, per definizione, non c'è 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alcuna 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"cons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ulenza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" da 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ri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compensare, come è stato fatto dal Canada: non c'è motivo di mantenere le commissioni per tali transazioni;</w:t>
                            </w:r>
                          </w:p>
                          <w:p w14:paraId="231CE544" w14:textId="24A33EAD" w:rsidR="0057208C" w:rsidRPr="00502A5A" w:rsidRDefault="0070092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 Light" w:hAnsi="Calibri Light" w:cs="Calibri Light"/>
                                <w:lang w:val="it-IT"/>
                              </w:rPr>
                            </w:pP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veng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a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no rimosse le attuali barriere alla consulenza indipendente (i consulenti indipendenti devono essere in grado di accedere facilmente a "c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ategorie 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pulite" di fondi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,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e </w:t>
                            </w:r>
                            <w:r w:rsid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i depositari e le piattaforme di fondi </w:t>
                            </w:r>
                            <w:r w:rsidRPr="008A6CF3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non </w:t>
                            </w:r>
                            <w:r w:rsidRP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devono addebita</w:t>
                            </w:r>
                            <w:r w:rsidR="00502A5A" w:rsidRP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r</w:t>
                            </w:r>
                            <w:r w:rsidRP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e</w:t>
                            </w:r>
                            <w:r w:rsidR="00502A5A" w:rsidRP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loro</w:t>
                            </w:r>
                            <w:r w:rsidRP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le </w:t>
                            </w:r>
                            <w:r w:rsidR="009651AB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commissioni di sottoscrizione </w:t>
                            </w:r>
                            <w:r w:rsidRP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massime (che non sono richieste dai </w:t>
                            </w:r>
                            <w:r w:rsidR="009651AB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–</w:t>
                            </w:r>
                            <w:r w:rsidRP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e per </w:t>
                            </w:r>
                            <w:r w:rsidR="009651AB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>–</w:t>
                            </w:r>
                            <w:r w:rsidRPr="00502A5A">
                              <w:rPr>
                                <w:rFonts w:ascii="Calibri Light" w:hAnsi="Calibri Light" w:cs="Calibri Light"/>
                                <w:lang w:val="it-IT"/>
                              </w:rPr>
                              <w:t xml:space="preserve"> i gestori dei fondi).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CE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100.95pt;width:450pt;height:23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" strokeweight=".26467mm">
                <v:textbox>
                  <w:txbxContent>
                    <w:p w14:paraId="231CE541" w14:textId="0C3B282E" w:rsidR="0057208C" w:rsidRPr="008A6CF3" w:rsidRDefault="0070092B">
                      <w:pPr>
                        <w:rPr>
                          <w:rFonts w:ascii="Calibri Light" w:hAnsi="Calibri Light" w:cs="Calibri Light"/>
                          <w:lang w:val="it-IT"/>
                        </w:rPr>
                      </w:pP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Se le lobby del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 xml:space="preserve"> settore 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si riveleranno ancora una volta troppo potenti perché le autorità dell'UE possano vietare completamente gli incentivi 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>–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 anche se le autorità del Regno Unito e dei Paesi Bassi sono state in grado di farlo 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>–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 noi chiediamo, come minimo, 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>che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:</w:t>
                      </w:r>
                    </w:p>
                    <w:p w14:paraId="231CE542" w14:textId="4E6659F9" w:rsidR="0057208C" w:rsidRPr="008A6CF3" w:rsidRDefault="0070092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alibri Light" w:hAnsi="Calibri Light" w:cs="Calibri Light"/>
                          <w:lang w:val="it-IT"/>
                        </w:rPr>
                      </w:pP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i divieti specifici esistenti nella </w:t>
                      </w:r>
                      <w:proofErr w:type="spellStart"/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M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>i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FID</w:t>
                      </w:r>
                      <w:proofErr w:type="spellEnd"/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 II s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>ia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no estesi a tutti i prodotti d'investimento 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 xml:space="preserve">alternativi 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per garantire una protezione coerente degli investitori 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>per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 tutti i prodotti d'investimento "al dettaglio" e porre fine all'arbitraggio normativo, estendendo l'attuale divieto 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>sugl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i incentivi per i consulenti indipendenti e per la gestione d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>i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 portafogli anche agli IBIP e alle pensioni 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>individuali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 (modificando quindi la </w:t>
                      </w:r>
                      <w:r w:rsidR="002B10D6">
                        <w:rPr>
                          <w:rFonts w:ascii="Calibri Light" w:hAnsi="Calibri Light" w:cs="Calibri Light"/>
                          <w:lang w:val="it-IT"/>
                        </w:rPr>
                        <w:t>d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irettiva sulla distribuzione assicura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>tiva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): 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>l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'ESMA concorda sul fatto che prodotti d'investimento simili dovrebbero avere le stesse regole di incentivazione;</w:t>
                      </w:r>
                    </w:p>
                    <w:p w14:paraId="231CE543" w14:textId="6607DCC5" w:rsidR="0057208C" w:rsidRPr="008A6CF3" w:rsidRDefault="0070092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alibri Light" w:hAnsi="Calibri Light" w:cs="Calibri Light"/>
                          <w:lang w:val="it-IT"/>
                        </w:rPr>
                      </w:pPr>
                      <w:proofErr w:type="gramStart"/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il</w:t>
                      </w:r>
                      <w:proofErr w:type="gramEnd"/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 divieto esiste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 xml:space="preserve">nte sia esteso alle transazioni "puramente 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esecu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>tiv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e" dove, per definizione, non c'è 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 xml:space="preserve">alcuna 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"cons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>ulenza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" da 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>ri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compensare, come è stato fatto dal Canada: non c'è motivo di mantenere le commissioni per tali transazioni;</w:t>
                      </w:r>
                    </w:p>
                    <w:p w14:paraId="231CE544" w14:textId="24A33EAD" w:rsidR="0057208C" w:rsidRPr="00502A5A" w:rsidRDefault="0070092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alibri Light" w:hAnsi="Calibri Light" w:cs="Calibri Light"/>
                          <w:lang w:val="it-IT"/>
                        </w:rPr>
                      </w:pP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veng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>a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no rimosse le attuali barriere alla consulenza indipendente (i consulenti indipendenti devono essere in grado di accedere facilmente a "c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 xml:space="preserve">ategorie 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>pulite" di fondi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>,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 e </w:t>
                      </w:r>
                      <w:r w:rsidR="00502A5A">
                        <w:rPr>
                          <w:rFonts w:ascii="Calibri Light" w:hAnsi="Calibri Light" w:cs="Calibri Light"/>
                          <w:lang w:val="it-IT"/>
                        </w:rPr>
                        <w:t xml:space="preserve">i depositari e le piattaforme di fondi </w:t>
                      </w:r>
                      <w:r w:rsidRPr="008A6CF3">
                        <w:rPr>
                          <w:rFonts w:ascii="Calibri Light" w:hAnsi="Calibri Light" w:cs="Calibri Light"/>
                          <w:lang w:val="it-IT"/>
                        </w:rPr>
                        <w:t xml:space="preserve">non </w:t>
                      </w:r>
                      <w:r w:rsidRPr="00502A5A">
                        <w:rPr>
                          <w:rFonts w:ascii="Calibri Light" w:hAnsi="Calibri Light" w:cs="Calibri Light"/>
                          <w:lang w:val="it-IT"/>
                        </w:rPr>
                        <w:t>devono addebita</w:t>
                      </w:r>
                      <w:r w:rsidR="00502A5A" w:rsidRPr="00502A5A">
                        <w:rPr>
                          <w:rFonts w:ascii="Calibri Light" w:hAnsi="Calibri Light" w:cs="Calibri Light"/>
                          <w:lang w:val="it-IT"/>
                        </w:rPr>
                        <w:t>r</w:t>
                      </w:r>
                      <w:r w:rsidRPr="00502A5A">
                        <w:rPr>
                          <w:rFonts w:ascii="Calibri Light" w:hAnsi="Calibri Light" w:cs="Calibri Light"/>
                          <w:lang w:val="it-IT"/>
                        </w:rPr>
                        <w:t>e</w:t>
                      </w:r>
                      <w:r w:rsidR="00502A5A" w:rsidRPr="00502A5A">
                        <w:rPr>
                          <w:rFonts w:ascii="Calibri Light" w:hAnsi="Calibri Light" w:cs="Calibri Light"/>
                          <w:lang w:val="it-IT"/>
                        </w:rPr>
                        <w:t xml:space="preserve"> loro</w:t>
                      </w:r>
                      <w:r w:rsidRPr="00502A5A">
                        <w:rPr>
                          <w:rFonts w:ascii="Calibri Light" w:hAnsi="Calibri Light" w:cs="Calibri Light"/>
                          <w:lang w:val="it-IT"/>
                        </w:rPr>
                        <w:t xml:space="preserve"> le </w:t>
                      </w:r>
                      <w:r w:rsidR="009651AB">
                        <w:rPr>
                          <w:rFonts w:ascii="Calibri Light" w:hAnsi="Calibri Light" w:cs="Calibri Light"/>
                          <w:lang w:val="it-IT"/>
                        </w:rPr>
                        <w:t xml:space="preserve">commissioni di sottoscrizione </w:t>
                      </w:r>
                      <w:r w:rsidRPr="00502A5A">
                        <w:rPr>
                          <w:rFonts w:ascii="Calibri Light" w:hAnsi="Calibri Light" w:cs="Calibri Light"/>
                          <w:lang w:val="it-IT"/>
                        </w:rPr>
                        <w:t xml:space="preserve">massime (che non sono richieste dai </w:t>
                      </w:r>
                      <w:r w:rsidR="009651AB">
                        <w:rPr>
                          <w:rFonts w:ascii="Calibri Light" w:hAnsi="Calibri Light" w:cs="Calibri Light"/>
                          <w:lang w:val="it-IT"/>
                        </w:rPr>
                        <w:t>–</w:t>
                      </w:r>
                      <w:r w:rsidRPr="00502A5A">
                        <w:rPr>
                          <w:rFonts w:ascii="Calibri Light" w:hAnsi="Calibri Light" w:cs="Calibri Light"/>
                          <w:lang w:val="it-IT"/>
                        </w:rPr>
                        <w:t xml:space="preserve"> e per </w:t>
                      </w:r>
                      <w:r w:rsidR="009651AB">
                        <w:rPr>
                          <w:rFonts w:ascii="Calibri Light" w:hAnsi="Calibri Light" w:cs="Calibri Light"/>
                          <w:lang w:val="it-IT"/>
                        </w:rPr>
                        <w:t>–</w:t>
                      </w:r>
                      <w:r w:rsidRPr="00502A5A">
                        <w:rPr>
                          <w:rFonts w:ascii="Calibri Light" w:hAnsi="Calibri Light" w:cs="Calibri Light"/>
                          <w:lang w:val="it-IT"/>
                        </w:rPr>
                        <w:t xml:space="preserve"> i</w:t>
                      </w:r>
                      <w:bookmarkStart w:id="2" w:name="_GoBack"/>
                      <w:bookmarkEnd w:id="2"/>
                      <w:r w:rsidRPr="00502A5A">
                        <w:rPr>
                          <w:rFonts w:ascii="Calibri Light" w:hAnsi="Calibri Light" w:cs="Calibri Light"/>
                          <w:lang w:val="it-IT"/>
                        </w:rPr>
                        <w:t xml:space="preserve"> gestori dei fondi).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E83">
        <w:rPr>
          <w:rFonts w:ascii="Calibri Light" w:hAnsi="Calibri Light" w:cs="Calibri Light"/>
          <w:lang w:val="it-IT"/>
        </w:rPr>
        <w:t>BETTER FINANCE chiede un divieto totale degli incentivi, non solo per i prodotti d'investimento rientran</w:t>
      </w:r>
      <w:r w:rsidR="002B10D6">
        <w:rPr>
          <w:rFonts w:ascii="Calibri Light" w:hAnsi="Calibri Light" w:cs="Calibri Light"/>
          <w:lang w:val="it-IT"/>
        </w:rPr>
        <w:t>ti</w:t>
      </w:r>
      <w:r w:rsidRPr="00256E83">
        <w:rPr>
          <w:rFonts w:ascii="Calibri Light" w:hAnsi="Calibri Light" w:cs="Calibri Light"/>
          <w:lang w:val="it-IT"/>
        </w:rPr>
        <w:t xml:space="preserve"> nell'ambito di applicazione della </w:t>
      </w:r>
      <w:proofErr w:type="spellStart"/>
      <w:r w:rsidRPr="00256E83">
        <w:rPr>
          <w:rFonts w:ascii="Calibri Light" w:hAnsi="Calibri Light" w:cs="Calibri Light"/>
          <w:lang w:val="it-IT"/>
        </w:rPr>
        <w:t>M</w:t>
      </w:r>
      <w:r w:rsidR="002B10D6">
        <w:rPr>
          <w:rFonts w:ascii="Calibri Light" w:hAnsi="Calibri Light" w:cs="Calibri Light"/>
          <w:lang w:val="it-IT"/>
        </w:rPr>
        <w:t>i</w:t>
      </w:r>
      <w:r w:rsidRPr="00256E83">
        <w:rPr>
          <w:rFonts w:ascii="Calibri Light" w:hAnsi="Calibri Light" w:cs="Calibri Light"/>
          <w:lang w:val="it-IT"/>
        </w:rPr>
        <w:t>FID</w:t>
      </w:r>
      <w:proofErr w:type="spellEnd"/>
      <w:r w:rsidRPr="00256E83">
        <w:rPr>
          <w:rFonts w:ascii="Calibri Light" w:hAnsi="Calibri Light" w:cs="Calibri Light"/>
          <w:lang w:val="it-IT"/>
        </w:rPr>
        <w:t xml:space="preserve"> II (principalmente i fondi d'investimento, che rappresentano solo l'8% circa del risparmio finanziario delle famiglie), ma per tutti gli altri prodotti d'investimento "al dettaglio" come gli "IBIP" (prodotti d</w:t>
      </w:r>
      <w:r w:rsidR="002B10D6">
        <w:rPr>
          <w:rFonts w:ascii="Calibri Light" w:hAnsi="Calibri Light" w:cs="Calibri Light"/>
          <w:lang w:val="it-IT"/>
        </w:rPr>
        <w:t>’</w:t>
      </w:r>
      <w:r w:rsidRPr="00256E83">
        <w:rPr>
          <w:rFonts w:ascii="Calibri Light" w:hAnsi="Calibri Light" w:cs="Calibri Light"/>
          <w:lang w:val="it-IT"/>
        </w:rPr>
        <w:t>investimento assicura</w:t>
      </w:r>
      <w:r w:rsidR="002B10D6">
        <w:rPr>
          <w:rFonts w:ascii="Calibri Light" w:hAnsi="Calibri Light" w:cs="Calibri Light"/>
          <w:lang w:val="it-IT"/>
        </w:rPr>
        <w:t>tiv</w:t>
      </w:r>
      <w:r w:rsidRPr="00256E83">
        <w:rPr>
          <w:rFonts w:ascii="Calibri Light" w:hAnsi="Calibri Light" w:cs="Calibri Light"/>
          <w:lang w:val="it-IT"/>
        </w:rPr>
        <w:t xml:space="preserve">i) e </w:t>
      </w:r>
      <w:r w:rsidR="002B10D6">
        <w:rPr>
          <w:rFonts w:ascii="Calibri Light" w:hAnsi="Calibri Light" w:cs="Calibri Light"/>
          <w:lang w:val="it-IT"/>
        </w:rPr>
        <w:t>le polizze individuali pensionistiche</w:t>
      </w:r>
      <w:r w:rsidRPr="00256E83">
        <w:rPr>
          <w:rFonts w:ascii="Calibri Light" w:hAnsi="Calibri Light" w:cs="Calibri Light"/>
          <w:lang w:val="it-IT"/>
        </w:rPr>
        <w:t xml:space="preserve">, che nel complesso sono cinque volte superiori. </w:t>
      </w:r>
      <w:r w:rsidR="002B10D6">
        <w:rPr>
          <w:rFonts w:ascii="Calibri Light" w:hAnsi="Calibri Light" w:cs="Calibri Light"/>
          <w:lang w:val="it-IT"/>
        </w:rPr>
        <w:t>C’è</w:t>
      </w:r>
      <w:r w:rsidRPr="00256E83">
        <w:rPr>
          <w:rFonts w:ascii="Calibri Light" w:hAnsi="Calibri Light" w:cs="Calibri Light"/>
          <w:lang w:val="it-IT"/>
        </w:rPr>
        <w:t xml:space="preserve"> già un </w:t>
      </w:r>
      <w:r w:rsidR="002B10D6">
        <w:rPr>
          <w:rFonts w:ascii="Calibri Light" w:hAnsi="Calibri Light" w:cs="Calibri Light"/>
          <w:lang w:val="it-IT"/>
        </w:rPr>
        <w:t xml:space="preserve">enorme </w:t>
      </w:r>
      <w:r w:rsidRPr="00256E83">
        <w:rPr>
          <w:rFonts w:ascii="Calibri Light" w:hAnsi="Calibri Light" w:cs="Calibri Light"/>
          <w:lang w:val="it-IT"/>
        </w:rPr>
        <w:t xml:space="preserve">arbitraggio normativo </w:t>
      </w:r>
      <w:r w:rsidR="002B10D6">
        <w:rPr>
          <w:rFonts w:ascii="Calibri Light" w:hAnsi="Calibri Light" w:cs="Calibri Light"/>
          <w:lang w:val="it-IT"/>
        </w:rPr>
        <w:t xml:space="preserve">per </w:t>
      </w:r>
      <w:r w:rsidRPr="00256E83">
        <w:rPr>
          <w:rFonts w:ascii="Calibri Light" w:hAnsi="Calibri Light" w:cs="Calibri Light"/>
          <w:lang w:val="it-IT"/>
        </w:rPr>
        <w:t xml:space="preserve">questa grave e </w:t>
      </w:r>
      <w:r w:rsidR="002B10D6">
        <w:rPr>
          <w:rFonts w:ascii="Calibri Light" w:hAnsi="Calibri Light" w:cs="Calibri Light"/>
          <w:lang w:val="it-IT"/>
        </w:rPr>
        <w:t xml:space="preserve">pericolosa </w:t>
      </w:r>
      <w:r w:rsidRPr="00256E83">
        <w:rPr>
          <w:rFonts w:ascii="Calibri Light" w:hAnsi="Calibri Light" w:cs="Calibri Light"/>
          <w:lang w:val="it-IT"/>
        </w:rPr>
        <w:t xml:space="preserve">incoerenza </w:t>
      </w:r>
      <w:r w:rsidR="002B10D6">
        <w:rPr>
          <w:rFonts w:ascii="Calibri Light" w:hAnsi="Calibri Light" w:cs="Calibri Light"/>
          <w:lang w:val="it-IT"/>
        </w:rPr>
        <w:t>n</w:t>
      </w:r>
      <w:r w:rsidRPr="00256E83">
        <w:rPr>
          <w:rFonts w:ascii="Calibri Light" w:hAnsi="Calibri Light" w:cs="Calibri Light"/>
          <w:lang w:val="it-IT"/>
        </w:rPr>
        <w:t xml:space="preserve">elle norme </w:t>
      </w:r>
      <w:r w:rsidR="002B10D6">
        <w:rPr>
          <w:rFonts w:ascii="Calibri Light" w:hAnsi="Calibri Light" w:cs="Calibri Light"/>
          <w:lang w:val="it-IT"/>
        </w:rPr>
        <w:t>comunitarie</w:t>
      </w:r>
      <w:r w:rsidRPr="00256E83">
        <w:rPr>
          <w:rFonts w:ascii="Calibri Light" w:hAnsi="Calibri Light" w:cs="Calibri Light"/>
          <w:lang w:val="it-IT"/>
        </w:rPr>
        <w:t xml:space="preserve"> a tutela degli investitori. </w:t>
      </w:r>
    </w:p>
    <w:p w14:paraId="231CE542" w14:textId="77777777" w:rsidR="0057208C" w:rsidRPr="00256E83" w:rsidRDefault="0070092B">
      <w:pPr>
        <w:spacing w:after="0" w:line="264" w:lineRule="auto"/>
        <w:jc w:val="center"/>
        <w:rPr>
          <w:rFonts w:ascii="Calibri Light" w:hAnsi="Calibri Light" w:cs="Calibri Light"/>
          <w:lang w:val="it-IT"/>
        </w:rPr>
      </w:pPr>
      <w:r w:rsidRPr="00256E83">
        <w:rPr>
          <w:rFonts w:ascii="Calibri Light" w:hAnsi="Calibri Light" w:cs="Calibri Light"/>
          <w:lang w:val="it-IT"/>
        </w:rPr>
        <w:t>***</w:t>
      </w:r>
    </w:p>
    <w:p w14:paraId="231CE543" w14:textId="77777777" w:rsidR="0057208C" w:rsidRPr="00256E83" w:rsidRDefault="0070092B">
      <w:pPr>
        <w:pStyle w:val="Corpotesto"/>
        <w:spacing w:before="120" w:after="0" w:line="30" w:lineRule="atLeast"/>
        <w:jc w:val="center"/>
        <w:rPr>
          <w:lang w:val="it-IT"/>
        </w:rPr>
      </w:pPr>
      <w:r w:rsidRPr="00256E83">
        <w:rPr>
          <w:rFonts w:ascii="Calibri Light" w:hAnsi="Calibri Light" w:cs="Calibri Light"/>
          <w:sz w:val="18"/>
          <w:szCs w:val="18"/>
          <w:u w:val="single"/>
          <w:lang w:val="it-IT"/>
        </w:rPr>
        <w:t>Contatto</w:t>
      </w:r>
      <w:r w:rsidRPr="00256E83">
        <w:rPr>
          <w:rFonts w:ascii="Calibri Light" w:hAnsi="Calibri Light" w:cs="Calibri Light"/>
          <w:sz w:val="18"/>
          <w:szCs w:val="18"/>
          <w:lang w:val="it-IT"/>
        </w:rPr>
        <w:t xml:space="preserve">: Direttore delle comunicazioni ǀ </w:t>
      </w:r>
      <w:proofErr w:type="spellStart"/>
      <w:r w:rsidRPr="00256E83">
        <w:rPr>
          <w:rFonts w:ascii="Calibri Light" w:hAnsi="Calibri Light" w:cs="Calibri Light"/>
          <w:sz w:val="18"/>
          <w:szCs w:val="18"/>
          <w:lang w:val="it-IT"/>
        </w:rPr>
        <w:t>Arnaud</w:t>
      </w:r>
      <w:proofErr w:type="spellEnd"/>
      <w:r w:rsidRPr="00256E83">
        <w:rPr>
          <w:rFonts w:ascii="Calibri Light" w:hAnsi="Calibri Light" w:cs="Calibri Light"/>
          <w:sz w:val="18"/>
          <w:szCs w:val="18"/>
          <w:lang w:val="it-IT"/>
        </w:rPr>
        <w:t xml:space="preserve"> </w:t>
      </w:r>
      <w:proofErr w:type="spellStart"/>
      <w:r w:rsidRPr="00256E83">
        <w:rPr>
          <w:rFonts w:ascii="Calibri Light" w:hAnsi="Calibri Light" w:cs="Calibri Light"/>
          <w:sz w:val="18"/>
          <w:szCs w:val="18"/>
          <w:lang w:val="it-IT"/>
        </w:rPr>
        <w:t>Houdmont</w:t>
      </w:r>
      <w:proofErr w:type="spellEnd"/>
      <w:r w:rsidRPr="00256E83">
        <w:rPr>
          <w:rFonts w:ascii="Calibri Light" w:hAnsi="Calibri Light" w:cs="Calibri Light"/>
          <w:sz w:val="18"/>
          <w:szCs w:val="18"/>
          <w:lang w:val="it-IT"/>
        </w:rPr>
        <w:t xml:space="preserve"> ǀ +32 (0)2 514 37 77 ǀ </w:t>
      </w:r>
      <w:hyperlink r:id="rId11" w:history="1">
        <w:r w:rsidRPr="00256E83">
          <w:rPr>
            <w:rStyle w:val="Collegamentoipertestuale"/>
            <w:rFonts w:ascii="Calibri Light" w:hAnsi="Calibri Light" w:cs="Calibri Light"/>
            <w:sz w:val="18"/>
            <w:szCs w:val="18"/>
            <w:lang w:val="it-IT"/>
          </w:rPr>
          <w:t>houdmont@betterfinance.eu</w:t>
        </w:r>
      </w:hyperlink>
    </w:p>
    <w:sectPr w:rsidR="0057208C" w:rsidRPr="00256E8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41CF3" w14:textId="77777777" w:rsidR="00FD2543" w:rsidRDefault="00FD2543">
      <w:pPr>
        <w:spacing w:after="0" w:line="240" w:lineRule="auto"/>
      </w:pPr>
      <w:r>
        <w:separator/>
      </w:r>
    </w:p>
  </w:endnote>
  <w:endnote w:type="continuationSeparator" w:id="0">
    <w:p w14:paraId="461F8125" w14:textId="77777777" w:rsidR="00FD2543" w:rsidRDefault="00FD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CE54A" w14:textId="77777777" w:rsidR="00461850" w:rsidRDefault="0070092B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en-US"/>
      </w:rPr>
    </w:pPr>
    <w:r>
      <w:rPr>
        <w:b/>
        <w:color w:val="006FB4"/>
        <w:sz w:val="16"/>
        <w:szCs w:val="16"/>
        <w:lang w:val="en-US"/>
      </w:rPr>
      <w:t xml:space="preserve">La </w:t>
    </w:r>
    <w:proofErr w:type="spellStart"/>
    <w:r>
      <w:rPr>
        <w:b/>
        <w:color w:val="006FB4"/>
        <w:sz w:val="16"/>
        <w:szCs w:val="16"/>
        <w:lang w:val="en-US"/>
      </w:rPr>
      <w:t>Federazione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europea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degli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investitori</w:t>
    </w:r>
    <w:proofErr w:type="spellEnd"/>
    <w:r>
      <w:rPr>
        <w:b/>
        <w:color w:val="006FB4"/>
        <w:sz w:val="16"/>
        <w:szCs w:val="16"/>
        <w:lang w:val="en-US"/>
      </w:rPr>
      <w:t xml:space="preserve"> e </w:t>
    </w:r>
    <w:proofErr w:type="spellStart"/>
    <w:r>
      <w:rPr>
        <w:b/>
        <w:color w:val="006FB4"/>
        <w:sz w:val="16"/>
        <w:szCs w:val="16"/>
        <w:lang w:val="en-US"/>
      </w:rPr>
      <w:t>degli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utenti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dei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servizi</w:t>
    </w:r>
    <w:proofErr w:type="spellEnd"/>
    <w:r>
      <w:rPr>
        <w:b/>
        <w:color w:val="006FB4"/>
        <w:sz w:val="16"/>
        <w:szCs w:val="16"/>
        <w:lang w:val="en-US"/>
      </w:rPr>
      <w:t xml:space="preserve"> </w:t>
    </w:r>
    <w:proofErr w:type="spellStart"/>
    <w:r>
      <w:rPr>
        <w:b/>
        <w:color w:val="006FB4"/>
        <w:sz w:val="16"/>
        <w:szCs w:val="16"/>
        <w:lang w:val="en-US"/>
      </w:rPr>
      <w:t>finanziari</w:t>
    </w:r>
    <w:proofErr w:type="spellEnd"/>
  </w:p>
  <w:p w14:paraId="231CE54B" w14:textId="77777777" w:rsidR="00461850" w:rsidRDefault="0070092B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 xml:space="preserve">44, Rue </w:t>
    </w:r>
    <w:proofErr w:type="spellStart"/>
    <w:r>
      <w:rPr>
        <w:color w:val="006FB4"/>
        <w:sz w:val="16"/>
        <w:szCs w:val="16"/>
        <w:lang w:val="de-DE"/>
      </w:rPr>
      <w:t>d'Arenberg</w:t>
    </w:r>
    <w:proofErr w:type="spellEnd"/>
    <w:r>
      <w:rPr>
        <w:color w:val="006FB4"/>
        <w:sz w:val="16"/>
        <w:szCs w:val="16"/>
        <w:lang w:val="de-DE"/>
      </w:rPr>
      <w:t xml:space="preserve">, 1000 Bruxelles - </w:t>
    </w:r>
    <w:proofErr w:type="spellStart"/>
    <w:r>
      <w:rPr>
        <w:color w:val="006FB4"/>
        <w:sz w:val="16"/>
        <w:szCs w:val="16"/>
        <w:lang w:val="de-DE"/>
      </w:rPr>
      <w:t>Belgio</w:t>
    </w:r>
    <w:proofErr w:type="spellEnd"/>
  </w:p>
  <w:p w14:paraId="231CE54C" w14:textId="77777777" w:rsidR="00461850" w:rsidRDefault="0070092B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de-DE"/>
      </w:rPr>
      <w:t xml:space="preserve">Tel.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231CE54D" w14:textId="77777777" w:rsidR="00461850" w:rsidRDefault="0070092B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pt-PT"/>
      </w:rPr>
      <w:t xml:space="preserve">E-mail: info@betterfinance.eu - </w:t>
    </w:r>
    <w:bookmarkStart w:id="2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color w:val="006FB4"/>
        <w:sz w:val="16"/>
        <w:szCs w:val="16"/>
        <w:u w:val="single"/>
        <w:lang w:val="it-IT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FB964" w14:textId="77777777" w:rsidR="00FD2543" w:rsidRDefault="00FD25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708ACC" w14:textId="77777777" w:rsidR="00FD2543" w:rsidRDefault="00FD2543">
      <w:pPr>
        <w:spacing w:after="0" w:line="240" w:lineRule="auto"/>
      </w:pPr>
      <w:r>
        <w:continuationSeparator/>
      </w:r>
    </w:p>
  </w:footnote>
  <w:footnote w:id="1">
    <w:p w14:paraId="231CE53F" w14:textId="6382E925" w:rsidR="0057208C" w:rsidRPr="00C64596" w:rsidRDefault="0070092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rFonts w:ascii="Calibri Light" w:hAnsi="Calibri Light" w:cs="Calibri Light"/>
        </w:rPr>
        <w:t xml:space="preserve"> "</w:t>
      </w:r>
      <w:r w:rsidRPr="00C64596">
        <w:rPr>
          <w:rFonts w:ascii="Calibri Light" w:hAnsi="Calibri Light" w:cs="Calibri Light"/>
          <w:lang w:val="it-IT"/>
        </w:rPr>
        <w:t>In</w:t>
      </w:r>
      <w:r w:rsidR="00C64596">
        <w:rPr>
          <w:rFonts w:ascii="Calibri Light" w:hAnsi="Calibri Light" w:cs="Calibri Light"/>
          <w:lang w:val="it-IT"/>
        </w:rPr>
        <w:t>centivo</w:t>
      </w:r>
      <w:r w:rsidRPr="00C64596">
        <w:rPr>
          <w:rFonts w:ascii="Calibri Light" w:hAnsi="Calibri Light" w:cs="Calibri Light"/>
          <w:lang w:val="it-IT"/>
        </w:rPr>
        <w:t xml:space="preserve">" è </w:t>
      </w:r>
      <w:proofErr w:type="gramStart"/>
      <w:r w:rsidRPr="00C64596">
        <w:rPr>
          <w:rFonts w:ascii="Calibri Light" w:hAnsi="Calibri Light" w:cs="Calibri Light"/>
          <w:lang w:val="it-IT"/>
        </w:rPr>
        <w:t>il</w:t>
      </w:r>
      <w:proofErr w:type="gramEnd"/>
      <w:r w:rsidRPr="00C64596">
        <w:rPr>
          <w:rFonts w:ascii="Calibri Light" w:hAnsi="Calibri Light" w:cs="Calibri Light"/>
          <w:lang w:val="it-IT"/>
        </w:rPr>
        <w:t xml:space="preserve"> termine legale poco chiaro utilizzato nel diritto comunitario per designare i vantaggi (essenzialmente commissioni) pagati dai fornitori ai distributori per la vendita di alcuni dei loro prodotti d'investimento.</w:t>
      </w:r>
    </w:p>
  </w:footnote>
  <w:footnote w:id="2">
    <w:p w14:paraId="231CE540" w14:textId="76640A93" w:rsidR="0057208C" w:rsidRPr="00C64596" w:rsidRDefault="0070092B">
      <w:pPr>
        <w:pStyle w:val="Testonotaapidipagina"/>
        <w:rPr>
          <w:lang w:val="it-IT"/>
        </w:rPr>
      </w:pPr>
      <w:r w:rsidRPr="00C64596">
        <w:rPr>
          <w:rStyle w:val="Rimandonotaapidipagina"/>
          <w:lang w:val="it-IT"/>
        </w:rPr>
        <w:footnoteRef/>
      </w:r>
      <w:r w:rsidRPr="00C64596">
        <w:rPr>
          <w:rFonts w:ascii="Calibri Light" w:hAnsi="Calibri Light" w:cs="Calibri Light"/>
          <w:lang w:val="it-IT"/>
        </w:rPr>
        <w:t xml:space="preserve"> BETTER FINANCE </w:t>
      </w:r>
      <w:hyperlink r:id="rId1" w:history="1">
        <w:r w:rsidR="00C64596">
          <w:rPr>
            <w:rStyle w:val="Collegamentoipertestuale"/>
            <w:rFonts w:ascii="Calibri Light" w:hAnsi="Calibri Light" w:cs="Calibri Light"/>
            <w:lang w:val="it-IT"/>
          </w:rPr>
          <w:t>Relazione di ricerca</w:t>
        </w:r>
      </w:hyperlink>
      <w:r w:rsidR="00C64596">
        <w:rPr>
          <w:rFonts w:ascii="Calibri Light" w:hAnsi="Calibri Light" w:cs="Calibri Light"/>
          <w:lang w:val="it-IT"/>
        </w:rPr>
        <w:t xml:space="preserve"> “</w:t>
      </w:r>
      <w:proofErr w:type="spellStart"/>
      <w:r w:rsidRPr="00C64596">
        <w:rPr>
          <w:rFonts w:ascii="Calibri Light" w:hAnsi="Calibri Light" w:cs="Calibri Light"/>
          <w:lang w:val="it-IT"/>
        </w:rPr>
        <w:t>Pension</w:t>
      </w:r>
      <w:proofErr w:type="spellEnd"/>
      <w:r w:rsidRPr="00C64596">
        <w:rPr>
          <w:rFonts w:ascii="Calibri Light" w:hAnsi="Calibri Light" w:cs="Calibri Light"/>
          <w:lang w:val="it-IT"/>
        </w:rPr>
        <w:t xml:space="preserve"> </w:t>
      </w:r>
      <w:proofErr w:type="spellStart"/>
      <w:r w:rsidRPr="00C64596">
        <w:rPr>
          <w:rFonts w:ascii="Calibri Light" w:hAnsi="Calibri Light" w:cs="Calibri Light"/>
          <w:lang w:val="it-IT"/>
        </w:rPr>
        <w:t>Savings</w:t>
      </w:r>
      <w:proofErr w:type="spellEnd"/>
      <w:r w:rsidRPr="00C64596">
        <w:rPr>
          <w:rFonts w:ascii="Calibri Light" w:hAnsi="Calibri Light" w:cs="Calibri Light"/>
          <w:lang w:val="it-IT"/>
        </w:rPr>
        <w:t xml:space="preserve"> - The Real Return", edizione 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CE545" w14:textId="77777777" w:rsidR="00461850" w:rsidRDefault="0070092B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31CE53D" wp14:editId="231CE53E">
          <wp:simplePos x="0" y="0"/>
          <wp:positionH relativeFrom="margin">
            <wp:posOffset>2564133</wp:posOffset>
          </wp:positionH>
          <wp:positionV relativeFrom="paragraph">
            <wp:posOffset>-265432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31CE546" w14:textId="77777777" w:rsidR="00461850" w:rsidRDefault="00FD2543">
    <w:pPr>
      <w:pStyle w:val="Intestazione"/>
    </w:pPr>
  </w:p>
  <w:p w14:paraId="231CE547" w14:textId="77777777" w:rsidR="00461850" w:rsidRDefault="00FD2543">
    <w:pPr>
      <w:pStyle w:val="Intestazione"/>
      <w:rPr>
        <w:sz w:val="12"/>
        <w:szCs w:val="12"/>
      </w:rPr>
    </w:pPr>
  </w:p>
  <w:p w14:paraId="231CE548" w14:textId="77777777" w:rsidR="00461850" w:rsidRDefault="00FD2543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80BE3"/>
    <w:multiLevelType w:val="multilevel"/>
    <w:tmpl w:val="88D4C0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CDF02F8"/>
    <w:multiLevelType w:val="multilevel"/>
    <w:tmpl w:val="2BE0B8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8C"/>
    <w:rsid w:val="000C4EBD"/>
    <w:rsid w:val="00256E83"/>
    <w:rsid w:val="002B10D6"/>
    <w:rsid w:val="00356D54"/>
    <w:rsid w:val="00502A5A"/>
    <w:rsid w:val="0057208C"/>
    <w:rsid w:val="0067693F"/>
    <w:rsid w:val="006E15F7"/>
    <w:rsid w:val="0070092B"/>
    <w:rsid w:val="00705B0B"/>
    <w:rsid w:val="008A6CF3"/>
    <w:rsid w:val="009651AB"/>
    <w:rsid w:val="00C64596"/>
    <w:rsid w:val="00D62C9D"/>
    <w:rsid w:val="00DF3284"/>
    <w:rsid w:val="00E22931"/>
    <w:rsid w:val="00E82782"/>
    <w:rsid w:val="00E94D5C"/>
    <w:rsid w:val="00EF38CD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E534"/>
  <w15:docId w15:val="{B211A0FF-FD65-4898-8B49-253A5DF5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Carpredefinitoparagrafo"/>
  </w:style>
  <w:style w:type="paragraph" w:styleId="Pidipagina">
    <w:name w:val="footer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Carpredefinitoparagrafo"/>
  </w:style>
  <w:style w:type="paragraph" w:styleId="Corpotesto">
    <w:name w:val="Body Text"/>
    <w:basedOn w:val="Normale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Carpredefinitoparagrafo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Carpredefinitoparagrafo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Testofumetto">
    <w:name w:val="Balloon Text"/>
    <w:basedOn w:val="Normal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Carpredefinitoparagrafo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Heading2Char">
    <w:name w:val="Heading 2 Char"/>
    <w:basedOn w:val="Carpredefinitoparagrafo"/>
    <w:rPr>
      <w:rFonts w:ascii="Cambria" w:eastAsia="SimSun" w:hAnsi="Cambria" w:cs="Times New Roman"/>
      <w:color w:val="365F91"/>
      <w:sz w:val="26"/>
      <w:szCs w:val="26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Heading1Char">
    <w:name w:val="Heading 1 Char"/>
    <w:basedOn w:val="Carpredefinitoparagrafo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tlid-translation">
    <w:name w:val="tlid-translation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udmont@betterfinance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sma.europa.eu/sites/default/files/library/esma35-43-2126_technical_advice_on_inducements_and_costs_and_charges_disclosur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etterfinance.eu/publication/pension-savings-the-real-return-2019-edi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D08FF-19C2-4A2C-B0E7-E43CC7236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56294-7886-4C91-A0ED-3EB25EAFA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E9329-3E5A-4730-8AD3-3559533D1E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Houdmont</dc:creator>
  <dc:description/>
  <cp:lastModifiedBy>Angelo Veglia</cp:lastModifiedBy>
  <cp:revision>11</cp:revision>
  <cp:lastPrinted>2019-03-22T09:41:00Z</cp:lastPrinted>
  <dcterms:created xsi:type="dcterms:W3CDTF">2020-12-30T08:54:00Z</dcterms:created>
  <dcterms:modified xsi:type="dcterms:W3CDTF">2021-01-03T09:09:00Z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