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D127" w14:textId="05AB9A67" w:rsidR="00D60B21" w:rsidRPr="009A26C0" w:rsidRDefault="00D60B21">
      <w:pPr>
        <w:rPr>
          <w:lang w:val="it-IT"/>
        </w:rPr>
      </w:pPr>
    </w:p>
    <w:p w14:paraId="5232D128" w14:textId="45404AD7" w:rsidR="00D60B21" w:rsidRPr="009A26C0" w:rsidRDefault="00B91C30">
      <w:pPr>
        <w:pStyle w:val="Titolo2"/>
        <w:spacing w:after="80"/>
        <w:jc w:val="both"/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it-IT"/>
        </w:rPr>
      </w:pPr>
      <w:bookmarkStart w:id="0" w:name="_Hlk4143464"/>
      <w:r w:rsidRPr="009A26C0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it-IT"/>
        </w:rPr>
        <w:t>I cittadini dell'UE</w:t>
      </w:r>
      <w:r w:rsidR="009A26C0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it-IT"/>
        </w:rPr>
        <w:t xml:space="preserve">, in quanto </w:t>
      </w:r>
      <w:r w:rsidRPr="009A26C0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it-IT"/>
        </w:rPr>
        <w:t>utenti</w:t>
      </w:r>
      <w:r w:rsidR="009A26C0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it-IT"/>
        </w:rPr>
        <w:t>,</w:t>
      </w:r>
      <w:r w:rsidRPr="009A26C0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it-IT"/>
        </w:rPr>
        <w:t xml:space="preserve"> </w:t>
      </w:r>
      <w:r w:rsidR="005154AF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it-IT"/>
        </w:rPr>
        <w:t xml:space="preserve">relegati ai margini rispetto al </w:t>
      </w:r>
      <w:r w:rsidR="009A26C0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it-IT"/>
        </w:rPr>
        <w:t>settore finanziario</w:t>
      </w:r>
      <w:r w:rsidRPr="009A26C0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it-IT"/>
        </w:rPr>
        <w:t xml:space="preserve"> nel processo di elaborazione e </w:t>
      </w:r>
      <w:r w:rsidR="009A26C0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it-IT"/>
        </w:rPr>
        <w:t xml:space="preserve">controllo </w:t>
      </w:r>
      <w:r w:rsidRPr="009A26C0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it-IT"/>
        </w:rPr>
        <w:t>delle politiche finanziarie europee</w:t>
      </w:r>
    </w:p>
    <w:p w14:paraId="5232D129" w14:textId="4C4E7FCD" w:rsidR="00D60B21" w:rsidRPr="009A26C0" w:rsidRDefault="00B91C30">
      <w:pPr>
        <w:spacing w:after="120" w:line="240" w:lineRule="auto"/>
        <w:jc w:val="both"/>
        <w:rPr>
          <w:lang w:val="it-IT"/>
        </w:rPr>
      </w:pPr>
      <w:r w:rsidRPr="009A26C0">
        <w:rPr>
          <w:rFonts w:ascii="Calibri Light" w:eastAsia="Times New Roman" w:hAnsi="Calibri Light" w:cs="Calibri Light"/>
          <w:b/>
          <w:bCs/>
          <w:lang w:val="it-IT"/>
        </w:rPr>
        <w:t>Bruxelles, 20 luglio 2020</w:t>
      </w:r>
      <w:bookmarkEnd w:id="0"/>
      <w:r w:rsidRPr="009A26C0">
        <w:rPr>
          <w:rFonts w:ascii="Calibri Light" w:eastAsia="Times New Roman" w:hAnsi="Calibri Light" w:cs="Calibri Light"/>
          <w:b/>
          <w:bCs/>
          <w:lang w:val="it-IT"/>
        </w:rPr>
        <w:t xml:space="preserve"> </w:t>
      </w:r>
      <w:r w:rsidRPr="009A26C0">
        <w:rPr>
          <w:rFonts w:ascii="Calibri Light" w:eastAsia="Times New Roman" w:hAnsi="Calibri Light" w:cs="Calibri Light"/>
          <w:lang w:val="it-IT"/>
        </w:rPr>
        <w:t>- La nuova composizione dei "</w:t>
      </w:r>
      <w:r w:rsidR="009A26C0">
        <w:rPr>
          <w:rFonts w:ascii="Calibri Light" w:eastAsia="Times New Roman" w:hAnsi="Calibri Light" w:cs="Calibri Light"/>
          <w:lang w:val="it-IT"/>
        </w:rPr>
        <w:t>gruppi di soggetti interessati</w:t>
      </w:r>
      <w:r w:rsidRPr="009A26C0">
        <w:rPr>
          <w:rFonts w:ascii="Calibri Light" w:eastAsia="Times New Roman" w:hAnsi="Calibri Light" w:cs="Calibri Light"/>
          <w:lang w:val="it-IT"/>
        </w:rPr>
        <w:t xml:space="preserve">" delle Autorità </w:t>
      </w:r>
      <w:r w:rsidR="00AD1AB6">
        <w:rPr>
          <w:rFonts w:ascii="Calibri Light" w:eastAsia="Times New Roman" w:hAnsi="Calibri Light" w:cs="Calibri Light"/>
          <w:lang w:val="it-IT"/>
        </w:rPr>
        <w:t xml:space="preserve">europee </w:t>
      </w:r>
      <w:r w:rsidRPr="009A26C0">
        <w:rPr>
          <w:rFonts w:ascii="Calibri Light" w:eastAsia="Times New Roman" w:hAnsi="Calibri Light" w:cs="Calibri Light"/>
          <w:lang w:val="it-IT"/>
        </w:rPr>
        <w:t>di vigilanza (</w:t>
      </w:r>
      <w:r w:rsidR="00AD1AB6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>E</w:t>
      </w:r>
      <w:r w:rsidR="00AD1AB6">
        <w:rPr>
          <w:rFonts w:ascii="Calibri Light" w:eastAsia="Times New Roman" w:hAnsi="Calibri Light" w:cs="Calibri Light"/>
          <w:lang w:val="it-IT"/>
        </w:rPr>
        <w:t>V</w:t>
      </w:r>
      <w:r w:rsidRPr="009A26C0">
        <w:rPr>
          <w:rFonts w:ascii="Calibri Light" w:eastAsia="Times New Roman" w:hAnsi="Calibri Light" w:cs="Calibri Light"/>
          <w:lang w:val="it-IT"/>
        </w:rPr>
        <w:t>)</w:t>
      </w:r>
      <w:r w:rsidR="009A26C0" w:rsidRPr="009A26C0">
        <w:rPr>
          <w:rStyle w:val="Rimandonotaapidipagina"/>
          <w:rFonts w:ascii="Calibri Light" w:eastAsia="Times New Roman" w:hAnsi="Calibri Light" w:cs="Calibri Light"/>
          <w:lang w:val="it-IT"/>
        </w:rPr>
        <w:footnoteReference w:id="1"/>
      </w:r>
      <w:r w:rsidRPr="009A26C0">
        <w:rPr>
          <w:rFonts w:ascii="Calibri Light" w:eastAsia="Times New Roman" w:hAnsi="Calibri Light" w:cs="Calibri Light"/>
          <w:lang w:val="it-IT"/>
        </w:rPr>
        <w:t xml:space="preserve"> rappresenta un passo indietro per quanto riguarda una rappresentanza equilibrata tra industria e consumatori nell</w:t>
      </w:r>
      <w:r w:rsidR="009A26C0">
        <w:rPr>
          <w:rFonts w:ascii="Calibri Light" w:eastAsia="Times New Roman" w:hAnsi="Calibri Light" w:cs="Calibri Light"/>
          <w:lang w:val="it-IT"/>
        </w:rPr>
        <w:t>’iter normativo</w:t>
      </w:r>
      <w:r w:rsidRPr="009A26C0">
        <w:rPr>
          <w:rFonts w:ascii="Calibri Light" w:eastAsia="Times New Roman" w:hAnsi="Calibri Light" w:cs="Calibri Light"/>
          <w:lang w:val="it-IT"/>
        </w:rPr>
        <w:t xml:space="preserve"> </w:t>
      </w:r>
      <w:r w:rsidR="009A26C0">
        <w:rPr>
          <w:rFonts w:ascii="Calibri Light" w:eastAsia="Times New Roman" w:hAnsi="Calibri Light" w:cs="Calibri Light"/>
          <w:lang w:val="it-IT"/>
        </w:rPr>
        <w:t xml:space="preserve">finanziario </w:t>
      </w:r>
      <w:r w:rsidRPr="009A26C0">
        <w:rPr>
          <w:rFonts w:ascii="Calibri Light" w:eastAsia="Times New Roman" w:hAnsi="Calibri Light" w:cs="Calibri Light"/>
          <w:lang w:val="it-IT"/>
        </w:rPr>
        <w:t xml:space="preserve">dell'UE. Questo è il risultato della recente </w:t>
      </w:r>
      <w:r w:rsidR="00AD1AB6">
        <w:rPr>
          <w:rFonts w:ascii="Calibri Light" w:eastAsia="Times New Roman" w:hAnsi="Calibri Light" w:cs="Calibri Light"/>
          <w:i/>
          <w:iCs/>
          <w:lang w:val="it-IT"/>
        </w:rPr>
        <w:t>riforma delle AEV</w:t>
      </w:r>
      <w:r w:rsidRPr="009A26C0">
        <w:rPr>
          <w:rFonts w:ascii="Calibri Light" w:eastAsia="Times New Roman" w:hAnsi="Calibri Light" w:cs="Calibri Light"/>
          <w:lang w:val="it-IT"/>
        </w:rPr>
        <w:t>,</w:t>
      </w:r>
      <w:r w:rsidRPr="009A26C0">
        <w:rPr>
          <w:rStyle w:val="Rimandonotaapidipagina"/>
          <w:rFonts w:ascii="Calibri Light" w:eastAsia="Times New Roman" w:hAnsi="Calibri Light" w:cs="Calibri Light"/>
          <w:lang w:val="it-IT"/>
        </w:rPr>
        <w:footnoteReference w:id="2"/>
      </w:r>
      <w:r w:rsidR="009A26C0">
        <w:rPr>
          <w:rFonts w:ascii="Calibri Light" w:eastAsia="Times New Roman" w:hAnsi="Calibri Light" w:cs="Calibri Light"/>
          <w:lang w:val="it-IT"/>
        </w:rPr>
        <w:t xml:space="preserve"> </w:t>
      </w:r>
      <w:r w:rsidRPr="009A26C0">
        <w:rPr>
          <w:rFonts w:ascii="Calibri Light" w:eastAsia="Times New Roman" w:hAnsi="Calibri Light" w:cs="Calibri Light"/>
          <w:lang w:val="it-IT"/>
        </w:rPr>
        <w:t xml:space="preserve">che ha ridotto le quote </w:t>
      </w:r>
      <w:r w:rsidR="009E2A69">
        <w:rPr>
          <w:rFonts w:ascii="Calibri Light" w:eastAsia="Times New Roman" w:hAnsi="Calibri Light" w:cs="Calibri Light"/>
          <w:lang w:val="it-IT"/>
        </w:rPr>
        <w:t xml:space="preserve">destinate a </w:t>
      </w:r>
      <w:r w:rsidRPr="009A26C0">
        <w:rPr>
          <w:rFonts w:ascii="Calibri Light" w:eastAsia="Times New Roman" w:hAnsi="Calibri Light" w:cs="Calibri Light"/>
          <w:lang w:val="it-IT"/>
        </w:rPr>
        <w:t xml:space="preserve">consumatori e </w:t>
      </w:r>
      <w:r w:rsidR="009E2A69">
        <w:rPr>
          <w:rFonts w:ascii="Calibri Light" w:eastAsia="Times New Roman" w:hAnsi="Calibri Light" w:cs="Calibri Light"/>
          <w:lang w:val="it-IT"/>
        </w:rPr>
        <w:t>mondo accademico</w:t>
      </w:r>
      <w:r w:rsidRPr="009A26C0">
        <w:rPr>
          <w:rFonts w:ascii="Calibri Light" w:eastAsia="Times New Roman" w:hAnsi="Calibri Light" w:cs="Calibri Light"/>
          <w:lang w:val="it-IT"/>
        </w:rPr>
        <w:t xml:space="preserve"> a favore delle istituzioni finanziarie (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 xml:space="preserve">industria e "associazioni professionali"). 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D60B21" w:rsidRPr="009A26C0" w14:paraId="5232D12D" w14:textId="77777777">
        <w:tc>
          <w:tcPr>
            <w:tcW w:w="9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2A" w14:textId="4F79453D" w:rsidR="00D60B21" w:rsidRPr="009A26C0" w:rsidRDefault="00B91C30">
            <w:pPr>
              <w:spacing w:after="120" w:line="240" w:lineRule="auto"/>
              <w:ind w:firstLine="426"/>
              <w:jc w:val="both"/>
              <w:rPr>
                <w:lang w:val="it-IT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i/>
                <w:iCs/>
                <w:noProof/>
                <w:lang w:val="it-IT" w:eastAsia="it-IT"/>
              </w:rPr>
              <w:drawing>
                <wp:anchor distT="0" distB="0" distL="114300" distR="114300" simplePos="0" relativeHeight="251658240" behindDoc="0" locked="0" layoutInCell="1" allowOverlap="1" wp14:anchorId="5232D12E" wp14:editId="5232D12F">
                  <wp:simplePos x="0" y="0"/>
                  <wp:positionH relativeFrom="margin">
                    <wp:posOffset>-630</wp:posOffset>
                  </wp:positionH>
                  <wp:positionV relativeFrom="paragraph">
                    <wp:posOffset>35561</wp:posOffset>
                  </wp:positionV>
                  <wp:extent cx="195581" cy="195581"/>
                  <wp:effectExtent l="0" t="0" r="0" b="0"/>
                  <wp:wrapNone/>
                  <wp:docPr id="5" name="Graphic 2" descr="Postit Not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1" cy="195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26C0">
              <w:rPr>
                <w:rFonts w:ascii="Calibri Light" w:eastAsia="Times New Roman" w:hAnsi="Calibri Light" w:cs="Calibri Light"/>
                <w:b/>
                <w:bCs/>
                <w:i/>
                <w:iCs/>
                <w:lang w:val="it-IT"/>
              </w:rPr>
              <w:t xml:space="preserve">FAQ per risparmiatori e </w:t>
            </w:r>
            <w:r w:rsidR="009E2A69">
              <w:rPr>
                <w:rFonts w:ascii="Calibri Light" w:eastAsia="Times New Roman" w:hAnsi="Calibri Light" w:cs="Calibri Light"/>
                <w:b/>
                <w:bCs/>
                <w:i/>
                <w:iCs/>
                <w:lang w:val="it-IT"/>
              </w:rPr>
              <w:t xml:space="preserve">singoli </w:t>
            </w:r>
            <w:r w:rsidRPr="009A26C0">
              <w:rPr>
                <w:rFonts w:ascii="Calibri Light" w:eastAsia="Times New Roman" w:hAnsi="Calibri Light" w:cs="Calibri Light"/>
                <w:b/>
                <w:bCs/>
                <w:i/>
                <w:iCs/>
                <w:lang w:val="it-IT"/>
              </w:rPr>
              <w:t xml:space="preserve">investitori: </w:t>
            </w:r>
            <w:r w:rsidR="009E2A69">
              <w:rPr>
                <w:rFonts w:ascii="Calibri Light" w:eastAsia="Times New Roman" w:hAnsi="Calibri Light" w:cs="Calibri Light"/>
                <w:i/>
                <w:iCs/>
                <w:lang w:val="it-IT"/>
              </w:rPr>
              <w:t xml:space="preserve">Cosa </w:t>
            </w:r>
            <w:r w:rsidRPr="009A26C0">
              <w:rPr>
                <w:rFonts w:ascii="Calibri Light" w:eastAsia="Times New Roman" w:hAnsi="Calibri Light" w:cs="Calibri Light"/>
                <w:i/>
                <w:iCs/>
                <w:lang w:val="it-IT"/>
              </w:rPr>
              <w:t xml:space="preserve">sono i gruppi di </w:t>
            </w:r>
            <w:r w:rsidR="009E2A69">
              <w:rPr>
                <w:rFonts w:ascii="Calibri Light" w:eastAsia="Times New Roman" w:hAnsi="Calibri Light" w:cs="Calibri Light"/>
                <w:i/>
                <w:iCs/>
                <w:lang w:val="it-IT"/>
              </w:rPr>
              <w:t>soggetti interessati</w:t>
            </w:r>
            <w:r w:rsidRPr="009A26C0">
              <w:rPr>
                <w:rFonts w:ascii="Calibri Light" w:eastAsia="Times New Roman" w:hAnsi="Calibri Light" w:cs="Calibri Light"/>
                <w:i/>
                <w:iCs/>
                <w:lang w:val="it-IT"/>
              </w:rPr>
              <w:t>?</w:t>
            </w:r>
          </w:p>
          <w:p w14:paraId="5232D12B" w14:textId="672FE593" w:rsidR="00D60B21" w:rsidRPr="009A26C0" w:rsidRDefault="00B91C30">
            <w:pPr>
              <w:spacing w:after="120" w:line="240" w:lineRule="auto"/>
              <w:jc w:val="both"/>
              <w:rPr>
                <w:lang w:val="it-IT"/>
              </w:rPr>
            </w:pPr>
            <w:r w:rsidRPr="009A26C0">
              <w:rPr>
                <w:rFonts w:ascii="Calibri Light" w:eastAsia="Times New Roman" w:hAnsi="Calibri Light" w:cs="Calibri Light"/>
                <w:lang w:val="it-IT"/>
              </w:rPr>
              <w:t xml:space="preserve">Le autorità </w:t>
            </w:r>
            <w:r w:rsidR="009E2A69">
              <w:rPr>
                <w:rFonts w:ascii="Calibri Light" w:eastAsia="Times New Roman" w:hAnsi="Calibri Light" w:cs="Calibri Light"/>
                <w:lang w:val="it-IT"/>
              </w:rPr>
              <w:t xml:space="preserve">europee 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>di vigilanza</w:t>
            </w:r>
            <w:r w:rsidR="009E2A69">
              <w:rPr>
                <w:rFonts w:ascii="Calibri Light" w:eastAsia="Times New Roman" w:hAnsi="Calibri Light" w:cs="Calibri Light"/>
                <w:lang w:val="it-IT"/>
              </w:rPr>
              <w:t xml:space="preserve"> in materia 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>finanziaria</w:t>
            </w:r>
            <w:r w:rsidR="009E2A69">
              <w:rPr>
                <w:rFonts w:ascii="Calibri Light" w:eastAsia="Times New Roman" w:hAnsi="Calibri Light" w:cs="Calibri Light"/>
                <w:lang w:val="it-IT"/>
              </w:rPr>
              <w:t xml:space="preserve"> 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>nominano organi consultivi (</w:t>
            </w:r>
            <w:r w:rsidRPr="009A26C0">
              <w:rPr>
                <w:rFonts w:ascii="Calibri Light" w:eastAsia="Times New Roman" w:hAnsi="Calibri Light" w:cs="Calibri Light"/>
                <w:i/>
                <w:iCs/>
                <w:lang w:val="it-IT"/>
              </w:rPr>
              <w:t xml:space="preserve">gruppi di </w:t>
            </w:r>
            <w:r w:rsidR="009E2A69">
              <w:rPr>
                <w:rFonts w:ascii="Calibri Light" w:eastAsia="Times New Roman" w:hAnsi="Calibri Light" w:cs="Calibri Light"/>
                <w:i/>
                <w:iCs/>
                <w:lang w:val="it-IT"/>
              </w:rPr>
              <w:t>soggetti interessati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 xml:space="preserve">) </w:t>
            </w:r>
            <w:r w:rsidR="009E2A69">
              <w:rPr>
                <w:rFonts w:ascii="Calibri Light" w:eastAsia="Times New Roman" w:hAnsi="Calibri Light" w:cs="Calibri Light"/>
                <w:lang w:val="it-IT"/>
              </w:rPr>
              <w:t xml:space="preserve">che formulano 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 xml:space="preserve">pareri, raccomandazioni o risposte in merito all'attività </w:t>
            </w:r>
            <w:r w:rsidR="00990FBD">
              <w:rPr>
                <w:rFonts w:ascii="Calibri Light" w:eastAsia="Times New Roman" w:hAnsi="Calibri Light" w:cs="Calibri Light"/>
                <w:lang w:val="it-IT"/>
              </w:rPr>
              <w:t>normativa o di vigilanza delle AEV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>. I gruppi de</w:t>
            </w:r>
            <w:r w:rsidR="00990FBD">
              <w:rPr>
                <w:rFonts w:ascii="Calibri Light" w:eastAsia="Times New Roman" w:hAnsi="Calibri Light" w:cs="Calibri Light"/>
                <w:lang w:val="it-IT"/>
              </w:rPr>
              <w:t>i soggetti interessati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 xml:space="preserve"> si riuniscono regolarmente e sono composti da 30 membri </w:t>
            </w:r>
            <w:r w:rsidR="00990FBD">
              <w:rPr>
                <w:rFonts w:ascii="Calibri Light" w:eastAsia="Times New Roman" w:hAnsi="Calibri Light" w:cs="Calibri Light"/>
                <w:lang w:val="it-IT"/>
              </w:rPr>
              <w:t xml:space="preserve">in 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>rappresentan</w:t>
            </w:r>
            <w:r w:rsidR="00990FBD">
              <w:rPr>
                <w:rFonts w:ascii="Calibri Light" w:eastAsia="Times New Roman" w:hAnsi="Calibri Light" w:cs="Calibri Light"/>
                <w:lang w:val="it-IT"/>
              </w:rPr>
              <w:t>za del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 xml:space="preserve">le diverse categorie </w:t>
            </w:r>
            <w:r w:rsidR="00990FBD">
              <w:rPr>
                <w:rFonts w:ascii="Calibri Light" w:eastAsia="Times New Roman" w:hAnsi="Calibri Light" w:cs="Calibri Light"/>
                <w:lang w:val="it-IT"/>
              </w:rPr>
              <w:t xml:space="preserve">oggetto 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 xml:space="preserve">della </w:t>
            </w:r>
            <w:r w:rsidR="00990FBD">
              <w:rPr>
                <w:rFonts w:ascii="Calibri Light" w:eastAsia="Times New Roman" w:hAnsi="Calibri Light" w:cs="Calibri Light"/>
                <w:lang w:val="it-IT"/>
              </w:rPr>
              <w:t xml:space="preserve">normativa 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 xml:space="preserve">finanziaria dell'UE (istituzioni finanziarie, consumatori, PMI, ecc.) e da </w:t>
            </w:r>
            <w:r w:rsidR="00990FBD">
              <w:rPr>
                <w:rFonts w:ascii="Calibri Light" w:eastAsia="Times New Roman" w:hAnsi="Calibri Light" w:cs="Calibri Light"/>
                <w:lang w:val="it-IT"/>
              </w:rPr>
              <w:t xml:space="preserve">personalità 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>indipendenti</w:t>
            </w:r>
            <w:r w:rsidR="00990FBD">
              <w:rPr>
                <w:rFonts w:ascii="Calibri Light" w:eastAsia="Times New Roman" w:hAnsi="Calibri Light" w:cs="Calibri Light"/>
                <w:lang w:val="it-IT"/>
              </w:rPr>
              <w:t xml:space="preserve"> del mondo accademico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 xml:space="preserve">. </w:t>
            </w:r>
          </w:p>
          <w:p w14:paraId="5232D12C" w14:textId="244F8BCE" w:rsidR="00D60B21" w:rsidRPr="009A26C0" w:rsidRDefault="00B91C30" w:rsidP="00990FBD">
            <w:pPr>
              <w:spacing w:after="120" w:line="240" w:lineRule="auto"/>
              <w:jc w:val="both"/>
              <w:rPr>
                <w:lang w:val="it-IT"/>
              </w:rPr>
            </w:pPr>
            <w:r w:rsidRPr="009A26C0">
              <w:rPr>
                <w:rFonts w:ascii="Calibri Light" w:eastAsia="Times New Roman" w:hAnsi="Calibri Light" w:cs="Calibri Light"/>
                <w:lang w:val="it-IT"/>
              </w:rPr>
              <w:t xml:space="preserve">Attualmente </w:t>
            </w:r>
            <w:r w:rsidR="00990FBD">
              <w:rPr>
                <w:rFonts w:ascii="Calibri Light" w:eastAsia="Times New Roman" w:hAnsi="Calibri Light" w:cs="Calibri Light"/>
                <w:lang w:val="it-IT"/>
              </w:rPr>
              <w:t xml:space="preserve">vi sono 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 xml:space="preserve">quattro </w:t>
            </w:r>
            <w:r w:rsidR="00990FBD">
              <w:rPr>
                <w:rFonts w:ascii="Calibri Light" w:eastAsia="Times New Roman" w:hAnsi="Calibri Light" w:cs="Calibri Light"/>
                <w:lang w:val="it-IT"/>
              </w:rPr>
              <w:t xml:space="preserve">di questi 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>gruppi: uno per il settore assicurativo (IRSG</w:t>
            </w:r>
            <w:r w:rsidRPr="009A26C0">
              <w:rPr>
                <w:rStyle w:val="Rimandonotaapidipagina"/>
                <w:rFonts w:ascii="Calibri Light" w:eastAsia="Times New Roman" w:hAnsi="Calibri Light" w:cs="Calibri Light"/>
                <w:lang w:val="it-IT"/>
              </w:rPr>
              <w:footnoteReference w:id="3"/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>), uno per la previdenza professionale (OPSG</w:t>
            </w:r>
            <w:r w:rsidRPr="009A26C0">
              <w:rPr>
                <w:rStyle w:val="Rimandonotaapidipagina"/>
                <w:rFonts w:ascii="Calibri Light" w:eastAsia="Times New Roman" w:hAnsi="Calibri Light" w:cs="Calibri Light"/>
                <w:lang w:val="it-IT"/>
              </w:rPr>
              <w:footnoteReference w:id="4"/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>), uno per i servizi bancari (BSG</w:t>
            </w:r>
            <w:r w:rsidRPr="009A26C0">
              <w:rPr>
                <w:rStyle w:val="Rimandonotaapidipagina"/>
                <w:rFonts w:ascii="Calibri Light" w:eastAsia="Times New Roman" w:hAnsi="Calibri Light" w:cs="Calibri Light"/>
                <w:lang w:val="it-IT"/>
              </w:rPr>
              <w:footnoteReference w:id="5"/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 xml:space="preserve">) e uno per i mercati </w:t>
            </w:r>
            <w:r w:rsidR="00990FBD">
              <w:rPr>
                <w:rFonts w:ascii="Calibri Light" w:eastAsia="Times New Roman" w:hAnsi="Calibri Light" w:cs="Calibri Light"/>
                <w:lang w:val="it-IT"/>
              </w:rPr>
              <w:t xml:space="preserve">dei valori </w:t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>mobiliari (SMSG</w:t>
            </w:r>
            <w:r w:rsidRPr="009A26C0">
              <w:rPr>
                <w:rStyle w:val="Rimandonotaapidipagina"/>
                <w:rFonts w:ascii="Calibri Light" w:eastAsia="Times New Roman" w:hAnsi="Calibri Light" w:cs="Calibri Light"/>
                <w:lang w:val="it-IT"/>
              </w:rPr>
              <w:footnoteReference w:id="6"/>
            </w:r>
            <w:r w:rsidRPr="009A26C0">
              <w:rPr>
                <w:rFonts w:ascii="Calibri Light" w:eastAsia="Times New Roman" w:hAnsi="Calibri Light" w:cs="Calibri Light"/>
                <w:lang w:val="it-IT"/>
              </w:rPr>
              <w:t>).</w:t>
            </w:r>
          </w:p>
        </w:tc>
      </w:tr>
    </w:tbl>
    <w:p w14:paraId="5232D12E" w14:textId="3CF18BB5" w:rsidR="00D60B21" w:rsidRPr="009A26C0" w:rsidRDefault="00B91C30">
      <w:pPr>
        <w:spacing w:before="120" w:after="120" w:line="240" w:lineRule="auto"/>
        <w:jc w:val="both"/>
        <w:rPr>
          <w:lang w:val="it-IT"/>
        </w:rPr>
      </w:pPr>
      <w:r w:rsidRPr="009A26C0">
        <w:rPr>
          <w:rFonts w:ascii="Calibri Light" w:eastAsia="Times New Roman" w:hAnsi="Calibri Light" w:cs="Calibri Light"/>
          <w:lang w:val="it-IT"/>
        </w:rPr>
        <w:t xml:space="preserve">Prima della 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>riforma delle A</w:t>
      </w:r>
      <w:r w:rsidR="00990FBD">
        <w:rPr>
          <w:rFonts w:ascii="Calibri Light" w:eastAsia="Times New Roman" w:hAnsi="Calibri Light" w:cs="Calibri Light"/>
          <w:i/>
          <w:iCs/>
          <w:lang w:val="it-IT"/>
        </w:rPr>
        <w:t>EV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 xml:space="preserve"> </w:t>
      </w:r>
      <w:r w:rsidR="00990FBD">
        <w:rPr>
          <w:rFonts w:ascii="Calibri Light" w:eastAsia="Times New Roman" w:hAnsi="Calibri Light" w:cs="Calibri Light"/>
          <w:lang w:val="it-IT"/>
        </w:rPr>
        <w:t>entrata in v</w:t>
      </w:r>
      <w:r w:rsidRPr="009A26C0">
        <w:rPr>
          <w:rFonts w:ascii="Calibri Light" w:eastAsia="Times New Roman" w:hAnsi="Calibri Light" w:cs="Calibri Light"/>
          <w:lang w:val="it-IT"/>
        </w:rPr>
        <w:t>igore nel 2019, questi gruppi di s</w:t>
      </w:r>
      <w:r w:rsidR="00990FBD">
        <w:rPr>
          <w:rFonts w:ascii="Calibri Light" w:eastAsia="Times New Roman" w:hAnsi="Calibri Light" w:cs="Calibri Light"/>
          <w:lang w:val="it-IT"/>
        </w:rPr>
        <w:t xml:space="preserve">oggetti interessati </w:t>
      </w:r>
      <w:r w:rsidRPr="009A26C0">
        <w:rPr>
          <w:rFonts w:ascii="Calibri Light" w:eastAsia="Times New Roman" w:hAnsi="Calibri Light" w:cs="Calibri Light"/>
          <w:lang w:val="it-IT"/>
        </w:rPr>
        <w:t>(</w:t>
      </w:r>
      <w:r w:rsidR="00990FBD">
        <w:rPr>
          <w:rFonts w:ascii="Calibri Light" w:eastAsia="Times New Roman" w:hAnsi="Calibri Light" w:cs="Calibri Light"/>
          <w:lang w:val="it-IT"/>
        </w:rPr>
        <w:t>S</w:t>
      </w:r>
      <w:r w:rsidRPr="009A26C0">
        <w:rPr>
          <w:rFonts w:ascii="Calibri Light" w:eastAsia="Times New Roman" w:hAnsi="Calibri Light" w:cs="Calibri Light"/>
          <w:lang w:val="it-IT"/>
        </w:rPr>
        <w:t>G) riserva</w:t>
      </w:r>
      <w:r w:rsidR="00990FBD">
        <w:rPr>
          <w:rFonts w:ascii="Calibri Light" w:eastAsia="Times New Roman" w:hAnsi="Calibri Light" w:cs="Calibri Light"/>
          <w:lang w:val="it-IT"/>
        </w:rPr>
        <w:t>van</w:t>
      </w:r>
      <w:r w:rsidRPr="009A26C0">
        <w:rPr>
          <w:rFonts w:ascii="Calibri Light" w:eastAsia="Times New Roman" w:hAnsi="Calibri Light" w:cs="Calibri Light"/>
          <w:lang w:val="it-IT"/>
        </w:rPr>
        <w:t xml:space="preserve">o 10 posti </w:t>
      </w:r>
      <w:r w:rsidR="00990FBD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>i rappresentanti del</w:t>
      </w:r>
      <w:r w:rsidR="00990FBD">
        <w:rPr>
          <w:rFonts w:ascii="Calibri Light" w:eastAsia="Times New Roman" w:hAnsi="Calibri Light" w:cs="Calibri Light"/>
          <w:lang w:val="it-IT"/>
        </w:rPr>
        <w:t xml:space="preserve"> settore finanziario</w:t>
      </w:r>
      <w:r w:rsidRPr="009A26C0">
        <w:rPr>
          <w:rFonts w:ascii="Calibri Light" w:eastAsia="Times New Roman" w:hAnsi="Calibri Light" w:cs="Calibri Light"/>
          <w:lang w:val="it-IT"/>
        </w:rPr>
        <w:t xml:space="preserve">, 5 </w:t>
      </w:r>
      <w:r w:rsidR="00990FBD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 xml:space="preserve">gli accademici e il resto </w:t>
      </w:r>
      <w:r w:rsidR="00990FBD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 xml:space="preserve"> una categoria "a</w:t>
      </w:r>
      <w:r w:rsidR="00990FBD">
        <w:rPr>
          <w:rFonts w:ascii="Calibri Light" w:eastAsia="Times New Roman" w:hAnsi="Calibri Light" w:cs="Calibri Light"/>
          <w:lang w:val="it-IT"/>
        </w:rPr>
        <w:t>ggregata</w:t>
      </w:r>
      <w:r w:rsidRPr="009A26C0">
        <w:rPr>
          <w:rFonts w:ascii="Calibri Light" w:eastAsia="Times New Roman" w:hAnsi="Calibri Light" w:cs="Calibri Light"/>
          <w:lang w:val="it-IT"/>
        </w:rPr>
        <w:t xml:space="preserve">" composta da rappresentanti dei lavoratori (delle istituzioni finanziarie), dei consumatori, degli utenti dei servizi finanziari e delle PMI. A seguito della riforma, </w:t>
      </w:r>
      <w:r w:rsidR="00C63E10">
        <w:rPr>
          <w:rFonts w:ascii="Calibri Light" w:eastAsia="Times New Roman" w:hAnsi="Calibri Light" w:cs="Calibri Light"/>
          <w:lang w:val="it-IT"/>
        </w:rPr>
        <w:t xml:space="preserve">è stata aumentata </w:t>
      </w:r>
      <w:r w:rsidRPr="009A26C0">
        <w:rPr>
          <w:rFonts w:ascii="Calibri Light" w:eastAsia="Times New Roman" w:hAnsi="Calibri Light" w:cs="Calibri Light"/>
          <w:lang w:val="it-IT"/>
        </w:rPr>
        <w:t>la quota del</w:t>
      </w:r>
      <w:r w:rsidR="00C63E10">
        <w:rPr>
          <w:rFonts w:ascii="Calibri Light" w:eastAsia="Times New Roman" w:hAnsi="Calibri Light" w:cs="Calibri Light"/>
          <w:lang w:val="it-IT"/>
        </w:rPr>
        <w:t xml:space="preserve"> settore finanziario</w:t>
      </w:r>
      <w:r w:rsidRPr="009A26C0">
        <w:rPr>
          <w:rFonts w:ascii="Calibri Light" w:eastAsia="Times New Roman" w:hAnsi="Calibri Light" w:cs="Calibri Light"/>
          <w:lang w:val="it-IT"/>
        </w:rPr>
        <w:t xml:space="preserve"> all'</w:t>
      </w:r>
      <w:r w:rsidR="00C63E10">
        <w:rPr>
          <w:rFonts w:ascii="Calibri Light" w:eastAsia="Times New Roman" w:hAnsi="Calibri Light" w:cs="Calibri Light"/>
          <w:lang w:val="it-IT"/>
        </w:rPr>
        <w:t>AB</w:t>
      </w:r>
      <w:r w:rsidRPr="009A26C0">
        <w:rPr>
          <w:rFonts w:ascii="Calibri Light" w:eastAsia="Times New Roman" w:hAnsi="Calibri Light" w:cs="Calibri Light"/>
          <w:lang w:val="it-IT"/>
        </w:rPr>
        <w:t>E e all'ESMA</w:t>
      </w:r>
      <w:r w:rsidR="00C63E10">
        <w:rPr>
          <w:rFonts w:ascii="Calibri Light" w:eastAsia="Times New Roman" w:hAnsi="Calibri Light" w:cs="Calibri Light"/>
          <w:lang w:val="it-IT"/>
        </w:rPr>
        <w:t>,</w:t>
      </w:r>
      <w:r w:rsidRPr="009A26C0">
        <w:rPr>
          <w:rFonts w:ascii="Calibri Light" w:eastAsia="Times New Roman" w:hAnsi="Calibri Light" w:cs="Calibri Light"/>
          <w:lang w:val="it-IT"/>
        </w:rPr>
        <w:t xml:space="preserve"> a scapito delle altre categorie: ora ogni gruppo di s</w:t>
      </w:r>
      <w:r w:rsidR="00C63E10">
        <w:rPr>
          <w:rFonts w:ascii="Calibri Light" w:eastAsia="Times New Roman" w:hAnsi="Calibri Light" w:cs="Calibri Light"/>
          <w:lang w:val="it-IT"/>
        </w:rPr>
        <w:t xml:space="preserve">oggetti interessati </w:t>
      </w:r>
      <w:r w:rsidRPr="009A26C0">
        <w:rPr>
          <w:rFonts w:ascii="Calibri Light" w:eastAsia="Times New Roman" w:hAnsi="Calibri Light" w:cs="Calibri Light"/>
          <w:lang w:val="it-IT"/>
        </w:rPr>
        <w:t>deve comprendere 13 membri in rappresentanza del</w:t>
      </w:r>
      <w:r w:rsidR="00C63E10">
        <w:rPr>
          <w:rFonts w:ascii="Calibri Light" w:eastAsia="Times New Roman" w:hAnsi="Calibri Light" w:cs="Calibri Light"/>
          <w:lang w:val="it-IT"/>
        </w:rPr>
        <w:t xml:space="preserve"> settore</w:t>
      </w:r>
      <w:r w:rsidRPr="009A26C0">
        <w:rPr>
          <w:rFonts w:ascii="Calibri Light" w:eastAsia="Times New Roman" w:hAnsi="Calibri Light" w:cs="Calibri Light"/>
          <w:lang w:val="it-IT"/>
        </w:rPr>
        <w:t xml:space="preserve">, 4 </w:t>
      </w:r>
      <w:r w:rsidR="008F2A9A">
        <w:rPr>
          <w:rFonts w:ascii="Calibri Light" w:eastAsia="Times New Roman" w:hAnsi="Calibri Light" w:cs="Calibri Light"/>
          <w:lang w:val="it-IT"/>
        </w:rPr>
        <w:t>del mondo accademico</w:t>
      </w:r>
      <w:r w:rsidRPr="009A26C0">
        <w:rPr>
          <w:rFonts w:ascii="Calibri Light" w:eastAsia="Times New Roman" w:hAnsi="Calibri Light" w:cs="Calibri Light"/>
          <w:lang w:val="it-IT"/>
        </w:rPr>
        <w:t xml:space="preserve"> e 13 della categoria "</w:t>
      </w:r>
      <w:r w:rsidR="00C63E10">
        <w:rPr>
          <w:rFonts w:ascii="Calibri Light" w:eastAsia="Times New Roman" w:hAnsi="Calibri Light" w:cs="Calibri Light"/>
          <w:lang w:val="it-IT"/>
        </w:rPr>
        <w:t>aggregata</w:t>
      </w:r>
      <w:r w:rsidRPr="009A26C0">
        <w:rPr>
          <w:rFonts w:ascii="Calibri Light" w:eastAsia="Times New Roman" w:hAnsi="Calibri Light" w:cs="Calibri Light"/>
          <w:lang w:val="it-IT"/>
        </w:rPr>
        <w:t xml:space="preserve">". La nuova </w:t>
      </w:r>
      <w:r w:rsidR="00C63E10">
        <w:rPr>
          <w:rFonts w:ascii="Calibri Light" w:eastAsia="Times New Roman" w:hAnsi="Calibri Light" w:cs="Calibri Light"/>
          <w:lang w:val="it-IT"/>
        </w:rPr>
        <w:t xml:space="preserve">norma </w:t>
      </w:r>
      <w:r w:rsidRPr="009A26C0">
        <w:rPr>
          <w:rFonts w:ascii="Calibri Light" w:eastAsia="Times New Roman" w:hAnsi="Calibri Light" w:cs="Calibri Light"/>
          <w:lang w:val="it-IT"/>
        </w:rPr>
        <w:t>UE è ancora p</w:t>
      </w:r>
      <w:r w:rsidR="008F2A9A">
        <w:rPr>
          <w:rFonts w:ascii="Calibri Light" w:eastAsia="Times New Roman" w:hAnsi="Calibri Light" w:cs="Calibri Light"/>
          <w:lang w:val="it-IT"/>
        </w:rPr>
        <w:t xml:space="preserve">iù pregiudizievole </w:t>
      </w:r>
      <w:r w:rsidRPr="009A26C0">
        <w:rPr>
          <w:rFonts w:ascii="Calibri Light" w:eastAsia="Times New Roman" w:hAnsi="Calibri Light" w:cs="Calibri Light"/>
          <w:lang w:val="it-IT"/>
        </w:rPr>
        <w:t>nel caso dell'</w:t>
      </w:r>
      <w:r w:rsidR="00C63E10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>EA</w:t>
      </w:r>
      <w:r w:rsidR="00C63E10">
        <w:rPr>
          <w:rFonts w:ascii="Calibri Light" w:eastAsia="Times New Roman" w:hAnsi="Calibri Light" w:cs="Calibri Light"/>
          <w:lang w:val="it-IT"/>
        </w:rPr>
        <w:t>P</w:t>
      </w:r>
      <w:r w:rsidRPr="009A26C0">
        <w:rPr>
          <w:rFonts w:ascii="Calibri Light" w:eastAsia="Times New Roman" w:hAnsi="Calibri Light" w:cs="Calibri Light"/>
          <w:lang w:val="it-IT"/>
        </w:rPr>
        <w:t xml:space="preserve">, </w:t>
      </w:r>
      <w:r w:rsidR="00C31263">
        <w:rPr>
          <w:rFonts w:ascii="Calibri Light" w:eastAsia="Times New Roman" w:hAnsi="Calibri Light" w:cs="Calibri Light"/>
          <w:lang w:val="it-IT"/>
        </w:rPr>
        <w:t xml:space="preserve">nella quale </w:t>
      </w:r>
      <w:r w:rsidRPr="009A26C0">
        <w:rPr>
          <w:rFonts w:ascii="Calibri Light" w:eastAsia="Times New Roman" w:hAnsi="Calibri Light" w:cs="Calibri Light"/>
          <w:lang w:val="it-IT"/>
        </w:rPr>
        <w:t>i rappresentanti delle associazioni professionali si aggiungono ai 13 membri del</w:t>
      </w:r>
      <w:r w:rsidR="00C31263">
        <w:rPr>
          <w:rFonts w:ascii="Calibri Light" w:eastAsia="Times New Roman" w:hAnsi="Calibri Light" w:cs="Calibri Light"/>
          <w:lang w:val="it-IT"/>
        </w:rPr>
        <w:t xml:space="preserve"> settore finanziario</w:t>
      </w:r>
      <w:r w:rsidRPr="009A26C0">
        <w:rPr>
          <w:rFonts w:ascii="Calibri Light" w:eastAsia="Times New Roman" w:hAnsi="Calibri Light" w:cs="Calibri Light"/>
          <w:lang w:val="it-IT"/>
        </w:rPr>
        <w:t xml:space="preserve">, che ora rappresenta la metà (o più) del totale dei membri. </w:t>
      </w:r>
    </w:p>
    <w:p w14:paraId="5232D12F" w14:textId="4BD57A84" w:rsidR="00D60B21" w:rsidRPr="009A26C0" w:rsidRDefault="00B91C30">
      <w:pPr>
        <w:spacing w:after="120" w:line="240" w:lineRule="auto"/>
        <w:jc w:val="both"/>
        <w:rPr>
          <w:rFonts w:ascii="Calibri Light" w:eastAsia="Times New Roman" w:hAnsi="Calibri Light" w:cs="Calibri Light"/>
          <w:lang w:val="it-IT"/>
        </w:rPr>
      </w:pPr>
      <w:r w:rsidRPr="009A26C0">
        <w:rPr>
          <w:rFonts w:ascii="Calibri Light" w:eastAsia="Times New Roman" w:hAnsi="Calibri Light" w:cs="Calibri Light"/>
          <w:lang w:val="it-IT"/>
        </w:rPr>
        <w:t>Inoltre, la differenziazione tra "</w:t>
      </w:r>
      <w:r w:rsidR="0030445F">
        <w:rPr>
          <w:rFonts w:ascii="Calibri Light" w:eastAsia="Times New Roman" w:hAnsi="Calibri Light" w:cs="Calibri Light"/>
          <w:lang w:val="it-IT"/>
        </w:rPr>
        <w:t>settore finanziario</w:t>
      </w:r>
      <w:r w:rsidRPr="009A26C0">
        <w:rPr>
          <w:rFonts w:ascii="Calibri Light" w:eastAsia="Times New Roman" w:hAnsi="Calibri Light" w:cs="Calibri Light"/>
          <w:lang w:val="it-IT"/>
        </w:rPr>
        <w:t>" e "associazioni professionali" sembra a</w:t>
      </w:r>
      <w:r w:rsidR="0030445F">
        <w:rPr>
          <w:rFonts w:ascii="Calibri Light" w:eastAsia="Times New Roman" w:hAnsi="Calibri Light" w:cs="Calibri Light"/>
          <w:lang w:val="it-IT"/>
        </w:rPr>
        <w:t xml:space="preserve"> dir poco </w:t>
      </w:r>
      <w:r w:rsidRPr="009A26C0">
        <w:rPr>
          <w:rFonts w:ascii="Calibri Light" w:eastAsia="Times New Roman" w:hAnsi="Calibri Light" w:cs="Calibri Light"/>
          <w:lang w:val="it-IT"/>
        </w:rPr>
        <w:t>imbarazzante, con l'</w:t>
      </w:r>
      <w:r w:rsidR="0030445F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>E</w:t>
      </w:r>
      <w:r w:rsidR="0030445F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 xml:space="preserve">P, ad esempio, che include la FERMA, la Federazione </w:t>
      </w:r>
      <w:r w:rsidR="0030445F">
        <w:rPr>
          <w:rFonts w:ascii="Calibri Light" w:eastAsia="Times New Roman" w:hAnsi="Calibri Light" w:cs="Calibri Light"/>
          <w:lang w:val="it-IT"/>
        </w:rPr>
        <w:t xml:space="preserve">europea </w:t>
      </w:r>
      <w:r w:rsidRPr="009A26C0">
        <w:rPr>
          <w:rFonts w:ascii="Calibri Light" w:eastAsia="Times New Roman" w:hAnsi="Calibri Light" w:cs="Calibri Light"/>
          <w:lang w:val="it-IT"/>
        </w:rPr>
        <w:t xml:space="preserve">delle associazioni </w:t>
      </w:r>
      <w:r w:rsidR="0030445F">
        <w:rPr>
          <w:rFonts w:ascii="Calibri Light" w:eastAsia="Times New Roman" w:hAnsi="Calibri Light" w:cs="Calibri Light"/>
          <w:lang w:val="it-IT"/>
        </w:rPr>
        <w:t xml:space="preserve">dei </w:t>
      </w:r>
      <w:proofErr w:type="spellStart"/>
      <w:r w:rsidR="0030445F">
        <w:rPr>
          <w:rFonts w:ascii="Calibri Light" w:eastAsia="Times New Roman" w:hAnsi="Calibri Light" w:cs="Calibri Light"/>
          <w:lang w:val="it-IT"/>
        </w:rPr>
        <w:t>Risk</w:t>
      </w:r>
      <w:proofErr w:type="spellEnd"/>
      <w:r w:rsidR="0030445F">
        <w:rPr>
          <w:rFonts w:ascii="Calibri Light" w:eastAsia="Times New Roman" w:hAnsi="Calibri Light" w:cs="Calibri Light"/>
          <w:lang w:val="it-IT"/>
        </w:rPr>
        <w:t xml:space="preserve"> Manager</w:t>
      </w:r>
      <w:r w:rsidRPr="009A26C0">
        <w:rPr>
          <w:rFonts w:ascii="Calibri Light" w:eastAsia="Times New Roman" w:hAnsi="Calibri Light" w:cs="Calibri Light"/>
          <w:lang w:val="it-IT"/>
        </w:rPr>
        <w:t xml:space="preserve">, nella categoria delle "associazioni professionali", </w:t>
      </w:r>
      <w:r w:rsidR="00BE140F">
        <w:rPr>
          <w:rFonts w:ascii="Calibri Light" w:eastAsia="Times New Roman" w:hAnsi="Calibri Light" w:cs="Calibri Light"/>
          <w:lang w:val="it-IT"/>
        </w:rPr>
        <w:t xml:space="preserve">qualificando </w:t>
      </w:r>
      <w:r w:rsidR="008F2A9A">
        <w:rPr>
          <w:rFonts w:ascii="Calibri Light" w:eastAsia="Times New Roman" w:hAnsi="Calibri Light" w:cs="Calibri Light"/>
          <w:lang w:val="it-IT"/>
        </w:rPr>
        <w:t xml:space="preserve">però </w:t>
      </w:r>
      <w:proofErr w:type="spellStart"/>
      <w:r w:rsidR="008F2A9A">
        <w:rPr>
          <w:rFonts w:ascii="Calibri Light" w:eastAsia="Times New Roman" w:hAnsi="Calibri Light" w:cs="Calibri Light"/>
          <w:lang w:val="it-IT"/>
        </w:rPr>
        <w:t>Insurance</w:t>
      </w:r>
      <w:proofErr w:type="spellEnd"/>
      <w:r w:rsidR="008F2A9A">
        <w:rPr>
          <w:rFonts w:ascii="Calibri Light" w:eastAsia="Times New Roman" w:hAnsi="Calibri Light" w:cs="Calibri Light"/>
          <w:lang w:val="it-IT"/>
        </w:rPr>
        <w:t xml:space="preserve"> Europe, la F</w:t>
      </w:r>
      <w:r w:rsidRPr="009A26C0">
        <w:rPr>
          <w:rFonts w:ascii="Calibri Light" w:eastAsia="Times New Roman" w:hAnsi="Calibri Light" w:cs="Calibri Light"/>
          <w:lang w:val="it-IT"/>
        </w:rPr>
        <w:t>ederazione europea delle assicurazioni e delle riassicurazioni, come "</w:t>
      </w:r>
      <w:r w:rsidR="0030445F">
        <w:rPr>
          <w:rFonts w:ascii="Calibri Light" w:eastAsia="Times New Roman" w:hAnsi="Calibri Light" w:cs="Calibri Light"/>
          <w:lang w:val="it-IT"/>
        </w:rPr>
        <w:t>settore</w:t>
      </w:r>
      <w:r w:rsidRPr="009A26C0">
        <w:rPr>
          <w:rFonts w:ascii="Calibri Light" w:eastAsia="Times New Roman" w:hAnsi="Calibri Light" w:cs="Calibri Light"/>
          <w:lang w:val="it-IT"/>
        </w:rPr>
        <w:t>" nell'IRSG. Nell'OPSG dell'</w:t>
      </w:r>
      <w:r w:rsidR="0030445F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>EA</w:t>
      </w:r>
      <w:r w:rsidR="0030445F">
        <w:rPr>
          <w:rFonts w:ascii="Calibri Light" w:eastAsia="Times New Roman" w:hAnsi="Calibri Light" w:cs="Calibri Light"/>
          <w:lang w:val="it-IT"/>
        </w:rPr>
        <w:t>P</w:t>
      </w:r>
      <w:r w:rsidRPr="009A26C0">
        <w:rPr>
          <w:rFonts w:ascii="Calibri Light" w:eastAsia="Times New Roman" w:hAnsi="Calibri Light" w:cs="Calibri Light"/>
          <w:lang w:val="it-IT"/>
        </w:rPr>
        <w:t xml:space="preserve">, invece, </w:t>
      </w:r>
      <w:proofErr w:type="spellStart"/>
      <w:r w:rsidRPr="009A26C0">
        <w:rPr>
          <w:rFonts w:ascii="Calibri Light" w:eastAsia="Times New Roman" w:hAnsi="Calibri Light" w:cs="Calibri Light"/>
          <w:lang w:val="it-IT"/>
        </w:rPr>
        <w:t>Insurance</w:t>
      </w:r>
      <w:proofErr w:type="spellEnd"/>
      <w:r w:rsidRPr="009A26C0">
        <w:rPr>
          <w:rFonts w:ascii="Calibri Light" w:eastAsia="Times New Roman" w:hAnsi="Calibri Light" w:cs="Calibri Light"/>
          <w:lang w:val="it-IT"/>
        </w:rPr>
        <w:t xml:space="preserve"> Europe è inclusa come </w:t>
      </w:r>
      <w:r w:rsidR="0030445F">
        <w:rPr>
          <w:rFonts w:ascii="Calibri Light" w:eastAsia="Times New Roman" w:hAnsi="Calibri Light" w:cs="Calibri Light"/>
          <w:lang w:val="it-IT"/>
        </w:rPr>
        <w:t>EPAP</w:t>
      </w:r>
      <w:r w:rsidRPr="009A26C0">
        <w:rPr>
          <w:rFonts w:ascii="Calibri Light" w:eastAsia="Times New Roman" w:hAnsi="Calibri Light" w:cs="Calibri Light"/>
          <w:lang w:val="it-IT"/>
        </w:rPr>
        <w:t xml:space="preserve"> </w:t>
      </w:r>
      <w:r w:rsidR="0030445F">
        <w:rPr>
          <w:rFonts w:ascii="Calibri Light" w:eastAsia="Times New Roman" w:hAnsi="Calibri Light" w:cs="Calibri Light"/>
          <w:lang w:val="it-IT"/>
        </w:rPr>
        <w:t>–</w:t>
      </w:r>
      <w:r w:rsidRPr="009A26C0">
        <w:rPr>
          <w:rFonts w:ascii="Calibri Light" w:eastAsia="Times New Roman" w:hAnsi="Calibri Light" w:cs="Calibri Light"/>
          <w:lang w:val="it-IT"/>
        </w:rPr>
        <w:t xml:space="preserve"> </w:t>
      </w:r>
      <w:r w:rsidR="0030445F">
        <w:rPr>
          <w:rFonts w:ascii="Calibri Light" w:eastAsia="Times New Roman" w:hAnsi="Calibri Light" w:cs="Calibri Light"/>
          <w:lang w:val="it-IT"/>
        </w:rPr>
        <w:t xml:space="preserve">nel gergo dell’UE, </w:t>
      </w:r>
      <w:r w:rsidRPr="009A26C0">
        <w:rPr>
          <w:rFonts w:ascii="Calibri Light" w:eastAsia="Times New Roman" w:hAnsi="Calibri Light" w:cs="Calibri Light"/>
          <w:lang w:val="it-IT"/>
        </w:rPr>
        <w:t xml:space="preserve">un rappresentante dei piani pensionistici </w:t>
      </w:r>
      <w:r w:rsidR="0030445F">
        <w:rPr>
          <w:rFonts w:ascii="Calibri Light" w:eastAsia="Times New Roman" w:hAnsi="Calibri Light" w:cs="Calibri Light"/>
          <w:lang w:val="it-IT"/>
        </w:rPr>
        <w:t>–</w:t>
      </w:r>
      <w:r w:rsidRPr="009A26C0">
        <w:rPr>
          <w:rFonts w:ascii="Calibri Light" w:eastAsia="Times New Roman" w:hAnsi="Calibri Light" w:cs="Calibri Light"/>
          <w:lang w:val="it-IT"/>
        </w:rPr>
        <w:t xml:space="preserve"> </w:t>
      </w:r>
      <w:r w:rsidR="00BE140F">
        <w:rPr>
          <w:rFonts w:ascii="Calibri Light" w:eastAsia="Times New Roman" w:hAnsi="Calibri Light" w:cs="Calibri Light"/>
          <w:lang w:val="it-IT"/>
        </w:rPr>
        <w:t>eppure</w:t>
      </w:r>
      <w:r w:rsidRPr="009A26C0">
        <w:rPr>
          <w:rFonts w:ascii="Calibri Light" w:eastAsia="Times New Roman" w:hAnsi="Calibri Light" w:cs="Calibri Light"/>
          <w:lang w:val="it-IT"/>
        </w:rPr>
        <w:t xml:space="preserve"> l'EFAMA, l</w:t>
      </w:r>
      <w:r w:rsidR="00BE140F">
        <w:rPr>
          <w:rFonts w:ascii="Calibri Light" w:eastAsia="Times New Roman" w:hAnsi="Calibri Light" w:cs="Calibri Light"/>
          <w:lang w:val="it-IT"/>
        </w:rPr>
        <w:t>’Associazione europea</w:t>
      </w:r>
      <w:r w:rsidRPr="009A26C0">
        <w:rPr>
          <w:rFonts w:ascii="Calibri Light" w:eastAsia="Times New Roman" w:hAnsi="Calibri Light" w:cs="Calibri Light"/>
          <w:lang w:val="it-IT"/>
        </w:rPr>
        <w:t xml:space="preserve"> </w:t>
      </w:r>
      <w:r w:rsidR="00BE140F">
        <w:rPr>
          <w:rFonts w:ascii="Calibri Light" w:eastAsia="Times New Roman" w:hAnsi="Calibri Light" w:cs="Calibri Light"/>
          <w:lang w:val="it-IT"/>
        </w:rPr>
        <w:t>della gestione di attivi</w:t>
      </w:r>
      <w:r w:rsidRPr="009A26C0">
        <w:rPr>
          <w:rFonts w:ascii="Calibri Light" w:eastAsia="Times New Roman" w:hAnsi="Calibri Light" w:cs="Calibri Light"/>
          <w:lang w:val="it-IT"/>
        </w:rPr>
        <w:t xml:space="preserve">, è </w:t>
      </w:r>
      <w:r w:rsidR="00BE140F">
        <w:rPr>
          <w:rFonts w:ascii="Calibri Light" w:eastAsia="Times New Roman" w:hAnsi="Calibri Light" w:cs="Calibri Light"/>
          <w:lang w:val="it-IT"/>
        </w:rPr>
        <w:t xml:space="preserve">indicata </w:t>
      </w:r>
      <w:r w:rsidRPr="009A26C0">
        <w:rPr>
          <w:rFonts w:ascii="Calibri Light" w:eastAsia="Times New Roman" w:hAnsi="Calibri Light" w:cs="Calibri Light"/>
          <w:lang w:val="it-IT"/>
        </w:rPr>
        <w:t>come "associazione professionale".</w:t>
      </w:r>
    </w:p>
    <w:p w14:paraId="5232D130" w14:textId="20839073" w:rsidR="00D60B21" w:rsidRPr="009A26C0" w:rsidRDefault="00B91C30">
      <w:pPr>
        <w:spacing w:after="120" w:line="240" w:lineRule="auto"/>
        <w:jc w:val="both"/>
        <w:rPr>
          <w:lang w:val="it-IT"/>
        </w:rPr>
      </w:pPr>
      <w:r w:rsidRPr="009A26C0">
        <w:rPr>
          <w:rFonts w:ascii="Calibri Light" w:eastAsia="Times New Roman" w:hAnsi="Calibri Light" w:cs="Calibri Light"/>
          <w:lang w:val="it-IT"/>
        </w:rPr>
        <w:lastRenderedPageBreak/>
        <w:t xml:space="preserve">Nel </w:t>
      </w:r>
      <w:hyperlink r:id="rId11" w:history="1">
        <w:r w:rsidR="00F97E01">
          <w:rPr>
            <w:rStyle w:val="Collegamentoipertestuale"/>
            <w:rFonts w:ascii="Calibri Light" w:eastAsia="Times New Roman" w:hAnsi="Calibri Light" w:cs="Calibri Light"/>
            <w:lang w:val="it-IT"/>
          </w:rPr>
          <w:t>gennaio 2020 BETTER FINANCE ha già reagito</w:t>
        </w:r>
      </w:hyperlink>
      <w:r w:rsidR="00F97E01">
        <w:rPr>
          <w:rFonts w:ascii="Calibri Light" w:eastAsia="Times New Roman" w:hAnsi="Calibri Light" w:cs="Calibri Light"/>
          <w:lang w:val="it-IT"/>
        </w:rPr>
        <w:t xml:space="preserve"> a</w:t>
      </w:r>
      <w:r w:rsidRPr="009A26C0">
        <w:rPr>
          <w:rFonts w:ascii="Calibri Light" w:eastAsia="Times New Roman" w:hAnsi="Calibri Light" w:cs="Calibri Light"/>
          <w:lang w:val="it-IT"/>
        </w:rPr>
        <w:t xml:space="preserve"> specifiche modifiche del regolamento </w:t>
      </w:r>
      <w:r w:rsidR="00543519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>E</w:t>
      </w:r>
      <w:r w:rsidR="00543519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>P</w:t>
      </w:r>
      <w:r w:rsidRPr="009A26C0">
        <w:rPr>
          <w:rStyle w:val="Rimandonotaapidipagina"/>
          <w:rFonts w:ascii="Calibri Light" w:eastAsia="Times New Roman" w:hAnsi="Calibri Light" w:cs="Calibri Light"/>
          <w:lang w:val="it-IT"/>
        </w:rPr>
        <w:footnoteReference w:id="7"/>
      </w:r>
      <w:r w:rsidRPr="009A26C0">
        <w:rPr>
          <w:rFonts w:ascii="Calibri Light" w:eastAsia="Times New Roman" w:hAnsi="Calibri Light" w:cs="Calibri Light"/>
          <w:lang w:val="it-IT"/>
        </w:rPr>
        <w:t xml:space="preserve"> </w:t>
      </w:r>
      <w:r w:rsidR="00543519">
        <w:rPr>
          <w:rFonts w:ascii="Calibri Light" w:eastAsia="Times New Roman" w:hAnsi="Calibri Light" w:cs="Calibri Light"/>
          <w:lang w:val="it-IT"/>
        </w:rPr>
        <w:t>su</w:t>
      </w:r>
      <w:r w:rsidRPr="009A26C0">
        <w:rPr>
          <w:rFonts w:ascii="Calibri Light" w:eastAsia="Times New Roman" w:hAnsi="Calibri Light" w:cs="Calibri Light"/>
          <w:lang w:val="it-IT"/>
        </w:rPr>
        <w:t xml:space="preserve">lla composizione dei gruppi di </w:t>
      </w:r>
      <w:r w:rsidR="00543519">
        <w:rPr>
          <w:rFonts w:ascii="Calibri Light" w:eastAsia="Times New Roman" w:hAnsi="Calibri Light" w:cs="Calibri Light"/>
          <w:lang w:val="it-IT"/>
        </w:rPr>
        <w:t xml:space="preserve">soggetti interessati </w:t>
      </w:r>
      <w:r w:rsidRPr="009A26C0">
        <w:rPr>
          <w:rFonts w:ascii="Calibri Light" w:eastAsia="Times New Roman" w:hAnsi="Calibri Light" w:cs="Calibri Light"/>
          <w:lang w:val="it-IT"/>
        </w:rPr>
        <w:t>dell'</w:t>
      </w:r>
      <w:r w:rsidR="00543519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>E</w:t>
      </w:r>
      <w:r w:rsidR="00543519">
        <w:rPr>
          <w:rFonts w:ascii="Calibri Light" w:eastAsia="Times New Roman" w:hAnsi="Calibri Light" w:cs="Calibri Light"/>
          <w:lang w:val="it-IT"/>
        </w:rPr>
        <w:t>A</w:t>
      </w:r>
      <w:r w:rsidRPr="009A26C0">
        <w:rPr>
          <w:rFonts w:ascii="Calibri Light" w:eastAsia="Times New Roman" w:hAnsi="Calibri Light" w:cs="Calibri Light"/>
          <w:lang w:val="it-IT"/>
        </w:rPr>
        <w:t xml:space="preserve">P e all'elevato rischio di una riduzione del numero di rappresentanti degli utenti a favore di quelli del settore finanziario. </w:t>
      </w:r>
    </w:p>
    <w:p w14:paraId="5232D131" w14:textId="0556FFDA" w:rsidR="00D60B21" w:rsidRPr="009A26C0" w:rsidRDefault="00B91C30">
      <w:pPr>
        <w:spacing w:after="120" w:line="240" w:lineRule="auto"/>
        <w:jc w:val="both"/>
        <w:rPr>
          <w:lang w:val="it-IT"/>
        </w:rPr>
      </w:pPr>
      <w:r w:rsidRPr="009A26C0">
        <w:rPr>
          <w:rFonts w:ascii="Calibri Light" w:eastAsia="Times New Roman" w:hAnsi="Calibri Light" w:cs="Calibri Light"/>
          <w:lang w:val="it-IT"/>
        </w:rPr>
        <w:t xml:space="preserve">Inoltre, la regola della </w:t>
      </w:r>
      <w:r w:rsidRPr="009A26C0">
        <w:rPr>
          <w:rFonts w:ascii="Calibri Light" w:eastAsia="Times New Roman" w:hAnsi="Calibri Light" w:cs="Calibri Light"/>
          <w:b/>
          <w:bCs/>
          <w:i/>
          <w:iCs/>
          <w:lang w:val="it-IT"/>
        </w:rPr>
        <w:t xml:space="preserve">rappresentanza equilibrata </w:t>
      </w:r>
      <w:r w:rsidRPr="009A26C0">
        <w:rPr>
          <w:rFonts w:ascii="Calibri Light" w:eastAsia="Times New Roman" w:hAnsi="Calibri Light" w:cs="Calibri Light"/>
          <w:lang w:val="it-IT"/>
        </w:rPr>
        <w:t xml:space="preserve">è ora applicabile solo al settore finanziario. Guillaume </w:t>
      </w:r>
      <w:proofErr w:type="spellStart"/>
      <w:r w:rsidRPr="009A26C0">
        <w:rPr>
          <w:rFonts w:ascii="Calibri Light" w:eastAsia="Times New Roman" w:hAnsi="Calibri Light" w:cs="Calibri Light"/>
          <w:lang w:val="it-IT"/>
        </w:rPr>
        <w:t>Prache</w:t>
      </w:r>
      <w:proofErr w:type="spellEnd"/>
      <w:r w:rsidRPr="009A26C0">
        <w:rPr>
          <w:rFonts w:ascii="Calibri Light" w:eastAsia="Times New Roman" w:hAnsi="Calibri Light" w:cs="Calibri Light"/>
          <w:lang w:val="it-IT"/>
        </w:rPr>
        <w:t xml:space="preserve">, un "veterano" che ha prestato servizio </w:t>
      </w:r>
      <w:r w:rsidR="00543519">
        <w:rPr>
          <w:rFonts w:ascii="Calibri Light" w:eastAsia="Times New Roman" w:hAnsi="Calibri Light" w:cs="Calibri Light"/>
          <w:lang w:val="it-IT"/>
        </w:rPr>
        <w:t>nei gruppi</w:t>
      </w:r>
      <w:r w:rsidRPr="009A26C0">
        <w:rPr>
          <w:rFonts w:ascii="Calibri Light" w:eastAsia="Times New Roman" w:hAnsi="Calibri Light" w:cs="Calibri Light"/>
          <w:lang w:val="it-IT"/>
        </w:rPr>
        <w:t xml:space="preserve"> BSG, IRSG e SMSG, osserva che "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 xml:space="preserve">quello che sembrava un cambiamento poco appariscente della base giuridica ha di fatto portato all'eliminazione della regola generale della "rappresentanza equilibrata" nella composizione dei gruppi di </w:t>
      </w:r>
      <w:r w:rsidR="00543519">
        <w:rPr>
          <w:rFonts w:ascii="Calibri Light" w:eastAsia="Times New Roman" w:hAnsi="Calibri Light" w:cs="Calibri Light"/>
          <w:i/>
          <w:iCs/>
          <w:lang w:val="it-IT"/>
        </w:rPr>
        <w:t xml:space="preserve">soggetti 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>interess</w:t>
      </w:r>
      <w:r w:rsidR="00543519">
        <w:rPr>
          <w:rFonts w:ascii="Calibri Light" w:eastAsia="Times New Roman" w:hAnsi="Calibri Light" w:cs="Calibri Light"/>
          <w:i/>
          <w:iCs/>
          <w:lang w:val="it-IT"/>
        </w:rPr>
        <w:t>ati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 xml:space="preserve">, </w:t>
      </w:r>
      <w:r w:rsidR="00543519">
        <w:rPr>
          <w:rFonts w:ascii="Calibri Light" w:eastAsia="Times New Roman" w:hAnsi="Calibri Light" w:cs="Calibri Light"/>
          <w:i/>
          <w:iCs/>
          <w:lang w:val="it-IT"/>
        </w:rPr>
        <w:t xml:space="preserve">determinando 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>un ribaltamento legale dell'equilibrio a favore delle voci del settore</w:t>
      </w:r>
      <w:r w:rsidRPr="009A26C0">
        <w:rPr>
          <w:rFonts w:ascii="Calibri Light" w:eastAsia="Times New Roman" w:hAnsi="Calibri Light" w:cs="Calibri Light"/>
          <w:lang w:val="it-IT"/>
        </w:rPr>
        <w:t xml:space="preserve">". </w:t>
      </w:r>
    </w:p>
    <w:p w14:paraId="5232D132" w14:textId="02DDC652" w:rsidR="00D60B21" w:rsidRPr="009A26C0" w:rsidRDefault="00B91C30">
      <w:pPr>
        <w:spacing w:after="120" w:line="240" w:lineRule="auto"/>
        <w:jc w:val="both"/>
        <w:rPr>
          <w:rFonts w:ascii="Calibri Light" w:eastAsia="Times New Roman" w:hAnsi="Calibri Light" w:cs="Calibri Light"/>
          <w:lang w:val="it-IT"/>
        </w:rPr>
      </w:pPr>
      <w:r w:rsidRPr="009A26C0">
        <w:rPr>
          <w:rFonts w:ascii="Calibri Light" w:eastAsia="Times New Roman" w:hAnsi="Calibri Light" w:cs="Calibri Light"/>
          <w:lang w:val="it-IT"/>
        </w:rPr>
        <w:t xml:space="preserve">Un rapido sguardo rivela che la percentuale di rappresentanti </w:t>
      </w:r>
      <w:r w:rsidR="00F97E01">
        <w:rPr>
          <w:rFonts w:ascii="Calibri Light" w:eastAsia="Times New Roman" w:hAnsi="Calibri Light" w:cs="Calibri Light"/>
          <w:lang w:val="it-IT"/>
        </w:rPr>
        <w:t xml:space="preserve">nominati </w:t>
      </w:r>
      <w:r w:rsidRPr="009A26C0">
        <w:rPr>
          <w:rFonts w:ascii="Calibri Light" w:eastAsia="Times New Roman" w:hAnsi="Calibri Light" w:cs="Calibri Light"/>
          <w:lang w:val="it-IT"/>
        </w:rPr>
        <w:t>dei consumatori e degli utenti ne</w:t>
      </w:r>
      <w:r w:rsidR="00543519">
        <w:rPr>
          <w:rFonts w:ascii="Calibri Light" w:eastAsia="Times New Roman" w:hAnsi="Calibri Light" w:cs="Calibri Light"/>
          <w:lang w:val="it-IT"/>
        </w:rPr>
        <w:t>gli SG</w:t>
      </w:r>
      <w:r w:rsidRPr="009A26C0">
        <w:rPr>
          <w:rFonts w:ascii="Calibri Light" w:eastAsia="Times New Roman" w:hAnsi="Calibri Light" w:cs="Calibri Light"/>
          <w:lang w:val="it-IT"/>
        </w:rPr>
        <w:t xml:space="preserve"> è </w:t>
      </w:r>
      <w:r w:rsidR="00543519">
        <w:rPr>
          <w:rFonts w:ascii="Calibri Light" w:eastAsia="Times New Roman" w:hAnsi="Calibri Light" w:cs="Calibri Light"/>
          <w:lang w:val="it-IT"/>
        </w:rPr>
        <w:t xml:space="preserve">scesa </w:t>
      </w:r>
      <w:r w:rsidRPr="009A26C0">
        <w:rPr>
          <w:rFonts w:ascii="Calibri Light" w:eastAsia="Times New Roman" w:hAnsi="Calibri Light" w:cs="Calibri Light"/>
          <w:lang w:val="it-IT"/>
        </w:rPr>
        <w:t>dal 33% al 28% del totale, e quella degli accademici indipendenti dal 17% al 13%, mentre la rappresentanza del</w:t>
      </w:r>
      <w:r w:rsidR="00543519">
        <w:rPr>
          <w:rFonts w:ascii="Calibri Light" w:eastAsia="Times New Roman" w:hAnsi="Calibri Light" w:cs="Calibri Light"/>
          <w:lang w:val="it-IT"/>
        </w:rPr>
        <w:t xml:space="preserve"> settore </w:t>
      </w:r>
      <w:r w:rsidRPr="009A26C0">
        <w:rPr>
          <w:rFonts w:ascii="Calibri Light" w:eastAsia="Times New Roman" w:hAnsi="Calibri Light" w:cs="Calibri Light"/>
          <w:lang w:val="it-IT"/>
        </w:rPr>
        <w:t>(comprese le associazioni professionali) è aumentata</w:t>
      </w:r>
      <w:r w:rsidR="00543519">
        <w:rPr>
          <w:rFonts w:ascii="Calibri Light" w:eastAsia="Times New Roman" w:hAnsi="Calibri Light" w:cs="Calibri Light"/>
          <w:lang w:val="it-IT"/>
        </w:rPr>
        <w:t xml:space="preserve">, diventando </w:t>
      </w:r>
      <w:r w:rsidRPr="009A26C0">
        <w:rPr>
          <w:rFonts w:ascii="Calibri Light" w:eastAsia="Times New Roman" w:hAnsi="Calibri Light" w:cs="Calibri Light"/>
          <w:lang w:val="it-IT"/>
        </w:rPr>
        <w:t>quasi la metà dei membri</w:t>
      </w:r>
      <w:r w:rsidR="00543519">
        <w:rPr>
          <w:rFonts w:ascii="Calibri Light" w:eastAsia="Times New Roman" w:hAnsi="Calibri Light" w:cs="Calibri Light"/>
          <w:lang w:val="it-IT"/>
        </w:rPr>
        <w:t xml:space="preserve">: </w:t>
      </w:r>
      <w:r w:rsidRPr="009A26C0">
        <w:rPr>
          <w:rFonts w:ascii="Calibri Light" w:eastAsia="Times New Roman" w:hAnsi="Calibri Light" w:cs="Calibri Light"/>
          <w:lang w:val="it-IT"/>
        </w:rPr>
        <w:t xml:space="preserve">da 39% a 48%. Questo ostacola seriamente gli sforzi per sostenere e difendere gli interessi non industriali. </w:t>
      </w:r>
    </w:p>
    <w:p w14:paraId="5232D133" w14:textId="2BCE1B1A" w:rsidR="00D60B21" w:rsidRPr="009A26C0" w:rsidRDefault="00232826">
      <w:pPr>
        <w:spacing w:after="120" w:line="240" w:lineRule="auto"/>
        <w:jc w:val="both"/>
        <w:rPr>
          <w:rFonts w:ascii="Calibri Light" w:eastAsia="Times New Roman" w:hAnsi="Calibri Light" w:cs="Calibri Light"/>
          <w:lang w:val="it-IT"/>
        </w:rPr>
      </w:pPr>
      <w:r>
        <w:rPr>
          <w:rFonts w:ascii="Calibri Light" w:eastAsia="Times New Roman" w:hAnsi="Calibri Light" w:cs="Calibri Light"/>
          <w:lang w:val="it-IT"/>
        </w:rPr>
        <w:t xml:space="preserve">Oltre </w:t>
      </w:r>
      <w:r w:rsidR="00B91C30" w:rsidRPr="009A26C0">
        <w:rPr>
          <w:rFonts w:ascii="Calibri Light" w:eastAsia="Times New Roman" w:hAnsi="Calibri Light" w:cs="Calibri Light"/>
          <w:lang w:val="it-IT"/>
        </w:rPr>
        <w:t xml:space="preserve">al danno, </w:t>
      </w:r>
      <w:r>
        <w:rPr>
          <w:rFonts w:ascii="Calibri Light" w:eastAsia="Times New Roman" w:hAnsi="Calibri Light" w:cs="Calibri Light"/>
          <w:lang w:val="it-IT"/>
        </w:rPr>
        <w:t xml:space="preserve">la beffa: </w:t>
      </w:r>
      <w:r w:rsidR="00B91C30" w:rsidRPr="009A26C0">
        <w:rPr>
          <w:rFonts w:ascii="Calibri Light" w:eastAsia="Times New Roman" w:hAnsi="Calibri Light" w:cs="Calibri Light"/>
          <w:lang w:val="it-IT"/>
        </w:rPr>
        <w:t xml:space="preserve">le </w:t>
      </w:r>
      <w:r>
        <w:rPr>
          <w:rFonts w:ascii="Calibri Light" w:eastAsia="Times New Roman" w:hAnsi="Calibri Light" w:cs="Calibri Light"/>
          <w:lang w:val="it-IT"/>
        </w:rPr>
        <w:t>A</w:t>
      </w:r>
      <w:r w:rsidR="00B91C30" w:rsidRPr="009A26C0">
        <w:rPr>
          <w:rFonts w:ascii="Calibri Light" w:eastAsia="Times New Roman" w:hAnsi="Calibri Light" w:cs="Calibri Light"/>
          <w:lang w:val="it-IT"/>
        </w:rPr>
        <w:t>E</w:t>
      </w:r>
      <w:r>
        <w:rPr>
          <w:rFonts w:ascii="Calibri Light" w:eastAsia="Times New Roman" w:hAnsi="Calibri Light" w:cs="Calibri Light"/>
          <w:lang w:val="it-IT"/>
        </w:rPr>
        <w:t>V</w:t>
      </w:r>
      <w:r w:rsidR="00B91C30" w:rsidRPr="009A26C0">
        <w:rPr>
          <w:rFonts w:ascii="Calibri Light" w:eastAsia="Times New Roman" w:hAnsi="Calibri Light" w:cs="Calibri Light"/>
          <w:lang w:val="it-IT"/>
        </w:rPr>
        <w:t xml:space="preserve"> hanno erroneamente nominato alcuni esperti non consumatori nei pochi posti assegnati ai rappresentanti dei consumatori, riducendo praticamente ulteriormente la voce dei cittadini dell'UE ne</w:t>
      </w:r>
      <w:r>
        <w:rPr>
          <w:rFonts w:ascii="Calibri Light" w:eastAsia="Times New Roman" w:hAnsi="Calibri Light" w:cs="Calibri Light"/>
          <w:lang w:val="it-IT"/>
        </w:rPr>
        <w:t>gli</w:t>
      </w:r>
      <w:r w:rsidR="00B91C30" w:rsidRPr="009A26C0">
        <w:rPr>
          <w:rFonts w:ascii="Calibri Light" w:eastAsia="Times New Roman" w:hAnsi="Calibri Light" w:cs="Calibri Light"/>
          <w:lang w:val="it-IT"/>
        </w:rPr>
        <w:t xml:space="preserve"> SG.</w:t>
      </w:r>
    </w:p>
    <w:tbl>
      <w:tblPr>
        <w:tblW w:w="90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216"/>
        <w:gridCol w:w="547"/>
        <w:gridCol w:w="216"/>
        <w:gridCol w:w="763"/>
        <w:gridCol w:w="3137"/>
        <w:gridCol w:w="800"/>
        <w:gridCol w:w="831"/>
      </w:tblGrid>
      <w:tr w:rsidR="00D60B21" w:rsidRPr="009A26C0" w14:paraId="5232D135" w14:textId="77777777">
        <w:trPr>
          <w:trHeight w:val="300"/>
          <w:jc w:val="center"/>
        </w:trPr>
        <w:tc>
          <w:tcPr>
            <w:tcW w:w="901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34" w14:textId="1D29B552" w:rsidR="00D60B21" w:rsidRPr="009A26C0" w:rsidRDefault="00B91C30" w:rsidP="0023282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  <w:t>Composizione dei gruppi d</w:t>
            </w:r>
            <w:r w:rsidR="00232826"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  <w:t>e</w:t>
            </w:r>
            <w:r w:rsidRPr="009A26C0"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  <w:t xml:space="preserve">i </w:t>
            </w:r>
            <w:r w:rsidR="00232826"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  <w:t>soggetti interessati</w:t>
            </w:r>
            <w:r w:rsidRPr="009A26C0"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  <w:t xml:space="preserve"> delle </w:t>
            </w:r>
            <w:r w:rsidR="00232826"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  <w:t>A</w:t>
            </w:r>
            <w:r w:rsidRPr="009A26C0"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  <w:t>E</w:t>
            </w:r>
            <w:r w:rsidR="00232826"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  <w:t>V</w:t>
            </w:r>
            <w:r w:rsidRPr="009A26C0"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  <w:t>: consumatori/</w:t>
            </w:r>
            <w:r w:rsidR="00232826"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  <w:t>settore</w:t>
            </w:r>
          </w:p>
        </w:tc>
      </w:tr>
      <w:tr w:rsidR="00D60B21" w:rsidRPr="009A26C0" w14:paraId="5232D13C" w14:textId="77777777">
        <w:trPr>
          <w:trHeight w:val="300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36" w14:textId="77777777" w:rsidR="00D60B21" w:rsidRPr="009A26C0" w:rsidRDefault="00D60B2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val="it-IT" w:eastAsia="en-GB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37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2018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38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2020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2D139" w14:textId="77777777" w:rsidR="00D60B21" w:rsidRPr="009A26C0" w:rsidRDefault="00D60B2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3A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2018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3B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2020</w:t>
            </w:r>
          </w:p>
        </w:tc>
      </w:tr>
      <w:tr w:rsidR="00D60B21" w:rsidRPr="009A26C0" w14:paraId="5232D143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3D" w14:textId="77777777" w:rsidR="00D60B21" w:rsidRPr="009A26C0" w:rsidRDefault="00B91C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Titoli e mercati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2D13E" w14:textId="77777777" w:rsidR="00D60B21" w:rsidRPr="009A26C0" w:rsidRDefault="00D60B2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</w:p>
        </w:tc>
        <w:tc>
          <w:tcPr>
            <w:tcW w:w="7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2D13F" w14:textId="77777777" w:rsidR="00D60B21" w:rsidRPr="009A26C0" w:rsidRDefault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0" w14:textId="77777777" w:rsidR="00D60B21" w:rsidRPr="009A26C0" w:rsidRDefault="00B91C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Assicurazione e riassicurazione</w:t>
            </w:r>
          </w:p>
        </w:tc>
        <w:tc>
          <w:tcPr>
            <w:tcW w:w="80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2D141" w14:textId="77777777" w:rsidR="00D60B21" w:rsidRPr="009A26C0" w:rsidRDefault="00D60B2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2" w14:textId="77777777" w:rsidR="00D60B21" w:rsidRPr="009A26C0" w:rsidRDefault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</w:tr>
      <w:tr w:rsidR="00D60B21" w:rsidRPr="009A26C0" w14:paraId="5232D14A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4" w14:textId="245BDEC9" w:rsidR="00D60B21" w:rsidRPr="009A26C0" w:rsidRDefault="00186052" w:rsidP="0018605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Esperti di c</w:t>
            </w:r>
            <w:r w:rsidR="00B91C30"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 xml:space="preserve">onsumatori e utenti* </w:t>
            </w:r>
          </w:p>
        </w:tc>
        <w:tc>
          <w:tcPr>
            <w:tcW w:w="7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5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12</w:t>
            </w:r>
          </w:p>
        </w:tc>
        <w:tc>
          <w:tcPr>
            <w:tcW w:w="76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6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10</w:t>
            </w:r>
          </w:p>
        </w:tc>
        <w:tc>
          <w:tcPr>
            <w:tcW w:w="3137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7" w14:textId="77777777" w:rsidR="00D60B21" w:rsidRPr="009A26C0" w:rsidRDefault="00B91C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Esperti* dei consumatori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8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10</w:t>
            </w:r>
          </w:p>
        </w:tc>
        <w:tc>
          <w:tcPr>
            <w:tcW w:w="83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9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9</w:t>
            </w:r>
          </w:p>
        </w:tc>
      </w:tr>
      <w:tr w:rsidR="00D60B21" w:rsidRPr="009A26C0" w14:paraId="5232D151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B" w14:textId="5459BC5B" w:rsidR="00D60B21" w:rsidRPr="009A26C0" w:rsidRDefault="00B91C30" w:rsidP="0018605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Esperti del</w:t>
            </w:r>
            <w:r w:rsidR="00186052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 xml:space="preserve"> settore</w:t>
            </w: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*</w:t>
            </w:r>
          </w:p>
        </w:tc>
        <w:tc>
          <w:tcPr>
            <w:tcW w:w="763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C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10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D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13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E" w14:textId="72DAE2F4" w:rsidR="00D60B21" w:rsidRPr="009A26C0" w:rsidRDefault="00B91C30" w:rsidP="0018605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Esperti del</w:t>
            </w:r>
            <w:r w:rsidR="00186052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 xml:space="preserve"> settore</w:t>
            </w: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*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4F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13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50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15</w:t>
            </w:r>
          </w:p>
        </w:tc>
      </w:tr>
      <w:tr w:rsidR="00D60B21" w:rsidRPr="009A26C0" w14:paraId="5232D158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52" w14:textId="77777777" w:rsidR="00D60B21" w:rsidRPr="009A26C0" w:rsidRDefault="00B91C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Banche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2D153" w14:textId="77777777" w:rsidR="00D60B21" w:rsidRPr="009A26C0" w:rsidRDefault="00D60B2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</w:p>
        </w:tc>
        <w:tc>
          <w:tcPr>
            <w:tcW w:w="7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2D154" w14:textId="77777777" w:rsidR="00D60B21" w:rsidRPr="009A26C0" w:rsidRDefault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55" w14:textId="77777777" w:rsidR="00D60B21" w:rsidRPr="009A26C0" w:rsidRDefault="00B91C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Previdenza professionale</w:t>
            </w:r>
          </w:p>
        </w:tc>
        <w:tc>
          <w:tcPr>
            <w:tcW w:w="80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2D156" w14:textId="77777777" w:rsidR="00D60B21" w:rsidRPr="009A26C0" w:rsidRDefault="00D60B2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57" w14:textId="77777777" w:rsidR="00D60B21" w:rsidRPr="009A26C0" w:rsidRDefault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</w:tr>
      <w:tr w:rsidR="00D60B21" w:rsidRPr="009A26C0" w14:paraId="5232D15F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59" w14:textId="745E99C5" w:rsidR="00D60B21" w:rsidRPr="009A26C0" w:rsidRDefault="00186052" w:rsidP="0018605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Esperti di c</w:t>
            </w:r>
            <w:r w:rsidR="00B91C30"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 xml:space="preserve">onsumatori e utenti* </w:t>
            </w:r>
          </w:p>
        </w:tc>
        <w:tc>
          <w:tcPr>
            <w:tcW w:w="7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5A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9</w:t>
            </w:r>
          </w:p>
        </w:tc>
        <w:tc>
          <w:tcPr>
            <w:tcW w:w="76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5B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9</w:t>
            </w:r>
          </w:p>
        </w:tc>
        <w:tc>
          <w:tcPr>
            <w:tcW w:w="3137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5C" w14:textId="77777777" w:rsidR="00D60B21" w:rsidRPr="009A26C0" w:rsidRDefault="00B91C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Esperti dei consumatori* (partecipanti PP)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5D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8</w:t>
            </w:r>
          </w:p>
        </w:tc>
        <w:tc>
          <w:tcPr>
            <w:tcW w:w="83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5E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5</w:t>
            </w:r>
          </w:p>
        </w:tc>
      </w:tr>
      <w:tr w:rsidR="00D60B21" w:rsidRPr="009A26C0" w14:paraId="5232D166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60" w14:textId="26C39BA9" w:rsidR="00D60B21" w:rsidRPr="009A26C0" w:rsidRDefault="00B91C30" w:rsidP="0018605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Esperti del</w:t>
            </w:r>
            <w:r w:rsidR="00186052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 xml:space="preserve"> settore</w:t>
            </w: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*</w:t>
            </w:r>
          </w:p>
        </w:tc>
        <w:tc>
          <w:tcPr>
            <w:tcW w:w="763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61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10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62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13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63" w14:textId="4ABDAD8F" w:rsidR="00D60B21" w:rsidRPr="009A26C0" w:rsidRDefault="00186052" w:rsidP="0018605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Settore</w:t>
            </w:r>
            <w:r w:rsidR="00B91C30"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*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64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14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165" w14:textId="77777777" w:rsidR="00D60B21" w:rsidRPr="009A26C0" w:rsidRDefault="00B91C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color w:val="000000"/>
                <w:lang w:val="it-IT" w:eastAsia="en-GB"/>
              </w:rPr>
              <w:t>16</w:t>
            </w:r>
          </w:p>
        </w:tc>
      </w:tr>
      <w:tr w:rsidR="00D60B21" w:rsidRPr="009A26C0" w14:paraId="5232D16B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67" w14:textId="77777777" w:rsidR="00D60B21" w:rsidRPr="009A26C0" w:rsidRDefault="00B91C30">
            <w:pPr>
              <w:spacing w:before="120"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u w:val="single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u w:val="single"/>
                <w:lang w:val="it-IT" w:eastAsia="en-GB"/>
              </w:rPr>
              <w:t>Totali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68" w14:textId="77777777" w:rsidR="00D60B21" w:rsidRPr="009A26C0" w:rsidRDefault="00B91C30">
            <w:pPr>
              <w:spacing w:before="120"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2018</w:t>
            </w:r>
          </w:p>
        </w:tc>
        <w:tc>
          <w:tcPr>
            <w:tcW w:w="7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69" w14:textId="77777777" w:rsidR="00D60B21" w:rsidRPr="009A26C0" w:rsidRDefault="00B91C30">
            <w:pPr>
              <w:spacing w:before="120"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2020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6A" w14:textId="77777777" w:rsidR="00D60B21" w:rsidRPr="009A26C0" w:rsidRDefault="00B91C30">
            <w:pPr>
              <w:spacing w:before="120" w:after="12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  <w:t>* consumatori = "consumatori", altri utenti", persone della "società civile", ecc.</w:t>
            </w:r>
          </w:p>
        </w:tc>
      </w:tr>
      <w:tr w:rsidR="00D60B21" w:rsidRPr="009A26C0" w14:paraId="5232D170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6C" w14:textId="77777777" w:rsidR="00D60B21" w:rsidRPr="009A26C0" w:rsidRDefault="00B91C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Rappresentanti dei consumatori</w:t>
            </w:r>
          </w:p>
        </w:tc>
        <w:tc>
          <w:tcPr>
            <w:tcW w:w="7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6D" w14:textId="77777777" w:rsidR="00D60B21" w:rsidRPr="009A26C0" w:rsidRDefault="00B91C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33%</w:t>
            </w:r>
          </w:p>
        </w:tc>
        <w:tc>
          <w:tcPr>
            <w:tcW w:w="76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6E" w14:textId="77777777" w:rsidR="00D60B21" w:rsidRPr="009A26C0" w:rsidRDefault="00B91C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FF0000"/>
                <w:lang w:val="it-IT" w:eastAsia="en-GB"/>
              </w:rPr>
              <w:t>28%</w:t>
            </w:r>
          </w:p>
        </w:tc>
        <w:tc>
          <w:tcPr>
            <w:tcW w:w="476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6F" w14:textId="1A559029" w:rsidR="00D60B21" w:rsidRPr="009A26C0" w:rsidRDefault="00B91C30" w:rsidP="00186052">
            <w:pPr>
              <w:spacing w:after="12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  <w:t xml:space="preserve">** </w:t>
            </w:r>
            <w:r w:rsidR="0018605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  <w:t>settore</w:t>
            </w:r>
            <w:r w:rsidRPr="009A26C0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  <w:t xml:space="preserve"> = "industria", "operatori di mercato", "IORP" (previdenza professionale), "associazioni professionali", ecc.</w:t>
            </w:r>
          </w:p>
        </w:tc>
      </w:tr>
      <w:tr w:rsidR="00D60B21" w:rsidRPr="009A26C0" w14:paraId="5232D175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71" w14:textId="58EE2A1F" w:rsidR="00D60B21" w:rsidRPr="009A26C0" w:rsidRDefault="00B91C30" w:rsidP="0018605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Rappresentanti del</w:t>
            </w:r>
            <w:r w:rsidR="00186052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 xml:space="preserve"> settore</w:t>
            </w:r>
          </w:p>
        </w:tc>
        <w:tc>
          <w:tcPr>
            <w:tcW w:w="763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72" w14:textId="77777777" w:rsidR="00D60B21" w:rsidRPr="009A26C0" w:rsidRDefault="00B91C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000000"/>
                <w:lang w:val="it-IT" w:eastAsia="en-GB"/>
              </w:rPr>
              <w:t>39%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73" w14:textId="77777777" w:rsidR="00D60B21" w:rsidRPr="009A26C0" w:rsidRDefault="00B91C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0000"/>
                <w:lang w:val="it-IT" w:eastAsia="en-GB"/>
              </w:rPr>
            </w:pPr>
            <w:r w:rsidRPr="009A26C0">
              <w:rPr>
                <w:rFonts w:ascii="Calibri Light" w:eastAsia="Times New Roman" w:hAnsi="Calibri Light" w:cs="Calibri Light"/>
                <w:b/>
                <w:bCs/>
                <w:color w:val="FF0000"/>
                <w:lang w:val="it-IT" w:eastAsia="en-GB"/>
              </w:rPr>
              <w:t>48%</w:t>
            </w:r>
          </w:p>
        </w:tc>
        <w:tc>
          <w:tcPr>
            <w:tcW w:w="47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D174" w14:textId="573BBCBC" w:rsidR="00D60B21" w:rsidRPr="009A26C0" w:rsidRDefault="00B91C30" w:rsidP="00186052">
            <w:pPr>
              <w:spacing w:after="120" w:line="240" w:lineRule="auto"/>
              <w:rPr>
                <w:lang w:val="it-IT"/>
              </w:rPr>
            </w:pPr>
            <w:r w:rsidRPr="009A26C0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u w:val="single"/>
                <w:lang w:val="it-IT" w:eastAsia="en-GB"/>
              </w:rPr>
              <w:t>Fonte</w:t>
            </w:r>
            <w:r w:rsidRPr="009A26C0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  <w:t xml:space="preserve">: </w:t>
            </w:r>
            <w:r w:rsidR="0018605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  <w:t>A</w:t>
            </w:r>
            <w:r w:rsidRPr="009A26C0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  <w:t>E</w:t>
            </w:r>
            <w:r w:rsidR="00186052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  <w:t>V</w:t>
            </w:r>
            <w:r w:rsidRPr="009A26C0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  <w:t xml:space="preserve">, analisi BF: il </w:t>
            </w:r>
            <w:proofErr w:type="spellStart"/>
            <w:r w:rsidRPr="009A26C0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  <w:t>think</w:t>
            </w:r>
            <w:proofErr w:type="spellEnd"/>
            <w:r w:rsidRPr="009A26C0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it-IT" w:eastAsia="en-GB"/>
              </w:rPr>
              <w:t xml:space="preserve"> tank ECMI e il FMI governativo non sono considerati organizzazioni di consumatori</w:t>
            </w:r>
          </w:p>
        </w:tc>
      </w:tr>
    </w:tbl>
    <w:p w14:paraId="5232D176" w14:textId="5AF9848D" w:rsidR="00D60B21" w:rsidRPr="009A26C0" w:rsidRDefault="00B91C30">
      <w:pPr>
        <w:spacing w:before="120" w:after="120" w:line="240" w:lineRule="auto"/>
        <w:jc w:val="both"/>
        <w:rPr>
          <w:lang w:val="it-IT"/>
        </w:rPr>
      </w:pPr>
      <w:r w:rsidRPr="009A26C0">
        <w:rPr>
          <w:rFonts w:ascii="Calibri Light" w:eastAsia="Times New Roman" w:hAnsi="Calibri Light" w:cs="Calibri Light"/>
          <w:lang w:val="it-IT"/>
        </w:rPr>
        <w:t xml:space="preserve">Guillaume </w:t>
      </w:r>
      <w:proofErr w:type="spellStart"/>
      <w:r w:rsidRPr="009A26C0">
        <w:rPr>
          <w:rFonts w:ascii="Calibri Light" w:eastAsia="Times New Roman" w:hAnsi="Calibri Light" w:cs="Calibri Light"/>
          <w:lang w:val="it-IT"/>
        </w:rPr>
        <w:t>Prache</w:t>
      </w:r>
      <w:proofErr w:type="spellEnd"/>
      <w:r w:rsidRPr="009A26C0">
        <w:rPr>
          <w:rFonts w:ascii="Calibri Light" w:eastAsia="Times New Roman" w:hAnsi="Calibri Light" w:cs="Calibri Light"/>
          <w:lang w:val="it-IT"/>
        </w:rPr>
        <w:t xml:space="preserve"> sottolinea che "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 xml:space="preserve">una tale mossa rappresenta un </w:t>
      </w:r>
      <w:r w:rsidR="00186052">
        <w:rPr>
          <w:rFonts w:ascii="Calibri Light" w:eastAsia="Times New Roman" w:hAnsi="Calibri Light" w:cs="Calibri Light"/>
          <w:i/>
          <w:iCs/>
          <w:lang w:val="it-IT"/>
        </w:rPr>
        <w:t xml:space="preserve">notevole 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 xml:space="preserve">passo indietro, con un ritorno alle pratiche precedenti al 2008, quando la politica finanziaria dell'UE era per lo più fatta </w:t>
      </w:r>
      <w:r w:rsidR="00186052">
        <w:rPr>
          <w:rFonts w:ascii="Calibri Light" w:eastAsia="Times New Roman" w:hAnsi="Calibri Light" w:cs="Calibri Light"/>
          <w:i/>
          <w:iCs/>
          <w:lang w:val="it-IT"/>
        </w:rPr>
        <w:t>da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 xml:space="preserve"> responsabili politici dell'UE e lobbisti del</w:t>
      </w:r>
      <w:r w:rsidR="00186052">
        <w:rPr>
          <w:rFonts w:ascii="Calibri Light" w:eastAsia="Times New Roman" w:hAnsi="Calibri Light" w:cs="Calibri Light"/>
          <w:i/>
          <w:iCs/>
          <w:lang w:val="it-IT"/>
        </w:rPr>
        <w:t xml:space="preserve"> settore finanziario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>"</w:t>
      </w:r>
      <w:r w:rsidRPr="009A26C0">
        <w:rPr>
          <w:rFonts w:ascii="Calibri Light" w:eastAsia="Times New Roman" w:hAnsi="Calibri Light" w:cs="Calibri Light"/>
          <w:lang w:val="it-IT"/>
        </w:rPr>
        <w:t xml:space="preserve">. </w:t>
      </w:r>
      <w:r w:rsidR="00186052">
        <w:rPr>
          <w:rFonts w:ascii="Calibri Light" w:eastAsia="Times New Roman" w:hAnsi="Calibri Light" w:cs="Calibri Light"/>
          <w:lang w:val="it-IT"/>
        </w:rPr>
        <w:t>Ciò</w:t>
      </w:r>
      <w:r w:rsidRPr="009A26C0">
        <w:rPr>
          <w:rFonts w:ascii="Calibri Light" w:eastAsia="Times New Roman" w:hAnsi="Calibri Light" w:cs="Calibri Light"/>
          <w:lang w:val="it-IT"/>
        </w:rPr>
        <w:t xml:space="preserve"> inverte alcuni dei grandi progressi compiuti nel 2018, quando </w:t>
      </w:r>
      <w:r w:rsidR="00186052">
        <w:rPr>
          <w:rFonts w:ascii="Calibri Light" w:eastAsia="Times New Roman" w:hAnsi="Calibri Light" w:cs="Calibri Light"/>
          <w:lang w:val="it-IT"/>
        </w:rPr>
        <w:t xml:space="preserve">BETTER FINANCE </w:t>
      </w:r>
      <w:r w:rsidRPr="009A26C0">
        <w:rPr>
          <w:rFonts w:ascii="Calibri Light" w:eastAsia="Times New Roman" w:hAnsi="Calibri Light" w:cs="Calibri Light"/>
          <w:lang w:val="it-IT"/>
        </w:rPr>
        <w:t xml:space="preserve">si </w:t>
      </w:r>
      <w:r w:rsidR="00F97E01">
        <w:rPr>
          <w:rFonts w:ascii="Calibri Light" w:eastAsia="Times New Roman" w:hAnsi="Calibri Light" w:cs="Calibri Light"/>
          <w:lang w:val="it-IT"/>
        </w:rPr>
        <w:t>era</w:t>
      </w:r>
      <w:r w:rsidRPr="009A26C0">
        <w:rPr>
          <w:rFonts w:ascii="Calibri Light" w:eastAsia="Times New Roman" w:hAnsi="Calibri Light" w:cs="Calibri Light"/>
          <w:lang w:val="it-IT"/>
        </w:rPr>
        <w:t xml:space="preserve"> </w:t>
      </w:r>
      <w:hyperlink r:id="rId12" w:history="1">
        <w:r w:rsidR="00186052">
          <w:rPr>
            <w:rStyle w:val="Collegamentoipertestuale"/>
            <w:rFonts w:ascii="Calibri Light" w:eastAsia="Times New Roman" w:hAnsi="Calibri Light" w:cs="Calibri Light"/>
            <w:lang w:val="it-IT"/>
          </w:rPr>
          <w:t>congratulata</w:t>
        </w:r>
      </w:hyperlink>
      <w:r w:rsidR="00186052">
        <w:rPr>
          <w:rFonts w:ascii="Calibri Light" w:eastAsia="Times New Roman" w:hAnsi="Calibri Light" w:cs="Calibri Light"/>
          <w:lang w:val="it-IT"/>
        </w:rPr>
        <w:t xml:space="preserve"> con l’AEAP</w:t>
      </w:r>
      <w:r w:rsidRPr="009A26C0">
        <w:rPr>
          <w:rFonts w:ascii="Calibri Light" w:eastAsia="Times New Roman" w:hAnsi="Calibri Light" w:cs="Calibri Light"/>
          <w:lang w:val="it-IT"/>
        </w:rPr>
        <w:t xml:space="preserve"> per aver </w:t>
      </w:r>
      <w:r w:rsidR="00186052">
        <w:rPr>
          <w:rFonts w:ascii="Calibri Light" w:eastAsia="Times New Roman" w:hAnsi="Calibri Light" w:cs="Calibri Light"/>
          <w:lang w:val="it-IT"/>
        </w:rPr>
        <w:t xml:space="preserve">brillantemente </w:t>
      </w:r>
      <w:r w:rsidRPr="009A26C0">
        <w:rPr>
          <w:rFonts w:ascii="Calibri Light" w:eastAsia="Times New Roman" w:hAnsi="Calibri Light" w:cs="Calibri Light"/>
          <w:lang w:val="it-IT"/>
        </w:rPr>
        <w:t xml:space="preserve">cercato di "rafforzare la rappresentanza dei consumatori" e di essere all'altezza dello spirito dei regolamenti UE che disciplinano la vigilanza europea </w:t>
      </w:r>
      <w:r w:rsidR="00186052">
        <w:rPr>
          <w:rFonts w:ascii="Calibri Light" w:eastAsia="Times New Roman" w:hAnsi="Calibri Light" w:cs="Calibri Light"/>
          <w:lang w:val="it-IT"/>
        </w:rPr>
        <w:t xml:space="preserve">in materia finanziaria </w:t>
      </w:r>
      <w:r w:rsidRPr="009A26C0">
        <w:rPr>
          <w:rFonts w:ascii="Calibri Light" w:eastAsia="Times New Roman" w:hAnsi="Calibri Light" w:cs="Calibri Light"/>
          <w:lang w:val="it-IT"/>
        </w:rPr>
        <w:t>e che richiedono una proporzione equilibrata tra i rappresentanti del</w:t>
      </w:r>
      <w:r w:rsidR="00186052">
        <w:rPr>
          <w:rFonts w:ascii="Calibri Light" w:eastAsia="Times New Roman" w:hAnsi="Calibri Light" w:cs="Calibri Light"/>
          <w:lang w:val="it-IT"/>
        </w:rPr>
        <w:t xml:space="preserve"> settore </w:t>
      </w:r>
      <w:r w:rsidRPr="009A26C0">
        <w:rPr>
          <w:rFonts w:ascii="Calibri Light" w:eastAsia="Times New Roman" w:hAnsi="Calibri Light" w:cs="Calibri Light"/>
          <w:lang w:val="it-IT"/>
        </w:rPr>
        <w:t xml:space="preserve">e quelli degli utenti al dettaglio. </w:t>
      </w:r>
    </w:p>
    <w:p w14:paraId="5232D177" w14:textId="316E7755" w:rsidR="00D60B21" w:rsidRPr="009A26C0" w:rsidRDefault="00B91C30">
      <w:pPr>
        <w:spacing w:after="120" w:line="240" w:lineRule="auto"/>
        <w:jc w:val="both"/>
        <w:rPr>
          <w:lang w:val="it-IT"/>
        </w:rPr>
      </w:pPr>
      <w:r w:rsidRPr="009A26C0">
        <w:rPr>
          <w:rFonts w:ascii="Calibri Light" w:eastAsia="Times New Roman" w:hAnsi="Calibri Light" w:cs="Calibri Light"/>
          <w:lang w:val="it-IT"/>
        </w:rPr>
        <w:t>Queste nuove composizioni dei gruppi d</w:t>
      </w:r>
      <w:r w:rsidR="00186052">
        <w:rPr>
          <w:rFonts w:ascii="Calibri Light" w:eastAsia="Times New Roman" w:hAnsi="Calibri Light" w:cs="Calibri Light"/>
          <w:lang w:val="it-IT"/>
        </w:rPr>
        <w:t>i soggetti interessati</w:t>
      </w:r>
      <w:r w:rsidRPr="009A26C0">
        <w:rPr>
          <w:rFonts w:ascii="Calibri Light" w:eastAsia="Times New Roman" w:hAnsi="Calibri Light" w:cs="Calibri Light"/>
          <w:lang w:val="it-IT"/>
        </w:rPr>
        <w:t xml:space="preserve"> contrastano con le raccomandazioni del Forum ad alto livello della Commissione europea</w:t>
      </w:r>
      <w:r w:rsidR="00186052">
        <w:rPr>
          <w:rFonts w:ascii="Calibri Light" w:eastAsia="Times New Roman" w:hAnsi="Calibri Light" w:cs="Calibri Light"/>
          <w:lang w:val="it-IT"/>
        </w:rPr>
        <w:t>, appena pubblicate,</w:t>
      </w:r>
      <w:r w:rsidRPr="009A26C0">
        <w:rPr>
          <w:rFonts w:ascii="Calibri Light" w:eastAsia="Times New Roman" w:hAnsi="Calibri Light" w:cs="Calibri Light"/>
          <w:lang w:val="it-IT"/>
        </w:rPr>
        <w:t xml:space="preserve"> su un'Unione dei mercati dei </w:t>
      </w:r>
      <w:r w:rsidRPr="009A26C0">
        <w:rPr>
          <w:rFonts w:ascii="Calibri Light" w:eastAsia="Times New Roman" w:hAnsi="Calibri Light" w:cs="Calibri Light"/>
          <w:lang w:val="it-IT"/>
        </w:rPr>
        <w:lastRenderedPageBreak/>
        <w:t xml:space="preserve">capitali, </w:t>
      </w:r>
      <w:r w:rsidR="00186052">
        <w:rPr>
          <w:rFonts w:ascii="Calibri Light" w:eastAsia="Times New Roman" w:hAnsi="Calibri Light" w:cs="Calibri Light"/>
          <w:lang w:val="it-IT"/>
        </w:rPr>
        <w:t xml:space="preserve">nelle quali si </w:t>
      </w:r>
      <w:r w:rsidRPr="009A26C0">
        <w:rPr>
          <w:rFonts w:ascii="Calibri Light" w:eastAsia="Times New Roman" w:hAnsi="Calibri Light" w:cs="Calibri Light"/>
          <w:lang w:val="it-IT"/>
        </w:rPr>
        <w:t xml:space="preserve">afferma che le autorità </w:t>
      </w:r>
      <w:r w:rsidR="00186052">
        <w:rPr>
          <w:rFonts w:ascii="Calibri Light" w:eastAsia="Times New Roman" w:hAnsi="Calibri Light" w:cs="Calibri Light"/>
          <w:lang w:val="it-IT"/>
        </w:rPr>
        <w:t xml:space="preserve">europee </w:t>
      </w:r>
      <w:r w:rsidRPr="009A26C0">
        <w:rPr>
          <w:rFonts w:ascii="Calibri Light" w:eastAsia="Times New Roman" w:hAnsi="Calibri Light" w:cs="Calibri Light"/>
          <w:lang w:val="it-IT"/>
        </w:rPr>
        <w:t xml:space="preserve">di vigilanza dovrebbero 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>"[garantire] una rappresentanza equilibrata nei gruppi de</w:t>
      </w:r>
      <w:r w:rsidR="00186052">
        <w:rPr>
          <w:rFonts w:ascii="Calibri Light" w:eastAsia="Times New Roman" w:hAnsi="Calibri Light" w:cs="Calibri Light"/>
          <w:i/>
          <w:iCs/>
          <w:lang w:val="it-IT"/>
        </w:rPr>
        <w:t>i soggetti interessati</w:t>
      </w:r>
      <w:r w:rsidRPr="009A26C0">
        <w:rPr>
          <w:rFonts w:ascii="Calibri Light" w:eastAsia="Times New Roman" w:hAnsi="Calibri Light" w:cs="Calibri Light"/>
          <w:i/>
          <w:iCs/>
          <w:lang w:val="it-IT"/>
        </w:rPr>
        <w:t xml:space="preserve"> tra i rappresentanti del settore e gli utenti/consumatori al dettaglio</w:t>
      </w:r>
      <w:r w:rsidRPr="009A26C0">
        <w:rPr>
          <w:rFonts w:ascii="Calibri Light" w:eastAsia="Times New Roman" w:hAnsi="Calibri Light" w:cs="Calibri Light"/>
          <w:lang w:val="it-IT"/>
        </w:rPr>
        <w:t>"</w:t>
      </w:r>
      <w:r w:rsidRPr="009A26C0">
        <w:rPr>
          <w:rStyle w:val="Rimandonotaapidipagina"/>
          <w:rFonts w:ascii="Calibri Light" w:eastAsia="Times New Roman" w:hAnsi="Calibri Light" w:cs="Calibri Light"/>
          <w:lang w:val="it-IT"/>
        </w:rPr>
        <w:footnoteReference w:id="8"/>
      </w:r>
      <w:r w:rsidRPr="009A26C0">
        <w:rPr>
          <w:rFonts w:ascii="Calibri Light" w:eastAsia="Times New Roman" w:hAnsi="Calibri Light" w:cs="Calibri Light"/>
          <w:lang w:val="it-IT"/>
        </w:rPr>
        <w:t xml:space="preserve">. </w:t>
      </w:r>
    </w:p>
    <w:p w14:paraId="5232D178" w14:textId="77777777" w:rsidR="00D60B21" w:rsidRPr="009A26C0" w:rsidRDefault="00B91C30">
      <w:pPr>
        <w:spacing w:after="0" w:line="240" w:lineRule="auto"/>
        <w:jc w:val="center"/>
        <w:rPr>
          <w:rFonts w:ascii="Calibri Light" w:hAnsi="Calibri Light" w:cs="Calibri Light"/>
          <w:lang w:val="it-IT"/>
        </w:rPr>
      </w:pPr>
      <w:r w:rsidRPr="009A26C0">
        <w:rPr>
          <w:rFonts w:ascii="Calibri Light" w:hAnsi="Calibri Light" w:cs="Calibri Light"/>
          <w:lang w:val="it-IT"/>
        </w:rPr>
        <w:t>***</w:t>
      </w:r>
    </w:p>
    <w:p w14:paraId="5232D179" w14:textId="77777777" w:rsidR="00D60B21" w:rsidRPr="009A26C0" w:rsidRDefault="00B91C30">
      <w:pPr>
        <w:pStyle w:val="Corpotesto"/>
        <w:spacing w:after="0" w:line="240" w:lineRule="auto"/>
        <w:jc w:val="center"/>
        <w:rPr>
          <w:lang w:val="it-IT"/>
        </w:rPr>
      </w:pPr>
      <w:r w:rsidRPr="009A26C0">
        <w:rPr>
          <w:rFonts w:ascii="Calibri Light" w:hAnsi="Calibri Light" w:cs="Calibri Light"/>
          <w:sz w:val="20"/>
          <w:u w:val="single"/>
          <w:lang w:val="it-IT"/>
        </w:rPr>
        <w:t>Contatto</w:t>
      </w:r>
      <w:r w:rsidRPr="009A26C0">
        <w:rPr>
          <w:rFonts w:ascii="Calibri Light" w:hAnsi="Calibri Light" w:cs="Calibri Light"/>
          <w:sz w:val="20"/>
          <w:lang w:val="it-IT"/>
        </w:rPr>
        <w:t xml:space="preserve">: Direttore delle comunicazioni ǀ </w:t>
      </w:r>
      <w:proofErr w:type="spellStart"/>
      <w:r w:rsidRPr="009A26C0">
        <w:rPr>
          <w:rFonts w:ascii="Calibri Light" w:hAnsi="Calibri Light" w:cs="Calibri Light"/>
          <w:sz w:val="20"/>
          <w:lang w:val="it-IT"/>
        </w:rPr>
        <w:t>Arnaud</w:t>
      </w:r>
      <w:proofErr w:type="spellEnd"/>
      <w:r w:rsidRPr="009A26C0">
        <w:rPr>
          <w:rFonts w:ascii="Calibri Light" w:hAnsi="Calibri Light" w:cs="Calibri Light"/>
          <w:sz w:val="20"/>
          <w:lang w:val="it-IT"/>
        </w:rPr>
        <w:t xml:space="preserve"> </w:t>
      </w:r>
      <w:proofErr w:type="spellStart"/>
      <w:r w:rsidRPr="009A26C0">
        <w:rPr>
          <w:rFonts w:ascii="Calibri Light" w:hAnsi="Calibri Light" w:cs="Calibri Light"/>
          <w:sz w:val="20"/>
          <w:lang w:val="it-IT"/>
        </w:rPr>
        <w:t>Houdmont</w:t>
      </w:r>
      <w:proofErr w:type="spellEnd"/>
      <w:r w:rsidRPr="009A26C0">
        <w:rPr>
          <w:rFonts w:ascii="Calibri Light" w:hAnsi="Calibri Light" w:cs="Calibri Light"/>
          <w:sz w:val="20"/>
          <w:lang w:val="it-IT"/>
        </w:rPr>
        <w:t xml:space="preserve"> ǀ +32 (0)2 514 37 77 ǀ </w:t>
      </w:r>
      <w:hyperlink r:id="rId13" w:history="1">
        <w:r w:rsidRPr="009A26C0">
          <w:rPr>
            <w:rStyle w:val="Collegamentoipertestuale"/>
            <w:rFonts w:ascii="Calibri Light" w:hAnsi="Calibri Light" w:cs="Calibri Light"/>
            <w:sz w:val="20"/>
            <w:lang w:val="it-IT"/>
          </w:rPr>
          <w:t>houdmont@betterfinance.eu</w:t>
        </w:r>
      </w:hyperlink>
    </w:p>
    <w:p w14:paraId="5232D17A" w14:textId="77777777" w:rsidR="00B01380" w:rsidRPr="009A26C0" w:rsidRDefault="00B01380">
      <w:pPr>
        <w:rPr>
          <w:lang w:val="it-IT"/>
        </w:rPr>
        <w:sectPr w:rsidR="00B01380" w:rsidRPr="009A26C0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20"/>
        </w:sectPr>
      </w:pPr>
    </w:p>
    <w:p w14:paraId="5232D17B" w14:textId="77777777" w:rsidR="00D60B21" w:rsidRPr="009A26C0" w:rsidRDefault="00D60B21">
      <w:pPr>
        <w:pStyle w:val="Titolo2"/>
        <w:spacing w:after="80"/>
        <w:rPr>
          <w:lang w:val="it-IT"/>
        </w:rPr>
      </w:pPr>
    </w:p>
    <w:p w14:paraId="5232D17C" w14:textId="77777777" w:rsidR="00D60B21" w:rsidRPr="009A26C0" w:rsidRDefault="00D60B21">
      <w:pPr>
        <w:rPr>
          <w:lang w:val="it-IT"/>
        </w:rPr>
      </w:pPr>
    </w:p>
    <w:sectPr w:rsidR="00D60B21" w:rsidRPr="009A26C0">
      <w:type w:val="continuous"/>
      <w:pgSz w:w="11906" w:h="16838"/>
      <w:pgMar w:top="1440" w:right="720" w:bottom="144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1ED79" w14:textId="77777777" w:rsidR="001F62C8" w:rsidRDefault="001F62C8">
      <w:pPr>
        <w:spacing w:after="0" w:line="240" w:lineRule="auto"/>
      </w:pPr>
      <w:r>
        <w:separator/>
      </w:r>
    </w:p>
  </w:endnote>
  <w:endnote w:type="continuationSeparator" w:id="0">
    <w:p w14:paraId="5F341ACA" w14:textId="77777777" w:rsidR="001F62C8" w:rsidRDefault="001F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2D13E" w14:textId="77777777" w:rsidR="0089559A" w:rsidRDefault="00B91C30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en-US"/>
      </w:rPr>
    </w:pPr>
    <w:r>
      <w:rPr>
        <w:b/>
        <w:color w:val="006FB4"/>
        <w:sz w:val="16"/>
        <w:szCs w:val="16"/>
        <w:lang w:val="en-US"/>
      </w:rPr>
      <w:t xml:space="preserve">La </w:t>
    </w:r>
    <w:proofErr w:type="spellStart"/>
    <w:r>
      <w:rPr>
        <w:b/>
        <w:color w:val="006FB4"/>
        <w:sz w:val="16"/>
        <w:szCs w:val="16"/>
        <w:lang w:val="en-US"/>
      </w:rPr>
      <w:t>Federazione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europea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degli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investitori</w:t>
    </w:r>
    <w:proofErr w:type="spellEnd"/>
    <w:r>
      <w:rPr>
        <w:b/>
        <w:color w:val="006FB4"/>
        <w:sz w:val="16"/>
        <w:szCs w:val="16"/>
        <w:lang w:val="en-US"/>
      </w:rPr>
      <w:t xml:space="preserve"> e </w:t>
    </w:r>
    <w:proofErr w:type="spellStart"/>
    <w:r>
      <w:rPr>
        <w:b/>
        <w:color w:val="006FB4"/>
        <w:sz w:val="16"/>
        <w:szCs w:val="16"/>
        <w:lang w:val="en-US"/>
      </w:rPr>
      <w:t>degli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utenti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dei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servizi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finanziari</w:t>
    </w:r>
    <w:proofErr w:type="spellEnd"/>
  </w:p>
  <w:p w14:paraId="5232D13F" w14:textId="77777777" w:rsidR="0089559A" w:rsidRDefault="00B91C30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 xml:space="preserve">44, Rue </w:t>
    </w:r>
    <w:proofErr w:type="spellStart"/>
    <w:r>
      <w:rPr>
        <w:color w:val="006FB4"/>
        <w:sz w:val="16"/>
        <w:szCs w:val="16"/>
        <w:lang w:val="de-DE"/>
      </w:rPr>
      <w:t>d'Arenberg</w:t>
    </w:r>
    <w:proofErr w:type="spellEnd"/>
    <w:r>
      <w:rPr>
        <w:color w:val="006FB4"/>
        <w:sz w:val="16"/>
        <w:szCs w:val="16"/>
        <w:lang w:val="de-DE"/>
      </w:rPr>
      <w:t xml:space="preserve">, 1000 Bruxelles - </w:t>
    </w:r>
    <w:proofErr w:type="spellStart"/>
    <w:r>
      <w:rPr>
        <w:color w:val="006FB4"/>
        <w:sz w:val="16"/>
        <w:szCs w:val="16"/>
        <w:lang w:val="de-DE"/>
      </w:rPr>
      <w:t>Belgio</w:t>
    </w:r>
    <w:proofErr w:type="spellEnd"/>
  </w:p>
  <w:p w14:paraId="5232D140" w14:textId="77777777" w:rsidR="0089559A" w:rsidRDefault="00B91C30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de-DE"/>
      </w:rPr>
      <w:t xml:space="preserve">Tel.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5232D141" w14:textId="77777777" w:rsidR="0089559A" w:rsidRDefault="00B91C30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pt-PT"/>
      </w:rPr>
      <w:t xml:space="preserve">E-mail: info@betterfinance.eu - </w:t>
    </w:r>
    <w:bookmarkStart w:id="2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color w:val="006FB4"/>
        <w:sz w:val="16"/>
        <w:szCs w:val="16"/>
        <w:u w:val="single"/>
        <w:lang w:val="it-IT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357FD" w14:textId="77777777" w:rsidR="001F62C8" w:rsidRDefault="001F62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D62002" w14:textId="77777777" w:rsidR="001F62C8" w:rsidRDefault="001F62C8">
      <w:pPr>
        <w:spacing w:after="0" w:line="240" w:lineRule="auto"/>
      </w:pPr>
      <w:r>
        <w:continuationSeparator/>
      </w:r>
    </w:p>
  </w:footnote>
  <w:footnote w:id="1">
    <w:p w14:paraId="224EC8CD" w14:textId="61E9F809" w:rsidR="009A26C0" w:rsidRPr="009A26C0" w:rsidRDefault="009A26C0" w:rsidP="009A26C0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Le 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>AEV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 sono l'Autorità europea degli strumenti finanziari e dei mercati (ESMA), l'Autorità europea delle assicurazioni e delle pensioni aziendali e professionali (</w:t>
      </w:r>
      <w:r>
        <w:rPr>
          <w:rFonts w:ascii="Calibri Light" w:hAnsi="Calibri Light" w:cs="Calibri Light"/>
          <w:sz w:val="16"/>
          <w:szCs w:val="16"/>
          <w:lang w:val="it-IT"/>
        </w:rPr>
        <w:t>AEAP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) e l'Autorità bancaria europea (</w:t>
      </w:r>
      <w:r>
        <w:rPr>
          <w:rFonts w:ascii="Calibri Light" w:hAnsi="Calibri Light" w:cs="Calibri Light"/>
          <w:sz w:val="16"/>
          <w:szCs w:val="16"/>
          <w:lang w:val="it-IT"/>
        </w:rPr>
        <w:t>AB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E).</w:t>
      </w:r>
    </w:p>
  </w:footnote>
  <w:footnote w:id="2">
    <w:p w14:paraId="5232D133" w14:textId="5E315700" w:rsidR="00D60B21" w:rsidRPr="009A26C0" w:rsidRDefault="00B91C30">
      <w:pPr>
        <w:pStyle w:val="Testonotaapidipagina"/>
        <w:rPr>
          <w:lang w:val="it-IT"/>
        </w:rPr>
      </w:pPr>
      <w:r w:rsidRPr="009A26C0">
        <w:rPr>
          <w:rStyle w:val="Rimandonotaapidipagina"/>
          <w:lang w:val="it-IT"/>
        </w:rPr>
        <w:footnoteRef/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hyperlink r:id="rId1" w:history="1">
        <w:r w:rsidR="008F2A9A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>Documento di posizione comune</w:t>
        </w:r>
      </w:hyperlink>
      <w:r w:rsidR="008F2A9A">
        <w:rPr>
          <w:rFonts w:ascii="Calibri Light" w:hAnsi="Calibri Light" w:cs="Calibri Light"/>
          <w:sz w:val="16"/>
          <w:szCs w:val="16"/>
          <w:lang w:val="it-IT"/>
        </w:rPr>
        <w:t xml:space="preserve"> s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ulla revisione dell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 xml:space="preserve">e AEV 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da parte del gruppo d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>i soggetti interessati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r w:rsidR="00617F64">
        <w:rPr>
          <w:rFonts w:ascii="Calibri Light" w:hAnsi="Calibri Light" w:cs="Calibri Light"/>
          <w:sz w:val="16"/>
          <w:szCs w:val="16"/>
          <w:lang w:val="it-IT"/>
        </w:rPr>
        <w:t>de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l settore bancario 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 xml:space="preserve">(BSG) 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dell'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>AB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E, del gruppo d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 xml:space="preserve">i soggetti interessati </w:t>
      </w:r>
      <w:r w:rsidR="00617F64">
        <w:rPr>
          <w:rFonts w:ascii="Calibri Light" w:hAnsi="Calibri Light" w:cs="Calibri Light"/>
          <w:sz w:val="16"/>
          <w:szCs w:val="16"/>
          <w:lang w:val="it-IT"/>
        </w:rPr>
        <w:t>de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l settore assicurativo e </w:t>
      </w:r>
      <w:proofErr w:type="spellStart"/>
      <w:r w:rsidRPr="009A26C0">
        <w:rPr>
          <w:rFonts w:ascii="Calibri Light" w:hAnsi="Calibri Light" w:cs="Calibri Light"/>
          <w:sz w:val="16"/>
          <w:szCs w:val="16"/>
          <w:lang w:val="it-IT"/>
        </w:rPr>
        <w:t>riassicurativo</w:t>
      </w:r>
      <w:proofErr w:type="spellEnd"/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 xml:space="preserve">(ISRG) 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dell'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>A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E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>A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P</w:t>
      </w:r>
      <w:r w:rsidR="008F2A9A">
        <w:rPr>
          <w:rFonts w:ascii="Calibri Light" w:hAnsi="Calibri Light" w:cs="Calibri Light"/>
          <w:sz w:val="16"/>
          <w:szCs w:val="16"/>
          <w:lang w:val="it-IT"/>
        </w:rPr>
        <w:t>,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 del gruppo d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 xml:space="preserve">i soggetti interessati </w:t>
      </w:r>
      <w:r w:rsidR="00617F64">
        <w:rPr>
          <w:rFonts w:ascii="Calibri Light" w:hAnsi="Calibri Light" w:cs="Calibri Light"/>
          <w:sz w:val="16"/>
          <w:szCs w:val="16"/>
          <w:lang w:val="it-IT"/>
        </w:rPr>
        <w:t>de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l settore delle pensioni aziendali e professionali (OPSG) e del gruppo d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 xml:space="preserve">i soggetti interessati </w:t>
      </w:r>
      <w:r w:rsidR="00617F64">
        <w:rPr>
          <w:rFonts w:ascii="Calibri Light" w:hAnsi="Calibri Light" w:cs="Calibri Light"/>
          <w:sz w:val="16"/>
          <w:szCs w:val="16"/>
          <w:lang w:val="it-IT"/>
        </w:rPr>
        <w:t>de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l settore dei valori mobiliari e dei mercati 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 xml:space="preserve">(SMSG) 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dell'ESMA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>.</w:t>
      </w:r>
    </w:p>
  </w:footnote>
  <w:footnote w:id="3">
    <w:p w14:paraId="5232D134" w14:textId="77777777" w:rsidR="00D60B21" w:rsidRPr="009A26C0" w:rsidRDefault="00B91C30">
      <w:pPr>
        <w:pStyle w:val="Testonotaapidipagina"/>
        <w:rPr>
          <w:lang w:val="it-IT"/>
        </w:rPr>
      </w:pPr>
      <w:r w:rsidRPr="009A26C0">
        <w:rPr>
          <w:rStyle w:val="Rimandonotaapidipagina"/>
          <w:lang w:val="it-IT"/>
        </w:rPr>
        <w:footnoteRef/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 Il gruppo degli azionisti del settore </w:t>
      </w:r>
      <w:hyperlink r:id="rId2" w:history="1">
        <w:r w:rsidRPr="009A26C0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 xml:space="preserve">assicurativo e </w:t>
        </w:r>
        <w:proofErr w:type="spellStart"/>
        <w:r w:rsidRPr="009A26C0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>riassicurativo</w:t>
        </w:r>
        <w:proofErr w:type="spellEnd"/>
      </w:hyperlink>
      <w:r w:rsidRPr="009A26C0">
        <w:rPr>
          <w:rFonts w:ascii="Calibri Light" w:hAnsi="Calibri Light" w:cs="Calibri Light"/>
          <w:sz w:val="16"/>
          <w:szCs w:val="16"/>
          <w:lang w:val="it-IT"/>
        </w:rPr>
        <w:t>.</w:t>
      </w:r>
    </w:p>
  </w:footnote>
  <w:footnote w:id="4">
    <w:p w14:paraId="5232D135" w14:textId="24D23DAC" w:rsidR="00D60B21" w:rsidRPr="009A26C0" w:rsidRDefault="00B91C30">
      <w:pPr>
        <w:pStyle w:val="Testonotaapidipagina"/>
        <w:rPr>
          <w:lang w:val="it-IT"/>
        </w:rPr>
      </w:pPr>
      <w:r w:rsidRPr="009A26C0">
        <w:rPr>
          <w:rStyle w:val="Rimandonotaapidipagina"/>
          <w:lang w:val="it-IT"/>
        </w:rPr>
        <w:footnoteRef/>
      </w:r>
      <w:r w:rsidR="008F2A9A">
        <w:rPr>
          <w:rFonts w:ascii="Calibri Light" w:hAnsi="Calibri Light" w:cs="Calibri Light"/>
          <w:sz w:val="16"/>
          <w:szCs w:val="16"/>
          <w:lang w:val="it-IT"/>
        </w:rPr>
        <w:t xml:space="preserve"> I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l gruppo degli azionisti del settore </w:t>
      </w:r>
      <w:hyperlink r:id="rId3" w:history="1">
        <w:r w:rsidRPr="009A26C0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 xml:space="preserve">delle pensioni aziendali </w:t>
        </w:r>
      </w:hyperlink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e </w:t>
      </w:r>
      <w:hyperlink r:id="rId4" w:history="1">
        <w:r w:rsidRPr="009A26C0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>professionali</w:t>
        </w:r>
      </w:hyperlink>
      <w:r w:rsidRPr="009A26C0">
        <w:rPr>
          <w:rFonts w:ascii="Calibri Light" w:hAnsi="Calibri Light" w:cs="Calibri Light"/>
          <w:sz w:val="16"/>
          <w:szCs w:val="16"/>
          <w:lang w:val="it-IT"/>
        </w:rPr>
        <w:t>.</w:t>
      </w:r>
    </w:p>
  </w:footnote>
  <w:footnote w:id="5">
    <w:p w14:paraId="5232D136" w14:textId="23907F19" w:rsidR="00D60B21" w:rsidRPr="009A26C0" w:rsidRDefault="00B91C30">
      <w:pPr>
        <w:pStyle w:val="Testonotaapidipagina"/>
        <w:rPr>
          <w:lang w:val="it-IT"/>
        </w:rPr>
      </w:pPr>
      <w:r w:rsidRPr="009A26C0">
        <w:rPr>
          <w:rStyle w:val="Rimandonotaapidipagina"/>
          <w:lang w:val="it-IT"/>
        </w:rPr>
        <w:footnoteRef/>
      </w:r>
      <w:r w:rsidR="008F2A9A">
        <w:rPr>
          <w:rFonts w:ascii="Calibri Light" w:hAnsi="Calibri Light" w:cs="Calibri Light"/>
          <w:sz w:val="16"/>
          <w:szCs w:val="16"/>
          <w:lang w:val="it-IT"/>
        </w:rPr>
        <w:t xml:space="preserve"> I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l gruppo</w:t>
      </w:r>
      <w:r w:rsidR="008F2A9A">
        <w:rPr>
          <w:rFonts w:ascii="Calibri Light" w:hAnsi="Calibri Light" w:cs="Calibri Light"/>
          <w:sz w:val="16"/>
          <w:szCs w:val="16"/>
          <w:lang w:val="it-IT"/>
        </w:rPr>
        <w:t xml:space="preserve"> di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 </w:t>
      </w:r>
      <w:hyperlink r:id="rId5" w:history="1">
        <w:r w:rsidR="008F2A9A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>soggetti interessati del settore bancario</w:t>
        </w:r>
      </w:hyperlink>
      <w:r w:rsidRPr="009A26C0">
        <w:rPr>
          <w:rFonts w:ascii="Calibri Light" w:hAnsi="Calibri Light" w:cs="Calibri Light"/>
          <w:sz w:val="16"/>
          <w:szCs w:val="16"/>
          <w:lang w:val="it-IT"/>
        </w:rPr>
        <w:t>.</w:t>
      </w:r>
    </w:p>
  </w:footnote>
  <w:footnote w:id="6">
    <w:p w14:paraId="5232D137" w14:textId="166C6328" w:rsidR="00D60B21" w:rsidRPr="009A26C0" w:rsidRDefault="00B91C30">
      <w:pPr>
        <w:pStyle w:val="Testonotaapidipagina"/>
        <w:rPr>
          <w:lang w:val="it-IT"/>
        </w:rPr>
      </w:pPr>
      <w:r w:rsidRPr="009A26C0">
        <w:rPr>
          <w:rStyle w:val="Rimandonotaapidipagina"/>
          <w:lang w:val="it-IT"/>
        </w:rPr>
        <w:footnoteRef/>
      </w:r>
      <w:r w:rsidR="00AD1AB6">
        <w:rPr>
          <w:rFonts w:ascii="Calibri Light" w:hAnsi="Calibri Light" w:cs="Calibri Light"/>
          <w:sz w:val="16"/>
          <w:szCs w:val="16"/>
          <w:lang w:val="it-IT"/>
        </w:rPr>
        <w:t xml:space="preserve"> Il g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>ruppo d</w:t>
      </w:r>
      <w:r w:rsidR="00AD1AB6">
        <w:rPr>
          <w:rFonts w:ascii="Calibri Light" w:hAnsi="Calibri Light" w:cs="Calibri Light"/>
          <w:sz w:val="16"/>
          <w:szCs w:val="16"/>
          <w:lang w:val="it-IT"/>
        </w:rPr>
        <w:t xml:space="preserve">i soggetti interessati </w:t>
      </w:r>
      <w:r w:rsidR="00617F64">
        <w:rPr>
          <w:rFonts w:ascii="Calibri Light" w:hAnsi="Calibri Light" w:cs="Calibri Light"/>
          <w:sz w:val="16"/>
          <w:szCs w:val="16"/>
          <w:lang w:val="it-IT"/>
        </w:rPr>
        <w:t>de</w:t>
      </w:r>
      <w:r w:rsidRPr="009A26C0">
        <w:rPr>
          <w:rFonts w:ascii="Calibri Light" w:hAnsi="Calibri Light" w:cs="Calibri Light"/>
          <w:sz w:val="16"/>
          <w:szCs w:val="16"/>
          <w:lang w:val="it-IT"/>
        </w:rPr>
        <w:t xml:space="preserve">l settore dei </w:t>
      </w:r>
      <w:hyperlink r:id="rId6" w:history="1">
        <w:r w:rsidRPr="009A26C0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>titoli e dei mercati</w:t>
        </w:r>
      </w:hyperlink>
      <w:r w:rsidRPr="009A26C0">
        <w:rPr>
          <w:rFonts w:ascii="Calibri Light" w:hAnsi="Calibri Light" w:cs="Calibri Light"/>
          <w:sz w:val="16"/>
          <w:szCs w:val="16"/>
          <w:lang w:val="it-IT"/>
        </w:rPr>
        <w:t>.</w:t>
      </w:r>
    </w:p>
  </w:footnote>
  <w:footnote w:id="7">
    <w:p w14:paraId="5232D138" w14:textId="22CD76E4" w:rsidR="00D60B21" w:rsidRPr="00186052" w:rsidRDefault="00B91C3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86052">
        <w:rPr>
          <w:rFonts w:ascii="Calibri Light" w:hAnsi="Calibri Light" w:cs="Calibri Light"/>
          <w:sz w:val="16"/>
          <w:szCs w:val="16"/>
          <w:lang w:val="it-IT"/>
        </w:rPr>
        <w:t xml:space="preserve">Vedi </w:t>
      </w:r>
      <w:r w:rsidR="00186052">
        <w:rPr>
          <w:rFonts w:ascii="Calibri Light" w:hAnsi="Calibri Light" w:cs="Calibri Light"/>
          <w:sz w:val="16"/>
          <w:szCs w:val="16"/>
          <w:lang w:val="it-IT"/>
        </w:rPr>
        <w:t xml:space="preserve">qui </w:t>
      </w:r>
      <w:r w:rsidRPr="00186052">
        <w:rPr>
          <w:rFonts w:ascii="Calibri Light" w:hAnsi="Calibri Light" w:cs="Calibri Light"/>
          <w:sz w:val="16"/>
          <w:szCs w:val="16"/>
          <w:lang w:val="it-IT"/>
        </w:rPr>
        <w:t>la posizione d</w:t>
      </w:r>
      <w:r w:rsidR="00186052">
        <w:rPr>
          <w:rFonts w:ascii="Calibri Light" w:hAnsi="Calibri Light" w:cs="Calibri Light"/>
          <w:sz w:val="16"/>
          <w:szCs w:val="16"/>
          <w:lang w:val="it-IT"/>
        </w:rPr>
        <w:t>i BETTER FINANCE</w:t>
      </w:r>
      <w:r w:rsidRPr="00186052">
        <w:rPr>
          <w:rFonts w:ascii="Calibri Light" w:hAnsi="Calibri Light" w:cs="Calibri Light"/>
          <w:sz w:val="16"/>
          <w:szCs w:val="16"/>
          <w:lang w:val="it-IT"/>
        </w:rPr>
        <w:t xml:space="preserve">: </w:t>
      </w:r>
      <w:hyperlink r:id="rId7" w:history="1">
        <w:r w:rsidR="00EB4E12">
          <w:rPr>
            <w:rStyle w:val="Collegamentoipertestuale"/>
            <w:rFonts w:ascii="Calibri Light" w:hAnsi="Calibri Light" w:cs="Calibri Light"/>
            <w:sz w:val="16"/>
            <w:szCs w:val="16"/>
            <w:lang w:val="it-IT"/>
          </w:rPr>
          <w:t>Lettera di alleanza</w:t>
        </w:r>
      </w:hyperlink>
      <w:r w:rsidR="00EB4E12">
        <w:rPr>
          <w:rFonts w:ascii="Calibri Light" w:hAnsi="Calibri Light" w:cs="Calibri Light"/>
          <w:sz w:val="16"/>
          <w:szCs w:val="16"/>
          <w:lang w:val="it-IT"/>
        </w:rPr>
        <w:t xml:space="preserve"> al P</w:t>
      </w:r>
      <w:r w:rsidRPr="00186052">
        <w:rPr>
          <w:rFonts w:ascii="Calibri Light" w:hAnsi="Calibri Light" w:cs="Calibri Light"/>
          <w:sz w:val="16"/>
          <w:szCs w:val="16"/>
          <w:lang w:val="it-IT"/>
        </w:rPr>
        <w:t>E,</w:t>
      </w:r>
      <w:r w:rsidR="00EB4E12">
        <w:rPr>
          <w:rFonts w:ascii="Calibri Light" w:hAnsi="Calibri Light" w:cs="Calibri Light"/>
          <w:sz w:val="16"/>
          <w:szCs w:val="16"/>
          <w:lang w:val="it-IT"/>
        </w:rPr>
        <w:t xml:space="preserve"> alla</w:t>
      </w:r>
      <w:r w:rsidRPr="00186052">
        <w:rPr>
          <w:rFonts w:ascii="Calibri Light" w:hAnsi="Calibri Light" w:cs="Calibri Light"/>
          <w:sz w:val="16"/>
          <w:szCs w:val="16"/>
          <w:lang w:val="it-IT"/>
        </w:rPr>
        <w:t xml:space="preserve"> CE e al Consiglio dell'UE sulla riforma delle autorità europee di vigilanza e sulla tutela dei consumatori finanziari</w:t>
      </w:r>
    </w:p>
  </w:footnote>
  <w:footnote w:id="8">
    <w:p w14:paraId="5232D139" w14:textId="26A93513" w:rsidR="00D60B21" w:rsidRPr="00EB4E12" w:rsidRDefault="00B91C3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rFonts w:ascii="Calibri Light" w:hAnsi="Calibri Light" w:cs="Calibri Light"/>
          <w:sz w:val="18"/>
          <w:szCs w:val="18"/>
        </w:rPr>
        <w:t xml:space="preserve"> </w:t>
      </w:r>
      <w:hyperlink r:id="rId8" w:history="1">
        <w:r w:rsidR="00EB4E12">
          <w:rPr>
            <w:rStyle w:val="Collegamentoipertestuale"/>
            <w:rFonts w:ascii="Calibri Light" w:hAnsi="Calibri Light" w:cs="Calibri Light"/>
            <w:sz w:val="18"/>
            <w:szCs w:val="18"/>
            <w:lang w:val="it-IT"/>
          </w:rPr>
          <w:t>Relazione finale</w:t>
        </w:r>
      </w:hyperlink>
      <w:r w:rsidR="00EB4E12">
        <w:rPr>
          <w:rFonts w:ascii="Calibri Light" w:hAnsi="Calibri Light" w:cs="Calibri Light"/>
          <w:sz w:val="18"/>
          <w:szCs w:val="18"/>
          <w:lang w:val="it-IT"/>
        </w:rPr>
        <w:t xml:space="preserve"> d</w:t>
      </w:r>
      <w:r w:rsidRPr="00EB4E12">
        <w:rPr>
          <w:rFonts w:ascii="Calibri Light" w:hAnsi="Calibri Light" w:cs="Calibri Light"/>
          <w:sz w:val="18"/>
          <w:szCs w:val="18"/>
          <w:lang w:val="it-IT"/>
        </w:rPr>
        <w:t xml:space="preserve">el Forum ad alto livello sull'Unione dei mercati dei capitali - Una nuova visione dei mercati dei capitali europei, </w:t>
      </w:r>
      <w:r w:rsidR="00F97E01">
        <w:rPr>
          <w:rFonts w:ascii="Calibri Light" w:hAnsi="Calibri Light" w:cs="Calibri Light"/>
          <w:sz w:val="18"/>
          <w:szCs w:val="18"/>
          <w:lang w:val="it-IT"/>
        </w:rPr>
        <w:t>p</w:t>
      </w:r>
      <w:bookmarkStart w:id="1" w:name="_GoBack"/>
      <w:bookmarkEnd w:id="1"/>
      <w:r w:rsidRPr="00EB4E12">
        <w:rPr>
          <w:rFonts w:ascii="Calibri Light" w:hAnsi="Calibri Light" w:cs="Calibri Light"/>
          <w:sz w:val="18"/>
          <w:szCs w:val="18"/>
          <w:lang w:val="it-IT"/>
        </w:rPr>
        <w:t>. 119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2D138" w14:textId="77777777" w:rsidR="0089559A" w:rsidRDefault="00B91C30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232D130" wp14:editId="5232D131">
          <wp:simplePos x="0" y="0"/>
          <wp:positionH relativeFrom="margin">
            <wp:posOffset>2564133</wp:posOffset>
          </wp:positionH>
          <wp:positionV relativeFrom="paragraph">
            <wp:posOffset>-189225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232D139" w14:textId="77777777" w:rsidR="0089559A" w:rsidRDefault="001F62C8">
    <w:pPr>
      <w:pStyle w:val="Intestazione"/>
    </w:pPr>
  </w:p>
  <w:p w14:paraId="5232D13A" w14:textId="77777777" w:rsidR="0089559A" w:rsidRDefault="001F62C8">
    <w:pPr>
      <w:pStyle w:val="Intestazione"/>
      <w:rPr>
        <w:sz w:val="12"/>
        <w:szCs w:val="12"/>
      </w:rPr>
    </w:pPr>
  </w:p>
  <w:p w14:paraId="5232D13B" w14:textId="77777777" w:rsidR="0089559A" w:rsidRDefault="001F62C8">
    <w:pPr>
      <w:pStyle w:val="Intestazione"/>
      <w:rPr>
        <w:sz w:val="12"/>
        <w:szCs w:val="12"/>
      </w:rPr>
    </w:pPr>
  </w:p>
  <w:p w14:paraId="5232D13C" w14:textId="77777777" w:rsidR="0089559A" w:rsidRDefault="001F62C8">
    <w:pPr>
      <w:pStyle w:val="Intestazion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21"/>
    <w:rsid w:val="00186052"/>
    <w:rsid w:val="001F62C8"/>
    <w:rsid w:val="00232826"/>
    <w:rsid w:val="0030445F"/>
    <w:rsid w:val="005154AF"/>
    <w:rsid w:val="00543519"/>
    <w:rsid w:val="00617F64"/>
    <w:rsid w:val="008F2A9A"/>
    <w:rsid w:val="00990FBD"/>
    <w:rsid w:val="009A26C0"/>
    <w:rsid w:val="009E2A69"/>
    <w:rsid w:val="00AD1AB6"/>
    <w:rsid w:val="00B01380"/>
    <w:rsid w:val="00B91C30"/>
    <w:rsid w:val="00BE140F"/>
    <w:rsid w:val="00C31263"/>
    <w:rsid w:val="00C63E10"/>
    <w:rsid w:val="00D60B21"/>
    <w:rsid w:val="00DB7556"/>
    <w:rsid w:val="00DF77F4"/>
    <w:rsid w:val="00EB4E12"/>
    <w:rsid w:val="00F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D127"/>
  <w15:docId w15:val="{B046EB2C-EC4D-4C28-82D5-1B9F29A5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Carpredefinitoparagrafo"/>
  </w:style>
  <w:style w:type="paragraph" w:styleId="Pidipagina">
    <w:name w:val="footer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Carpredefinitoparagrafo"/>
  </w:style>
  <w:style w:type="paragraph" w:styleId="Corpotesto">
    <w:name w:val="Body Text"/>
    <w:basedOn w:val="Normale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BodyTextChar">
    <w:name w:val="Body Text Char"/>
    <w:basedOn w:val="Carpredefinitoparagrafo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rFonts w:ascii="Cambria" w:eastAsia="SimSun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Carpredefinitoparagrafo"/>
    <w:rPr>
      <w:rFonts w:ascii="Cambria" w:eastAsia="SimSun" w:hAnsi="Cambria" w:cs="Times New Roman"/>
      <w:spacing w:val="-10"/>
      <w:kern w:val="3"/>
      <w:sz w:val="56"/>
      <w:szCs w:val="56"/>
    </w:rPr>
  </w:style>
  <w:style w:type="paragraph" w:styleId="Testofumetto">
    <w:name w:val="Balloon Text"/>
    <w:basedOn w:val="Normal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Carpredefinitoparagrafo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Heading2Char">
    <w:name w:val="Heading 2 Char"/>
    <w:basedOn w:val="Carpredefinitoparagrafo"/>
    <w:rPr>
      <w:rFonts w:ascii="Cambria" w:eastAsia="SimSun" w:hAnsi="Cambria" w:cs="Times New Roman"/>
      <w:color w:val="365F91"/>
      <w:sz w:val="26"/>
      <w:szCs w:val="26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Heading1Char">
    <w:name w:val="Heading 1 Char"/>
    <w:basedOn w:val="Carpredefinitoparagrafo"/>
    <w:rPr>
      <w:rFonts w:ascii="Cambria" w:eastAsia="SimSun" w:hAnsi="Cambria" w:cs="Times New Roman"/>
      <w:color w:val="365F91"/>
      <w:sz w:val="32"/>
      <w:szCs w:val="32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udmont@betterfinance.e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etterfinance.eu/wp-content/uploads/PR_-_EIOPA_IRSG___OPSG_-_1907201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tterfinance.eu/publication/alliance-letter-to-the-ep-ec-eu-council-on-the-reform-of-the-european-supervisory-authorities-and-financial-consumer-protection-factual-mistake-in-the-revision-of-the-eiopa-regulation-to-the-det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iles/200610-cmu-high-level-forum-final-report_en" TargetMode="External"/><Relationship Id="rId3" Type="http://schemas.openxmlformats.org/officeDocument/2006/relationships/hyperlink" Target="https://www.eiopa.europa.eu/about/working-stakeholders/occupational-pensions-stakeholder-group_en" TargetMode="External"/><Relationship Id="rId7" Type="http://schemas.openxmlformats.org/officeDocument/2006/relationships/hyperlink" Target="https://betterfinance.eu/publication/alliance-letter-to-the-ep-ec-eu-council-on-the-reform-of-the-european-supervisory-authorities-and-financial-consumer-protection-factual-mistake-in-the-revision-of-the-eiopa-regulation-to-the-detr/" TargetMode="External"/><Relationship Id="rId2" Type="http://schemas.openxmlformats.org/officeDocument/2006/relationships/hyperlink" Target="https://www.eiopa.europa.eu/about/working-stakeholders/insurance-and-reinsurance-stakeholder-group_en" TargetMode="External"/><Relationship Id="rId1" Type="http://schemas.openxmlformats.org/officeDocument/2006/relationships/hyperlink" Target="https://www.esma.europa.eu/sites/default/files/library/esma22-106-2053-joint_opinion_esa_review.pdf" TargetMode="External"/><Relationship Id="rId6" Type="http://schemas.openxmlformats.org/officeDocument/2006/relationships/hyperlink" Target="https://www.esma.europa.eu/about-esma/governance/smsg" TargetMode="External"/><Relationship Id="rId5" Type="http://schemas.openxmlformats.org/officeDocument/2006/relationships/hyperlink" Target="https://eba.europa.eu/about-us/organisation/banking-stakeholder-group" TargetMode="External"/><Relationship Id="rId4" Type="http://schemas.openxmlformats.org/officeDocument/2006/relationships/hyperlink" Target="https://www.eiopa.europa.eu/about/working-stakeholders/occupational-pensions-stakeholder-group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28E81-B109-4B11-88E2-128891FF8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941BC-5147-4AC1-A52B-9B045E488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56E09-4DD1-43EF-A49D-159987DA9B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Houdmont</dc:creator>
  <dc:description/>
  <cp:lastModifiedBy>Angelo Veglia</cp:lastModifiedBy>
  <cp:revision>12</cp:revision>
  <cp:lastPrinted>2020-06-09T11:09:00Z</cp:lastPrinted>
  <dcterms:created xsi:type="dcterms:W3CDTF">2020-12-29T10:02:00Z</dcterms:created>
  <dcterms:modified xsi:type="dcterms:W3CDTF">2021-01-03T09:04:00Z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