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01951" w14:textId="5762791F" w:rsidR="00EB253E" w:rsidRDefault="00EB253E"/>
    <w:p w14:paraId="60C01952" w14:textId="77777777" w:rsidR="00EB253E" w:rsidRPr="00FF211A" w:rsidRDefault="00FF211A">
      <w:pPr>
        <w:pStyle w:val="Corpotesto"/>
        <w:spacing w:after="0" w:line="312" w:lineRule="auto"/>
        <w:jc w:val="both"/>
        <w:rPr>
          <w:lang w:val="es-ES"/>
        </w:rPr>
      </w:pPr>
      <w:bookmarkStart w:id="0" w:name="_Hlk4143464"/>
      <w:r w:rsidRPr="00FF211A">
        <w:rPr>
          <w:rStyle w:val="Enfasigrassetto"/>
          <w:sz w:val="20"/>
          <w:szCs w:val="22"/>
          <w:lang w:val="es-ES"/>
        </w:rPr>
        <w:t xml:space="preserve">COMUNICATO STAMPA </w:t>
      </w:r>
    </w:p>
    <w:p w14:paraId="60C01953" w14:textId="16176797" w:rsidR="00EB253E" w:rsidRPr="00AB5E96" w:rsidRDefault="00FF211A">
      <w:pPr>
        <w:pStyle w:val="Corpotesto"/>
        <w:spacing w:after="80" w:line="240" w:lineRule="auto"/>
        <w:jc w:val="both"/>
        <w:rPr>
          <w:lang w:val="it-IT"/>
        </w:rPr>
      </w:pPr>
      <w:bookmarkStart w:id="1" w:name="_Hlk882368"/>
      <w:bookmarkStart w:id="2" w:name="_Hlk523763847"/>
      <w:r w:rsidRPr="00AB5E96">
        <w:rPr>
          <w:rFonts w:ascii="Cambria" w:eastAsia="Calibri" w:hAnsi="Cambria" w:cs="Arial"/>
          <w:b/>
          <w:smallCaps/>
          <w:color w:val="365F91"/>
          <w:spacing w:val="20"/>
          <w:kern w:val="3"/>
          <w:sz w:val="32"/>
          <w:szCs w:val="30"/>
          <w:lang w:val="it-IT"/>
        </w:rPr>
        <w:t xml:space="preserve">Più si paga, meno </w:t>
      </w:r>
      <w:r w:rsidR="00AB5E96" w:rsidRPr="00AB5E96">
        <w:rPr>
          <w:rFonts w:ascii="Cambria" w:eastAsiaTheme="minorHAnsi" w:hAnsi="Cambria" w:cstheme="minorBidi"/>
          <w:b/>
          <w:smallCaps/>
          <w:color w:val="365F91"/>
          <w:spacing w:val="20"/>
          <w:kern w:val="28"/>
          <w:sz w:val="28"/>
          <w:szCs w:val="28"/>
          <w:lang w:val="it-IT"/>
        </w:rPr>
        <w:t xml:space="preserve">È PROBABILE CHE </w:t>
      </w:r>
      <w:r w:rsidR="00AB5E96" w:rsidRPr="00AB5E96">
        <w:rPr>
          <w:rFonts w:ascii="Cambria" w:eastAsiaTheme="minorHAnsi" w:hAnsi="Cambria" w:cstheme="minorBidi"/>
          <w:b/>
          <w:smallCaps/>
          <w:color w:val="365F91"/>
          <w:spacing w:val="20"/>
          <w:kern w:val="28"/>
          <w:sz w:val="32"/>
          <w:szCs w:val="30"/>
          <w:lang w:val="it-IT"/>
        </w:rPr>
        <w:t>si ottenga</w:t>
      </w:r>
    </w:p>
    <w:bookmarkEnd w:id="1"/>
    <w:bookmarkEnd w:id="2"/>
    <w:p w14:paraId="60C01954" w14:textId="5519A650" w:rsidR="00EB253E" w:rsidRPr="00AB5E96" w:rsidRDefault="00FF211A">
      <w:pPr>
        <w:pStyle w:val="Titolo2"/>
        <w:spacing w:after="80"/>
        <w:jc w:val="both"/>
        <w:rPr>
          <w:sz w:val="24"/>
          <w:szCs w:val="24"/>
          <w:lang w:val="it-IT"/>
        </w:rPr>
      </w:pPr>
      <w:r w:rsidRPr="00AB5E96">
        <w:rPr>
          <w:sz w:val="24"/>
          <w:szCs w:val="24"/>
          <w:lang w:val="it-IT"/>
        </w:rPr>
        <w:t xml:space="preserve">Una nuova ricerca </w:t>
      </w:r>
      <w:r w:rsidR="00C659F1">
        <w:rPr>
          <w:sz w:val="24"/>
          <w:szCs w:val="24"/>
          <w:lang w:val="it-IT"/>
        </w:rPr>
        <w:t xml:space="preserve">di mercato </w:t>
      </w:r>
      <w:r w:rsidRPr="00AB5E96">
        <w:rPr>
          <w:sz w:val="24"/>
          <w:szCs w:val="24"/>
          <w:lang w:val="it-IT"/>
        </w:rPr>
        <w:t xml:space="preserve">di BETTER FINANCE </w:t>
      </w:r>
      <w:r w:rsidR="00AB5E96">
        <w:rPr>
          <w:sz w:val="24"/>
          <w:szCs w:val="24"/>
          <w:lang w:val="it-IT"/>
        </w:rPr>
        <w:t>in merito alla c</w:t>
      </w:r>
      <w:r w:rsidRPr="00AB5E96">
        <w:rPr>
          <w:sz w:val="24"/>
          <w:szCs w:val="24"/>
          <w:lang w:val="it-IT"/>
        </w:rPr>
        <w:t xml:space="preserve">orrelazione tra costi e performance dei fondi </w:t>
      </w:r>
      <w:r w:rsidR="00AB5E96">
        <w:rPr>
          <w:sz w:val="24"/>
          <w:szCs w:val="24"/>
          <w:lang w:val="it-IT"/>
        </w:rPr>
        <w:t xml:space="preserve">di </w:t>
      </w:r>
      <w:proofErr w:type="spellStart"/>
      <w:r w:rsidR="00AB5E96">
        <w:rPr>
          <w:sz w:val="24"/>
          <w:szCs w:val="24"/>
          <w:lang w:val="it-IT"/>
        </w:rPr>
        <w:t>equity</w:t>
      </w:r>
      <w:proofErr w:type="spellEnd"/>
      <w:r w:rsidR="00AB5E96">
        <w:rPr>
          <w:sz w:val="24"/>
          <w:szCs w:val="24"/>
          <w:lang w:val="it-IT"/>
        </w:rPr>
        <w:t xml:space="preserve"> </w:t>
      </w:r>
      <w:r w:rsidRPr="00AB5E96">
        <w:rPr>
          <w:sz w:val="24"/>
          <w:szCs w:val="24"/>
          <w:lang w:val="it-IT"/>
        </w:rPr>
        <w:t xml:space="preserve">al dettaglio </w:t>
      </w:r>
      <w:r w:rsidR="00AB5E96">
        <w:rPr>
          <w:sz w:val="24"/>
          <w:szCs w:val="24"/>
          <w:lang w:val="it-IT"/>
        </w:rPr>
        <w:t xml:space="preserve">UE </w:t>
      </w:r>
      <w:r w:rsidRPr="00AB5E96">
        <w:rPr>
          <w:sz w:val="24"/>
          <w:szCs w:val="24"/>
          <w:lang w:val="it-IT"/>
        </w:rPr>
        <w:t xml:space="preserve">stabilisce senza </w:t>
      </w:r>
      <w:r w:rsidR="00AB5E96">
        <w:rPr>
          <w:sz w:val="24"/>
          <w:szCs w:val="24"/>
          <w:lang w:val="it-IT"/>
        </w:rPr>
        <w:t xml:space="preserve">alcun </w:t>
      </w:r>
      <w:r w:rsidRPr="00AB5E96">
        <w:rPr>
          <w:sz w:val="24"/>
          <w:szCs w:val="24"/>
          <w:lang w:val="it-IT"/>
        </w:rPr>
        <w:t>dubbio una correlazione negativa tra rendimenti e commissioni</w:t>
      </w:r>
    </w:p>
    <w:p w14:paraId="60C01955" w14:textId="43FBAC5C" w:rsidR="00EB253E" w:rsidRPr="00AB5E96" w:rsidRDefault="00FF211A">
      <w:pPr>
        <w:spacing w:after="80"/>
        <w:jc w:val="both"/>
        <w:rPr>
          <w:lang w:val="it-IT"/>
        </w:rPr>
      </w:pPr>
      <w:r w:rsidRPr="00AB5E96">
        <w:rPr>
          <w:rFonts w:ascii="Cambria" w:hAnsi="Cambria"/>
          <w:b/>
          <w:lang w:val="it-IT"/>
        </w:rPr>
        <w:t xml:space="preserve">Bruxelles, 20 giugno 2019 </w:t>
      </w:r>
      <w:r w:rsidRPr="00AB5E96">
        <w:rPr>
          <w:rFonts w:ascii="Cambria" w:hAnsi="Cambria"/>
          <w:lang w:val="it-IT"/>
        </w:rPr>
        <w:t>-</w:t>
      </w:r>
      <w:bookmarkEnd w:id="0"/>
      <w:r w:rsidRPr="00AB5E96">
        <w:rPr>
          <w:rFonts w:ascii="Cambria" w:hAnsi="Cambria"/>
          <w:lang w:val="it-IT"/>
        </w:rPr>
        <w:t xml:space="preserve"> È risaputo che se si vuole battere il mercato bisogna </w:t>
      </w:r>
      <w:r w:rsidR="00AB5E96">
        <w:rPr>
          <w:rFonts w:ascii="Cambria" w:hAnsi="Cambria"/>
          <w:lang w:val="it-IT"/>
        </w:rPr>
        <w:t xml:space="preserve">passare </w:t>
      </w:r>
      <w:r w:rsidRPr="00AB5E96">
        <w:rPr>
          <w:rFonts w:ascii="Cambria" w:hAnsi="Cambria"/>
          <w:lang w:val="it-IT"/>
        </w:rPr>
        <w:t xml:space="preserve">a una gestione molto attiva... </w:t>
      </w:r>
      <w:r w:rsidR="00AB5E96">
        <w:rPr>
          <w:rFonts w:ascii="Cambria" w:hAnsi="Cambria"/>
          <w:lang w:val="it-IT"/>
        </w:rPr>
        <w:t>ma questo ha un costo</w:t>
      </w:r>
      <w:r w:rsidRPr="00AB5E96">
        <w:rPr>
          <w:rFonts w:ascii="Cambria" w:hAnsi="Cambria"/>
          <w:lang w:val="it-IT"/>
        </w:rPr>
        <w:t xml:space="preserve">. </w:t>
      </w:r>
    </w:p>
    <w:p w14:paraId="60C01956" w14:textId="66AD5E66" w:rsidR="00EB253E" w:rsidRPr="00AB5E96" w:rsidRDefault="00FF211A">
      <w:pPr>
        <w:spacing w:after="80"/>
        <w:jc w:val="both"/>
        <w:rPr>
          <w:rFonts w:ascii="Cambria" w:hAnsi="Cambria"/>
          <w:lang w:val="it-IT"/>
        </w:rPr>
      </w:pPr>
      <w:r w:rsidRPr="00AB5E96">
        <w:rPr>
          <w:rFonts w:ascii="Cambria" w:hAnsi="Cambria"/>
          <w:lang w:val="it-IT"/>
        </w:rPr>
        <w:t>Nell'ambito della serie #</w:t>
      </w:r>
      <w:proofErr w:type="spellStart"/>
      <w:r w:rsidRPr="00AB5E96">
        <w:rPr>
          <w:rFonts w:ascii="Cambria" w:hAnsi="Cambria"/>
          <w:lang w:val="it-IT"/>
        </w:rPr>
        <w:t>FundResearch</w:t>
      </w:r>
      <w:proofErr w:type="spellEnd"/>
      <w:r w:rsidRPr="00AB5E96">
        <w:rPr>
          <w:rFonts w:ascii="Cambria" w:hAnsi="Cambria"/>
          <w:lang w:val="it-IT"/>
        </w:rPr>
        <w:t>, BETTER FINANCE ha deciso di mettere alla prova questo concetto e di esaminare più da vicino i principali fattori che in</w:t>
      </w:r>
      <w:r w:rsidR="00F75B6D">
        <w:rPr>
          <w:rFonts w:ascii="Cambria" w:hAnsi="Cambria"/>
          <w:lang w:val="it-IT"/>
        </w:rPr>
        <w:t xml:space="preserve">cidono </w:t>
      </w:r>
      <w:r w:rsidRPr="00AB5E96">
        <w:rPr>
          <w:rFonts w:ascii="Cambria" w:hAnsi="Cambria"/>
          <w:lang w:val="it-IT"/>
        </w:rPr>
        <w:t xml:space="preserve">sulla performance dei fondi e sulla capacità di </w:t>
      </w:r>
      <w:r w:rsidR="00F75B6D">
        <w:rPr>
          <w:rFonts w:ascii="Cambria" w:hAnsi="Cambria"/>
          <w:lang w:val="it-IT"/>
        </w:rPr>
        <w:t xml:space="preserve">garantire </w:t>
      </w:r>
      <w:r w:rsidRPr="00AB5E96">
        <w:rPr>
          <w:rFonts w:ascii="Cambria" w:hAnsi="Cambria"/>
          <w:lang w:val="it-IT"/>
        </w:rPr>
        <w:t>rendimenti superiori a</w:t>
      </w:r>
      <w:r w:rsidR="00F75B6D">
        <w:rPr>
          <w:rFonts w:ascii="Cambria" w:hAnsi="Cambria"/>
          <w:lang w:val="it-IT"/>
        </w:rPr>
        <w:t xml:space="preserve"> quelli del</w:t>
      </w:r>
      <w:r w:rsidRPr="00AB5E96">
        <w:rPr>
          <w:rFonts w:ascii="Cambria" w:hAnsi="Cambria"/>
          <w:lang w:val="it-IT"/>
        </w:rPr>
        <w:t xml:space="preserve"> mercato, con </w:t>
      </w:r>
      <w:r w:rsidR="00F75B6D">
        <w:rPr>
          <w:rFonts w:ascii="Cambria" w:hAnsi="Cambria"/>
          <w:lang w:val="it-IT"/>
        </w:rPr>
        <w:t>una speciale enfasi a</w:t>
      </w:r>
      <w:r w:rsidRPr="00AB5E96">
        <w:rPr>
          <w:rFonts w:ascii="Cambria" w:hAnsi="Cambria"/>
          <w:lang w:val="it-IT"/>
        </w:rPr>
        <w:t xml:space="preserve">i costi. </w:t>
      </w:r>
    </w:p>
    <w:p w14:paraId="60C01957" w14:textId="2B6E667F" w:rsidR="00EB253E" w:rsidRPr="00AB5E96" w:rsidRDefault="00FF211A">
      <w:pPr>
        <w:spacing w:after="80"/>
        <w:jc w:val="both"/>
        <w:rPr>
          <w:lang w:val="it-IT"/>
        </w:rPr>
      </w:pPr>
      <w:r w:rsidRPr="00AB5E96">
        <w:rPr>
          <w:rFonts w:ascii="Cambria" w:hAnsi="Cambria"/>
          <w:lang w:val="it-IT"/>
        </w:rPr>
        <w:t xml:space="preserve">BETTER FINANCE ha misurato la performance degli ultimi dieci anni dei fondi </w:t>
      </w:r>
      <w:r w:rsidR="00F75B6D">
        <w:rPr>
          <w:rFonts w:ascii="Cambria" w:hAnsi="Cambria"/>
          <w:lang w:val="it-IT"/>
        </w:rPr>
        <w:t xml:space="preserve">di </w:t>
      </w:r>
      <w:proofErr w:type="spellStart"/>
      <w:r w:rsidR="00F75B6D">
        <w:rPr>
          <w:rFonts w:ascii="Cambria" w:hAnsi="Cambria"/>
          <w:lang w:val="it-IT"/>
        </w:rPr>
        <w:t>equity</w:t>
      </w:r>
      <w:proofErr w:type="spellEnd"/>
      <w:r w:rsidR="00F75B6D">
        <w:rPr>
          <w:rFonts w:ascii="Cambria" w:hAnsi="Cambria"/>
          <w:lang w:val="it-IT"/>
        </w:rPr>
        <w:t xml:space="preserve"> </w:t>
      </w:r>
      <w:r w:rsidRPr="00AB5E96">
        <w:rPr>
          <w:rFonts w:ascii="Cambria" w:hAnsi="Cambria"/>
          <w:lang w:val="it-IT"/>
        </w:rPr>
        <w:t xml:space="preserve">al dettaglio UE di Belgio, Francia e Lussemburgo rispetto ai </w:t>
      </w:r>
      <w:r w:rsidR="00F75B6D">
        <w:rPr>
          <w:rFonts w:ascii="Cambria" w:hAnsi="Cambria"/>
          <w:lang w:val="it-IT"/>
        </w:rPr>
        <w:t xml:space="preserve">rispettivi </w:t>
      </w:r>
      <w:r w:rsidRPr="00AB5E96">
        <w:rPr>
          <w:rFonts w:ascii="Cambria" w:hAnsi="Cambria"/>
          <w:lang w:val="it-IT"/>
        </w:rPr>
        <w:t>benchmark</w:t>
      </w:r>
      <w:r w:rsidR="00C56098">
        <w:rPr>
          <w:rFonts w:ascii="Cambria" w:hAnsi="Cambria"/>
          <w:lang w:val="it-IT"/>
        </w:rPr>
        <w:t>,</w:t>
      </w:r>
      <w:r w:rsidRPr="00AB5E96">
        <w:rPr>
          <w:rFonts w:ascii="Cambria" w:hAnsi="Cambria"/>
          <w:lang w:val="it-IT"/>
        </w:rPr>
        <w:t xml:space="preserve"> e ha rilevato che solo il 27% dei fondi </w:t>
      </w:r>
      <w:r w:rsidR="00F75B6D">
        <w:rPr>
          <w:rFonts w:ascii="Cambria" w:hAnsi="Cambria"/>
          <w:lang w:val="it-IT"/>
        </w:rPr>
        <w:t>superstiti</w:t>
      </w:r>
      <w:r w:rsidRPr="00AB5E96">
        <w:rPr>
          <w:rFonts w:ascii="Cambria" w:hAnsi="Cambria"/>
          <w:lang w:val="it-IT"/>
        </w:rPr>
        <w:t xml:space="preserve"> con un </w:t>
      </w:r>
      <w:proofErr w:type="spellStart"/>
      <w:r w:rsidRPr="00AB5E96">
        <w:rPr>
          <w:rFonts w:ascii="Cambria" w:hAnsi="Cambria"/>
          <w:lang w:val="it-IT"/>
        </w:rPr>
        <w:t>track</w:t>
      </w:r>
      <w:proofErr w:type="spellEnd"/>
      <w:r w:rsidRPr="00AB5E96">
        <w:rPr>
          <w:rFonts w:ascii="Cambria" w:hAnsi="Cambria"/>
          <w:lang w:val="it-IT"/>
        </w:rPr>
        <w:t xml:space="preserve"> record sufficientemente lungo è riuscito a </w:t>
      </w:r>
      <w:r w:rsidR="00C56098">
        <w:rPr>
          <w:rFonts w:ascii="Cambria" w:hAnsi="Cambria"/>
          <w:lang w:val="it-IT"/>
        </w:rPr>
        <w:t xml:space="preserve">ottenere performance superiori a quelle del </w:t>
      </w:r>
      <w:r w:rsidRPr="00AB5E96">
        <w:rPr>
          <w:rFonts w:ascii="Cambria" w:hAnsi="Cambria"/>
          <w:lang w:val="it-IT"/>
        </w:rPr>
        <w:t xml:space="preserve">mercato </w:t>
      </w:r>
      <w:r w:rsidR="00C56098">
        <w:rPr>
          <w:rFonts w:ascii="Cambria" w:hAnsi="Cambria"/>
          <w:lang w:val="it-IT"/>
        </w:rPr>
        <w:t>per</w:t>
      </w:r>
      <w:r w:rsidRPr="00AB5E96">
        <w:rPr>
          <w:rFonts w:ascii="Cambria" w:hAnsi="Cambria"/>
          <w:lang w:val="it-IT"/>
        </w:rPr>
        <w:t xml:space="preserve"> periodi trimestrali continui </w:t>
      </w:r>
      <w:r w:rsidR="00C56098">
        <w:rPr>
          <w:rFonts w:ascii="Cambria" w:hAnsi="Cambria"/>
          <w:lang w:val="it-IT"/>
        </w:rPr>
        <w:t xml:space="preserve">nell’arco </w:t>
      </w:r>
      <w:r w:rsidRPr="00AB5E96">
        <w:rPr>
          <w:rFonts w:ascii="Cambria" w:hAnsi="Cambria"/>
          <w:lang w:val="it-IT"/>
        </w:rPr>
        <w:t>di 5 anni</w:t>
      </w:r>
      <w:r w:rsidRPr="00AB5E96">
        <w:rPr>
          <w:rStyle w:val="Rimandonotaapidipagina"/>
          <w:rFonts w:ascii="Cambria" w:hAnsi="Cambria"/>
          <w:lang w:val="it-IT"/>
        </w:rPr>
        <w:footnoteReference w:id="1"/>
      </w:r>
      <w:r w:rsidRPr="00AB5E96">
        <w:rPr>
          <w:rFonts w:ascii="Cambria" w:hAnsi="Cambria"/>
          <w:lang w:val="it-IT"/>
        </w:rPr>
        <w:t>. Ciò conferma che pochi gestori di fondi attivi sono in grado di compensare l'impatto delle commissioni applicate</w:t>
      </w:r>
      <w:r w:rsidR="00C56098">
        <w:rPr>
          <w:rFonts w:ascii="Cambria" w:hAnsi="Cambria"/>
          <w:lang w:val="it-IT"/>
        </w:rPr>
        <w:t>,</w:t>
      </w:r>
      <w:r w:rsidRPr="00AB5E96">
        <w:rPr>
          <w:rFonts w:ascii="Cambria" w:hAnsi="Cambria"/>
          <w:lang w:val="it-IT"/>
        </w:rPr>
        <w:t xml:space="preserve"> e che è soprattutto la fortuna a decidere se un investimento batterà il mercato. Inoltre, grazie a prove statistiche molto solide, stabilisce che quanto più alte sono le commissioni, tanto m</w:t>
      </w:r>
      <w:r w:rsidR="00C56098">
        <w:rPr>
          <w:rFonts w:ascii="Cambria" w:hAnsi="Cambria"/>
          <w:lang w:val="it-IT"/>
        </w:rPr>
        <w:t xml:space="preserve">inore è il numero di </w:t>
      </w:r>
      <w:r w:rsidRPr="00AB5E96">
        <w:rPr>
          <w:rFonts w:ascii="Cambria" w:hAnsi="Cambria"/>
          <w:lang w:val="it-IT"/>
        </w:rPr>
        <w:t xml:space="preserve">fondi attivi </w:t>
      </w:r>
      <w:r w:rsidR="00C56098">
        <w:rPr>
          <w:rFonts w:ascii="Cambria" w:hAnsi="Cambria"/>
          <w:lang w:val="it-IT"/>
        </w:rPr>
        <w:t xml:space="preserve">che ottengono </w:t>
      </w:r>
      <w:proofErr w:type="spellStart"/>
      <w:r w:rsidRPr="00AB5E96">
        <w:rPr>
          <w:rFonts w:ascii="Cambria" w:hAnsi="Cambria"/>
          <w:lang w:val="it-IT"/>
        </w:rPr>
        <w:t>sovraperforma</w:t>
      </w:r>
      <w:r w:rsidR="00C56098">
        <w:rPr>
          <w:rFonts w:ascii="Cambria" w:hAnsi="Cambria"/>
          <w:lang w:val="it-IT"/>
        </w:rPr>
        <w:t>nc</w:t>
      </w:r>
      <w:r w:rsidRPr="00AB5E96">
        <w:rPr>
          <w:rFonts w:ascii="Cambria" w:hAnsi="Cambria"/>
          <w:lang w:val="it-IT"/>
        </w:rPr>
        <w:t>e</w:t>
      </w:r>
      <w:proofErr w:type="spellEnd"/>
      <w:r w:rsidRPr="00AB5E96">
        <w:rPr>
          <w:rFonts w:ascii="Cambria" w:hAnsi="Cambria"/>
          <w:lang w:val="it-IT"/>
        </w:rPr>
        <w:t xml:space="preserve"> (</w:t>
      </w:r>
      <w:r w:rsidR="0062678B">
        <w:rPr>
          <w:rFonts w:ascii="Cambria" w:hAnsi="Cambria"/>
          <w:lang w:val="it-IT"/>
        </w:rPr>
        <w:t xml:space="preserve">riescono </w:t>
      </w:r>
      <w:r w:rsidRPr="00AB5E96">
        <w:rPr>
          <w:rFonts w:ascii="Cambria" w:hAnsi="Cambria"/>
          <w:lang w:val="it-IT"/>
        </w:rPr>
        <w:t>cioè a generare un "alfa" positivo)</w:t>
      </w:r>
      <w:r w:rsidR="00C56098">
        <w:rPr>
          <w:rFonts w:ascii="Cambria" w:hAnsi="Cambria"/>
          <w:lang w:val="it-IT"/>
        </w:rPr>
        <w:t xml:space="preserve"> rispetto a</w:t>
      </w:r>
      <w:r w:rsidRPr="00AB5E96">
        <w:rPr>
          <w:rFonts w:ascii="Cambria" w:hAnsi="Cambria"/>
          <w:lang w:val="it-IT"/>
        </w:rPr>
        <w:t xml:space="preserve">i rendimenti dei </w:t>
      </w:r>
      <w:r w:rsidR="00C56098">
        <w:rPr>
          <w:rFonts w:ascii="Cambria" w:hAnsi="Cambria"/>
          <w:lang w:val="it-IT"/>
        </w:rPr>
        <w:t xml:space="preserve">rilevanti </w:t>
      </w:r>
      <w:r w:rsidRPr="00AB5E96">
        <w:rPr>
          <w:rFonts w:ascii="Cambria" w:hAnsi="Cambria"/>
          <w:lang w:val="it-IT"/>
        </w:rPr>
        <w:t>mercati dei capitali.</w:t>
      </w:r>
    </w:p>
    <w:tbl>
      <w:tblPr>
        <w:tblW w:w="907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0"/>
        <w:gridCol w:w="1632"/>
      </w:tblGrid>
      <w:tr w:rsidR="00EB253E" w:rsidRPr="00AB5E96" w14:paraId="60C01959" w14:textId="77777777">
        <w:trPr>
          <w:trHeight w:val="70"/>
          <w:jc w:val="center"/>
        </w:trPr>
        <w:tc>
          <w:tcPr>
            <w:tcW w:w="9072" w:type="dxa"/>
            <w:gridSpan w:val="5"/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58" w14:textId="3C47732D" w:rsidR="00EB253E" w:rsidRPr="00AB5E96" w:rsidRDefault="00FF211A" w:rsidP="00C659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val="it-IT" w:eastAsia="en-GB"/>
              </w:rPr>
            </w:pPr>
            <w:r w:rsidRPr="00AB5E96">
              <w:rPr>
                <w:rFonts w:ascii="Cambria" w:eastAsia="Times New Roman" w:hAnsi="Cambria" w:cs="Calibri"/>
                <w:b/>
                <w:bCs/>
                <w:color w:val="FFFFFF"/>
                <w:lang w:val="it-IT" w:eastAsia="en-GB"/>
              </w:rPr>
              <w:t xml:space="preserve">Dispersione del rendimento </w:t>
            </w:r>
            <w:r w:rsidR="00C659F1">
              <w:rPr>
                <w:rFonts w:ascii="Cambria" w:eastAsia="Times New Roman" w:hAnsi="Cambria" w:cs="Calibri"/>
                <w:b/>
                <w:bCs/>
                <w:color w:val="FFFFFF"/>
                <w:lang w:val="it-IT" w:eastAsia="en-GB"/>
              </w:rPr>
              <w:t>positivo</w:t>
            </w:r>
            <w:r w:rsidRPr="00AB5E96">
              <w:rPr>
                <w:rFonts w:ascii="Cambria" w:eastAsia="Times New Roman" w:hAnsi="Cambria" w:cs="Calibri"/>
                <w:b/>
                <w:bCs/>
                <w:color w:val="FFFFFF"/>
                <w:lang w:val="it-IT" w:eastAsia="en-GB"/>
              </w:rPr>
              <w:t xml:space="preserve"> per fasce tariffarie (</w:t>
            </w:r>
            <w:r w:rsidR="00C56098">
              <w:rPr>
                <w:rFonts w:ascii="Cambria" w:eastAsia="Times New Roman" w:hAnsi="Cambria" w:cs="Calibri"/>
                <w:b/>
                <w:bCs/>
                <w:color w:val="FFFFFF"/>
                <w:lang w:val="it-IT" w:eastAsia="en-GB"/>
              </w:rPr>
              <w:t>confronto t</w:t>
            </w:r>
            <w:r w:rsidRPr="00AB5E96">
              <w:rPr>
                <w:rFonts w:ascii="Cambria" w:eastAsia="Times New Roman" w:hAnsi="Cambria" w:cs="Calibri"/>
                <w:b/>
                <w:bCs/>
                <w:color w:val="FFFFFF"/>
                <w:lang w:val="it-IT" w:eastAsia="en-GB"/>
              </w:rPr>
              <w:t>asse</w:t>
            </w:r>
            <w:r w:rsidR="00C56098">
              <w:rPr>
                <w:rFonts w:ascii="Cambria" w:eastAsia="Times New Roman" w:hAnsi="Cambria" w:cs="Calibri"/>
                <w:b/>
                <w:bCs/>
                <w:color w:val="FFFFFF"/>
                <w:lang w:val="it-IT" w:eastAsia="en-GB"/>
              </w:rPr>
              <w:t>/</w:t>
            </w:r>
            <w:r w:rsidRPr="00AB5E96">
              <w:rPr>
                <w:rFonts w:ascii="Cambria" w:eastAsia="Times New Roman" w:hAnsi="Cambria" w:cs="Calibri"/>
                <w:b/>
                <w:bCs/>
                <w:color w:val="FFFFFF"/>
                <w:lang w:val="it-IT" w:eastAsia="en-GB"/>
              </w:rPr>
              <w:t>al</w:t>
            </w:r>
            <w:r w:rsidR="00C56098">
              <w:rPr>
                <w:rFonts w:ascii="Cambria" w:eastAsia="Times New Roman" w:hAnsi="Cambria" w:cs="Calibri"/>
                <w:b/>
                <w:bCs/>
                <w:color w:val="FFFFFF"/>
                <w:lang w:val="it-IT" w:eastAsia="en-GB"/>
              </w:rPr>
              <w:t>f</w:t>
            </w:r>
            <w:r w:rsidRPr="00AB5E96">
              <w:rPr>
                <w:rFonts w:ascii="Cambria" w:eastAsia="Times New Roman" w:hAnsi="Cambria" w:cs="Calibri"/>
                <w:b/>
                <w:bCs/>
                <w:color w:val="FFFFFF"/>
                <w:lang w:val="it-IT" w:eastAsia="en-GB"/>
              </w:rPr>
              <w:t>a 2013 - 2017)</w:t>
            </w:r>
          </w:p>
        </w:tc>
      </w:tr>
      <w:tr w:rsidR="00EB253E" w:rsidRPr="00AB5E96" w14:paraId="60C0195D" w14:textId="77777777">
        <w:trPr>
          <w:trHeight w:val="70"/>
          <w:jc w:val="center"/>
        </w:trPr>
        <w:tc>
          <w:tcPr>
            <w:tcW w:w="1860" w:type="dxa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5A" w14:textId="77777777" w:rsidR="00EB253E" w:rsidRPr="00AB5E96" w:rsidRDefault="00FF21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it-IT" w:eastAsia="en-GB"/>
              </w:rPr>
            </w:pPr>
            <w:r w:rsidRPr="00AB5E9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it-IT" w:eastAsia="en-GB"/>
              </w:rPr>
              <w:t>Tariffe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5B" w14:textId="44306605" w:rsidR="00EB253E" w:rsidRPr="00AB5E96" w:rsidRDefault="00FF211A" w:rsidP="00C5609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it-IT" w:eastAsia="en-GB"/>
              </w:rPr>
            </w:pPr>
            <w:r w:rsidRPr="00AB5E9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it-IT" w:eastAsia="en-GB"/>
              </w:rPr>
              <w:t>Al</w:t>
            </w:r>
            <w:r w:rsidR="00C5609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it-IT" w:eastAsia="en-GB"/>
              </w:rPr>
              <w:t>f</w:t>
            </w:r>
            <w:r w:rsidRPr="00AB5E9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it-IT" w:eastAsia="en-GB"/>
              </w:rPr>
              <w:t>a</w:t>
            </w:r>
          </w:p>
        </w:tc>
        <w:tc>
          <w:tcPr>
            <w:tcW w:w="5352" w:type="dxa"/>
            <w:gridSpan w:val="3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5C" w14:textId="77777777" w:rsidR="00EB253E" w:rsidRPr="00AB5E96" w:rsidRDefault="00FF21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it-IT" w:eastAsia="en-GB"/>
              </w:rPr>
            </w:pPr>
            <w:r w:rsidRPr="00AB5E9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it-IT" w:eastAsia="en-GB"/>
              </w:rPr>
              <w:t>Tutti i fondi</w:t>
            </w:r>
          </w:p>
        </w:tc>
      </w:tr>
      <w:tr w:rsidR="00EB253E" w:rsidRPr="00AB5E96" w14:paraId="60C01963" w14:textId="77777777">
        <w:trPr>
          <w:trHeight w:val="70"/>
          <w:jc w:val="center"/>
        </w:trPr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5E" w14:textId="77777777" w:rsidR="00EB253E" w:rsidRPr="00AB5E96" w:rsidRDefault="00EB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it-IT" w:eastAsia="en-GB"/>
              </w:rPr>
            </w:pP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5F" w14:textId="77777777" w:rsidR="00EB253E" w:rsidRPr="00AB5E96" w:rsidRDefault="00EB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it-IT" w:eastAsia="en-GB"/>
              </w:rPr>
            </w:pPr>
          </w:p>
        </w:tc>
        <w:tc>
          <w:tcPr>
            <w:tcW w:w="1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60" w14:textId="77777777" w:rsidR="00EB253E" w:rsidRPr="00AB5E96" w:rsidRDefault="00FF21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it-IT" w:eastAsia="en-GB"/>
              </w:rPr>
            </w:pPr>
            <w:r w:rsidRPr="00AB5E9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it-IT" w:eastAsia="en-GB"/>
              </w:rPr>
              <w:t>OICVM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61" w14:textId="586B6AC3" w:rsidR="00EB253E" w:rsidRPr="00AB5E96" w:rsidRDefault="00C56098" w:rsidP="00C5609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it-IT"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it-IT" w:eastAsia="en-GB"/>
              </w:rPr>
              <w:t>F</w:t>
            </w:r>
            <w:r w:rsidR="00FF211A" w:rsidRPr="00AB5E9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it-IT" w:eastAsia="en-GB"/>
              </w:rPr>
              <w:t>I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it-IT" w:eastAsia="en-GB"/>
              </w:rPr>
              <w:t>A</w:t>
            </w:r>
          </w:p>
        </w:tc>
        <w:tc>
          <w:tcPr>
            <w:tcW w:w="16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62" w14:textId="77777777" w:rsidR="00EB253E" w:rsidRPr="00AB5E96" w:rsidRDefault="00FF21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it-IT" w:eastAsia="en-GB"/>
              </w:rPr>
            </w:pPr>
            <w:r w:rsidRPr="00AB5E9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it-IT" w:eastAsia="en-GB"/>
              </w:rPr>
              <w:t>Totale</w:t>
            </w:r>
          </w:p>
        </w:tc>
      </w:tr>
      <w:tr w:rsidR="00EB253E" w:rsidRPr="00AB5E96" w14:paraId="60C01969" w14:textId="77777777">
        <w:trPr>
          <w:trHeight w:val="70"/>
          <w:jc w:val="center"/>
        </w:trPr>
        <w:tc>
          <w:tcPr>
            <w:tcW w:w="186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64" w14:textId="091818DA" w:rsidR="00EB253E" w:rsidRPr="00AB5E96" w:rsidRDefault="00C5609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it-IT"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it-IT" w:eastAsia="en-GB"/>
              </w:rPr>
              <w:t>[0%, 0,</w:t>
            </w:r>
            <w:r w:rsidR="00FF211A" w:rsidRPr="00AB5E96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it-IT" w:eastAsia="en-GB"/>
              </w:rPr>
              <w:t>5%)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65" w14:textId="77777777" w:rsidR="00EB253E" w:rsidRPr="00AB5E96" w:rsidRDefault="00FF21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</w:pPr>
            <w:proofErr w:type="gramStart"/>
            <w:r w:rsidRPr="00AB5E96"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  <w:t>alfa</w:t>
            </w:r>
            <w:proofErr w:type="gramEnd"/>
            <w:r w:rsidRPr="00AB5E96"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  <w:t xml:space="preserve"> ≥ 0%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66" w14:textId="5570CA7D" w:rsidR="00EB253E" w:rsidRPr="00AB5E96" w:rsidRDefault="00C5609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  <w:t>1,</w:t>
            </w:r>
            <w:r w:rsidR="00FF211A" w:rsidRPr="00AB5E96"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  <w:t>86%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67" w14:textId="74DEC9FF" w:rsidR="00EB253E" w:rsidRPr="00AB5E96" w:rsidRDefault="00C5609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  <w:t>1,</w:t>
            </w:r>
            <w:r w:rsidR="00FF211A" w:rsidRPr="00AB5E96"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  <w:t>18%</w:t>
            </w:r>
          </w:p>
        </w:tc>
        <w:tc>
          <w:tcPr>
            <w:tcW w:w="1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68" w14:textId="57379FE8" w:rsidR="00EB253E" w:rsidRPr="00AB5E96" w:rsidRDefault="00C5609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  <w:t>1,</w:t>
            </w:r>
            <w:r w:rsidR="00FF211A" w:rsidRPr="00AB5E96"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  <w:t>80%</w:t>
            </w:r>
          </w:p>
        </w:tc>
      </w:tr>
      <w:tr w:rsidR="00EB253E" w:rsidRPr="00AB5E96" w14:paraId="60C0196F" w14:textId="77777777">
        <w:trPr>
          <w:trHeight w:val="70"/>
          <w:jc w:val="center"/>
        </w:trPr>
        <w:tc>
          <w:tcPr>
            <w:tcW w:w="186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6A" w14:textId="77777777" w:rsidR="00EB253E" w:rsidRPr="00AB5E96" w:rsidRDefault="00EB253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it-IT" w:eastAsia="en-GB"/>
              </w:rPr>
            </w:pP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6B" w14:textId="77777777" w:rsidR="00EB253E" w:rsidRPr="00AB5E96" w:rsidRDefault="00FF21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</w:pPr>
            <w:proofErr w:type="gramStart"/>
            <w:r w:rsidRPr="00AB5E96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  <w:t>alfa</w:t>
            </w:r>
            <w:proofErr w:type="gramEnd"/>
            <w:r w:rsidRPr="00AB5E96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  <w:t xml:space="preserve"> &lt; 0%</w:t>
            </w:r>
          </w:p>
        </w:tc>
        <w:tc>
          <w:tcPr>
            <w:tcW w:w="186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6C" w14:textId="37BCD425" w:rsidR="00EB253E" w:rsidRPr="00AB5E96" w:rsidRDefault="00C5609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  <w:t>1,</w:t>
            </w:r>
            <w:r w:rsidR="00FF211A" w:rsidRPr="00AB5E96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  <w:t>56%</w:t>
            </w:r>
          </w:p>
        </w:tc>
        <w:tc>
          <w:tcPr>
            <w:tcW w:w="186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6D" w14:textId="4711A769" w:rsidR="00EB253E" w:rsidRPr="00AB5E96" w:rsidRDefault="00C5609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  <w:t>5,</w:t>
            </w:r>
            <w:r w:rsidR="00FF211A" w:rsidRPr="00AB5E96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  <w:t>33%</w:t>
            </w:r>
          </w:p>
        </w:tc>
        <w:tc>
          <w:tcPr>
            <w:tcW w:w="1632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6E" w14:textId="3925B0D5" w:rsidR="00EB253E" w:rsidRPr="00AB5E96" w:rsidRDefault="00C5609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  <w:t>1,</w:t>
            </w:r>
            <w:r w:rsidR="00FF211A" w:rsidRPr="00AB5E96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  <w:t>91%</w:t>
            </w:r>
          </w:p>
        </w:tc>
      </w:tr>
      <w:tr w:rsidR="00EB253E" w:rsidRPr="00AB5E96" w14:paraId="60C01975" w14:textId="77777777">
        <w:trPr>
          <w:trHeight w:val="70"/>
          <w:jc w:val="center"/>
        </w:trPr>
        <w:tc>
          <w:tcPr>
            <w:tcW w:w="1860" w:type="dxa"/>
            <w:vMerge w:val="restart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70" w14:textId="0A4FEC25" w:rsidR="00EB253E" w:rsidRPr="00AB5E96" w:rsidRDefault="00FF211A" w:rsidP="00C5609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it-IT" w:eastAsia="en-GB"/>
              </w:rPr>
            </w:pPr>
            <w:r w:rsidRPr="00AB5E96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it-IT" w:eastAsia="en-GB"/>
              </w:rPr>
              <w:t>[0</w:t>
            </w:r>
            <w:r w:rsidR="00C5609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it-IT" w:eastAsia="en-GB"/>
              </w:rPr>
              <w:t>,</w:t>
            </w:r>
            <w:r w:rsidRPr="00AB5E96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it-IT" w:eastAsia="en-GB"/>
              </w:rPr>
              <w:t>5%, 1%)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71" w14:textId="77777777" w:rsidR="00EB253E" w:rsidRPr="00AB5E96" w:rsidRDefault="00FF21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</w:pPr>
            <w:proofErr w:type="gramStart"/>
            <w:r w:rsidRPr="00AB5E96"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  <w:t>alfa</w:t>
            </w:r>
            <w:proofErr w:type="gramEnd"/>
            <w:r w:rsidRPr="00AB5E96"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  <w:t xml:space="preserve"> ≥ 0%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72" w14:textId="02DE4897" w:rsidR="00EB253E" w:rsidRPr="00AB5E96" w:rsidRDefault="00C5609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  <w:t>1,</w:t>
            </w:r>
            <w:r w:rsidR="00FF211A" w:rsidRPr="00AB5E96"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  <w:t>50%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73" w14:textId="1FF0FFB2" w:rsidR="00EB253E" w:rsidRPr="00AB5E96" w:rsidRDefault="00C5609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  <w:t>1,</w:t>
            </w:r>
            <w:r w:rsidR="00FF211A" w:rsidRPr="00AB5E96"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  <w:t>18%</w:t>
            </w:r>
          </w:p>
        </w:tc>
        <w:tc>
          <w:tcPr>
            <w:tcW w:w="1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74" w14:textId="1DB9DE13" w:rsidR="00EB253E" w:rsidRPr="00AB5E96" w:rsidRDefault="00C5609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  <w:t>1,</w:t>
            </w:r>
            <w:r w:rsidR="00FF211A" w:rsidRPr="00AB5E96"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  <w:t>47%</w:t>
            </w:r>
          </w:p>
        </w:tc>
      </w:tr>
      <w:tr w:rsidR="00EB253E" w:rsidRPr="00AB5E96" w14:paraId="60C0197B" w14:textId="77777777">
        <w:trPr>
          <w:trHeight w:val="70"/>
          <w:jc w:val="center"/>
        </w:trPr>
        <w:tc>
          <w:tcPr>
            <w:tcW w:w="1860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76" w14:textId="77777777" w:rsidR="00EB253E" w:rsidRPr="00AB5E96" w:rsidRDefault="00EB253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it-IT" w:eastAsia="en-GB"/>
              </w:rPr>
            </w:pP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77" w14:textId="77777777" w:rsidR="00EB253E" w:rsidRPr="00AB5E96" w:rsidRDefault="00FF21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</w:pPr>
            <w:proofErr w:type="gramStart"/>
            <w:r w:rsidRPr="00AB5E96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  <w:t>alfa</w:t>
            </w:r>
            <w:proofErr w:type="gramEnd"/>
            <w:r w:rsidRPr="00AB5E96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  <w:t xml:space="preserve"> &lt; 0%</w:t>
            </w:r>
          </w:p>
        </w:tc>
        <w:tc>
          <w:tcPr>
            <w:tcW w:w="186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78" w14:textId="4B93BDD8" w:rsidR="00EB253E" w:rsidRPr="00AB5E96" w:rsidRDefault="00C5609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  <w:t>5,</w:t>
            </w:r>
            <w:r w:rsidR="00FF211A" w:rsidRPr="00AB5E96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  <w:t>05%</w:t>
            </w:r>
          </w:p>
        </w:tc>
        <w:tc>
          <w:tcPr>
            <w:tcW w:w="186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79" w14:textId="1612001A" w:rsidR="00EB253E" w:rsidRPr="00AB5E96" w:rsidRDefault="00C5609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  <w:t>8,</w:t>
            </w:r>
            <w:r w:rsidR="00FF211A" w:rsidRPr="00AB5E96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  <w:t>28%</w:t>
            </w:r>
          </w:p>
        </w:tc>
        <w:tc>
          <w:tcPr>
            <w:tcW w:w="1632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7A" w14:textId="72D6E875" w:rsidR="00EB253E" w:rsidRPr="00AB5E96" w:rsidRDefault="00C5609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  <w:t>5,</w:t>
            </w:r>
            <w:r w:rsidR="00FF211A" w:rsidRPr="00AB5E96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  <w:t>34%</w:t>
            </w:r>
          </w:p>
        </w:tc>
      </w:tr>
      <w:tr w:rsidR="00EB253E" w:rsidRPr="00AB5E96" w14:paraId="60C01981" w14:textId="77777777">
        <w:trPr>
          <w:trHeight w:val="70"/>
          <w:jc w:val="center"/>
        </w:trPr>
        <w:tc>
          <w:tcPr>
            <w:tcW w:w="186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7C" w14:textId="77777777" w:rsidR="00EB253E" w:rsidRPr="00AB5E96" w:rsidRDefault="00FF21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it-IT" w:eastAsia="en-GB"/>
              </w:rPr>
            </w:pPr>
            <w:r w:rsidRPr="00AB5E96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it-IT" w:eastAsia="en-GB"/>
              </w:rPr>
              <w:t>[1%, 2%)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7D" w14:textId="77777777" w:rsidR="00EB253E" w:rsidRPr="00AB5E96" w:rsidRDefault="00FF21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</w:pPr>
            <w:proofErr w:type="gramStart"/>
            <w:r w:rsidRPr="00AB5E96"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  <w:t>alfa</w:t>
            </w:r>
            <w:proofErr w:type="gramEnd"/>
            <w:r w:rsidRPr="00AB5E96"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  <w:t xml:space="preserve"> ≥ 0%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7E" w14:textId="1BE01693" w:rsidR="00EB253E" w:rsidRPr="00AB5E96" w:rsidRDefault="00FF211A" w:rsidP="00C5609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</w:pPr>
            <w:r w:rsidRPr="00AB5E96"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  <w:t>16</w:t>
            </w:r>
            <w:r w:rsidR="00C56098"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  <w:t>,</w:t>
            </w:r>
            <w:r w:rsidRPr="00AB5E96"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  <w:t>16%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7F" w14:textId="0550E2C1" w:rsidR="00EB253E" w:rsidRPr="00AB5E96" w:rsidRDefault="00FF21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</w:pPr>
            <w:r w:rsidRPr="00AB5E96"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  <w:t>4</w:t>
            </w:r>
            <w:r w:rsidR="00C56098"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  <w:t>,</w:t>
            </w:r>
            <w:r w:rsidRPr="00AB5E96"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  <w:t>73%</w:t>
            </w:r>
          </w:p>
        </w:tc>
        <w:tc>
          <w:tcPr>
            <w:tcW w:w="1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80" w14:textId="65C4ABEB" w:rsidR="00EB253E" w:rsidRPr="00AB5E96" w:rsidRDefault="00FF211A" w:rsidP="00C5609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</w:pPr>
            <w:r w:rsidRPr="00AB5E96"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  <w:t>15</w:t>
            </w:r>
            <w:r w:rsidR="00C56098"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  <w:t>,</w:t>
            </w:r>
            <w:r w:rsidRPr="00AB5E96"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  <w:t>10%</w:t>
            </w:r>
          </w:p>
        </w:tc>
      </w:tr>
      <w:tr w:rsidR="00EB253E" w:rsidRPr="00AB5E96" w14:paraId="60C01987" w14:textId="77777777">
        <w:trPr>
          <w:trHeight w:val="70"/>
          <w:jc w:val="center"/>
        </w:trPr>
        <w:tc>
          <w:tcPr>
            <w:tcW w:w="186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82" w14:textId="77777777" w:rsidR="00EB253E" w:rsidRPr="00AB5E96" w:rsidRDefault="00EB253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it-IT" w:eastAsia="en-GB"/>
              </w:rPr>
            </w:pP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83" w14:textId="77777777" w:rsidR="00EB253E" w:rsidRPr="00AB5E96" w:rsidRDefault="00FF21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</w:pPr>
            <w:proofErr w:type="gramStart"/>
            <w:r w:rsidRPr="00AB5E96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  <w:t>alfa</w:t>
            </w:r>
            <w:proofErr w:type="gramEnd"/>
            <w:r w:rsidRPr="00AB5E96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  <w:t xml:space="preserve"> &lt; 0%</w:t>
            </w:r>
          </w:p>
        </w:tc>
        <w:tc>
          <w:tcPr>
            <w:tcW w:w="186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84" w14:textId="5D2F8F0B" w:rsidR="00EB253E" w:rsidRPr="00AB5E96" w:rsidRDefault="00C5609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  <w:t>32,</w:t>
            </w:r>
            <w:r w:rsidR="00FF211A" w:rsidRPr="00AB5E96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  <w:t>19%</w:t>
            </w:r>
          </w:p>
        </w:tc>
        <w:tc>
          <w:tcPr>
            <w:tcW w:w="186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85" w14:textId="28E9DF83" w:rsidR="00EB253E" w:rsidRPr="00AB5E96" w:rsidRDefault="00FF211A" w:rsidP="00C5609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</w:pPr>
            <w:r w:rsidRPr="00AB5E96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  <w:t>37</w:t>
            </w:r>
            <w:r w:rsidR="00C56098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  <w:t>,</w:t>
            </w:r>
            <w:r w:rsidRPr="00AB5E96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  <w:t>87%</w:t>
            </w:r>
          </w:p>
        </w:tc>
        <w:tc>
          <w:tcPr>
            <w:tcW w:w="1632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86" w14:textId="4F0D5E85" w:rsidR="00EB253E" w:rsidRPr="00AB5E96" w:rsidRDefault="00FF21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</w:pPr>
            <w:r w:rsidRPr="00AB5E96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  <w:t>3</w:t>
            </w:r>
            <w:r w:rsidR="00C56098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  <w:t>2,</w:t>
            </w:r>
            <w:r w:rsidRPr="00AB5E96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  <w:t>72%</w:t>
            </w:r>
          </w:p>
        </w:tc>
      </w:tr>
      <w:tr w:rsidR="00EB253E" w:rsidRPr="00AB5E96" w14:paraId="60C0198D" w14:textId="77777777">
        <w:trPr>
          <w:trHeight w:val="70"/>
          <w:jc w:val="center"/>
        </w:trPr>
        <w:tc>
          <w:tcPr>
            <w:tcW w:w="1860" w:type="dxa"/>
            <w:vMerge w:val="restart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88" w14:textId="77777777" w:rsidR="00EB253E" w:rsidRPr="00AB5E96" w:rsidRDefault="00FF21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it-IT" w:eastAsia="en-GB"/>
              </w:rPr>
            </w:pPr>
            <w:r w:rsidRPr="00AB5E96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it-IT" w:eastAsia="en-GB"/>
              </w:rPr>
              <w:t>[2%; 3%)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89" w14:textId="77777777" w:rsidR="00EB253E" w:rsidRPr="00AB5E96" w:rsidRDefault="00FF21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</w:pPr>
            <w:proofErr w:type="gramStart"/>
            <w:r w:rsidRPr="00AB5E96"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  <w:t>alfa</w:t>
            </w:r>
            <w:proofErr w:type="gramEnd"/>
            <w:r w:rsidRPr="00AB5E96"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  <w:t xml:space="preserve"> ≥ 0%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8A" w14:textId="126E1CCA" w:rsidR="00EB253E" w:rsidRPr="00AB5E96" w:rsidRDefault="00C5609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  <w:t>9,</w:t>
            </w:r>
            <w:r w:rsidR="00FF211A" w:rsidRPr="00AB5E96"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  <w:t>55%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8B" w14:textId="6E92401E" w:rsidR="00EB253E" w:rsidRPr="00AB5E96" w:rsidRDefault="00C5609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  <w:t>3,</w:t>
            </w:r>
            <w:r w:rsidR="00FF211A" w:rsidRPr="00AB5E96"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  <w:t>55%</w:t>
            </w:r>
          </w:p>
        </w:tc>
        <w:tc>
          <w:tcPr>
            <w:tcW w:w="1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8C" w14:textId="642336A0" w:rsidR="00EB253E" w:rsidRPr="00AB5E96" w:rsidRDefault="00C5609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  <w:t>9,</w:t>
            </w:r>
            <w:r w:rsidR="00FF211A" w:rsidRPr="00AB5E96"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  <w:t>00%</w:t>
            </w:r>
          </w:p>
        </w:tc>
      </w:tr>
      <w:tr w:rsidR="00EB253E" w:rsidRPr="00AB5E96" w14:paraId="60C01993" w14:textId="77777777">
        <w:trPr>
          <w:trHeight w:val="70"/>
          <w:jc w:val="center"/>
        </w:trPr>
        <w:tc>
          <w:tcPr>
            <w:tcW w:w="1860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8E" w14:textId="77777777" w:rsidR="00EB253E" w:rsidRPr="00AB5E96" w:rsidRDefault="00EB253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it-IT" w:eastAsia="en-GB"/>
              </w:rPr>
            </w:pP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8F" w14:textId="77777777" w:rsidR="00EB253E" w:rsidRPr="00AB5E96" w:rsidRDefault="00FF21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</w:pPr>
            <w:proofErr w:type="gramStart"/>
            <w:r w:rsidRPr="00AB5E96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  <w:t>alfa</w:t>
            </w:r>
            <w:proofErr w:type="gramEnd"/>
            <w:r w:rsidRPr="00AB5E96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  <w:t xml:space="preserve"> &lt; 0%</w:t>
            </w:r>
          </w:p>
        </w:tc>
        <w:tc>
          <w:tcPr>
            <w:tcW w:w="186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90" w14:textId="05297606" w:rsidR="00EB253E" w:rsidRPr="00AB5E96" w:rsidRDefault="00FF211A" w:rsidP="00C5609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</w:pPr>
            <w:r w:rsidRPr="00AB5E96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  <w:t>22</w:t>
            </w:r>
            <w:r w:rsidR="00C56098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  <w:t>,</w:t>
            </w:r>
            <w:r w:rsidRPr="00AB5E96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  <w:t>28%</w:t>
            </w:r>
          </w:p>
        </w:tc>
        <w:tc>
          <w:tcPr>
            <w:tcW w:w="186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91" w14:textId="1303DE13" w:rsidR="00EB253E" w:rsidRPr="00AB5E96" w:rsidRDefault="00FF211A" w:rsidP="00C5609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</w:pPr>
            <w:r w:rsidRPr="00AB5E96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  <w:t>23</w:t>
            </w:r>
            <w:r w:rsidR="00C56098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  <w:t>,</w:t>
            </w:r>
            <w:r w:rsidRPr="00AB5E96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  <w:t>08%</w:t>
            </w:r>
          </w:p>
        </w:tc>
        <w:tc>
          <w:tcPr>
            <w:tcW w:w="1632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92" w14:textId="5B0858A1" w:rsidR="00EB253E" w:rsidRPr="00AB5E96" w:rsidRDefault="00FF211A" w:rsidP="00C5609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</w:pPr>
            <w:r w:rsidRPr="00AB5E96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  <w:t>22</w:t>
            </w:r>
            <w:r w:rsidR="00C56098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  <w:t>,</w:t>
            </w:r>
            <w:r w:rsidRPr="00AB5E96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  <w:t>36%</w:t>
            </w:r>
          </w:p>
        </w:tc>
      </w:tr>
      <w:tr w:rsidR="00EB253E" w:rsidRPr="00AB5E96" w14:paraId="60C01999" w14:textId="77777777">
        <w:trPr>
          <w:trHeight w:val="70"/>
          <w:jc w:val="center"/>
        </w:trPr>
        <w:tc>
          <w:tcPr>
            <w:tcW w:w="186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94" w14:textId="77777777" w:rsidR="00EB253E" w:rsidRPr="00AB5E96" w:rsidRDefault="00FF21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it-IT" w:eastAsia="en-GB"/>
              </w:rPr>
            </w:pPr>
            <w:r w:rsidRPr="00AB5E96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it-IT" w:eastAsia="en-GB"/>
              </w:rPr>
              <w:t xml:space="preserve">[3%+ 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95" w14:textId="77777777" w:rsidR="00EB253E" w:rsidRPr="00AB5E96" w:rsidRDefault="00FF21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</w:pPr>
            <w:proofErr w:type="gramStart"/>
            <w:r w:rsidRPr="00AB5E96"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  <w:t>alfa</w:t>
            </w:r>
            <w:proofErr w:type="gramEnd"/>
            <w:r w:rsidRPr="00AB5E96"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  <w:t xml:space="preserve"> ≥ 0%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96" w14:textId="2824B1F2" w:rsidR="00EB253E" w:rsidRPr="00AB5E96" w:rsidRDefault="00C5609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  <w:t>2,</w:t>
            </w:r>
            <w:r w:rsidR="00FF211A" w:rsidRPr="00AB5E96"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  <w:t>40%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97" w14:textId="2BBD2ACA" w:rsidR="00EB253E" w:rsidRPr="00AB5E96" w:rsidRDefault="00C5609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  <w:t>1,</w:t>
            </w:r>
            <w:r w:rsidR="00FF211A" w:rsidRPr="00AB5E96"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  <w:t>18%</w:t>
            </w:r>
          </w:p>
        </w:tc>
        <w:tc>
          <w:tcPr>
            <w:tcW w:w="1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98" w14:textId="40D59EEB" w:rsidR="00EB253E" w:rsidRPr="00AB5E96" w:rsidRDefault="00C5609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  <w:t>2,</w:t>
            </w:r>
            <w:r w:rsidR="00FF211A" w:rsidRPr="00AB5E96">
              <w:rPr>
                <w:rFonts w:ascii="Cambria" w:eastAsia="Times New Roman" w:hAnsi="Cambria" w:cs="Calibri"/>
                <w:color w:val="000000"/>
                <w:sz w:val="20"/>
                <w:szCs w:val="20"/>
                <w:lang w:val="it-IT" w:eastAsia="en-GB"/>
              </w:rPr>
              <w:t>29%</w:t>
            </w:r>
          </w:p>
        </w:tc>
      </w:tr>
      <w:tr w:rsidR="00EB253E" w:rsidRPr="00AB5E96" w14:paraId="60C0199F" w14:textId="77777777">
        <w:trPr>
          <w:trHeight w:val="70"/>
          <w:jc w:val="center"/>
        </w:trPr>
        <w:tc>
          <w:tcPr>
            <w:tcW w:w="186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9A" w14:textId="77777777" w:rsidR="00EB253E" w:rsidRPr="00AB5E96" w:rsidRDefault="00EB253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it-IT" w:eastAsia="en-GB"/>
              </w:rPr>
            </w:pP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9B" w14:textId="77777777" w:rsidR="00EB253E" w:rsidRPr="00AB5E96" w:rsidRDefault="00FF21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</w:pPr>
            <w:proofErr w:type="gramStart"/>
            <w:r w:rsidRPr="00AB5E96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  <w:t>alfa</w:t>
            </w:r>
            <w:proofErr w:type="gramEnd"/>
            <w:r w:rsidRPr="00AB5E96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  <w:t xml:space="preserve"> &lt; 0%</w:t>
            </w:r>
          </w:p>
        </w:tc>
        <w:tc>
          <w:tcPr>
            <w:tcW w:w="186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9C" w14:textId="6E2A9E0B" w:rsidR="00EB253E" w:rsidRPr="00AB5E96" w:rsidRDefault="00C5609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  <w:t>7,</w:t>
            </w:r>
            <w:r w:rsidR="00FF211A" w:rsidRPr="00AB5E96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  <w:t>45%</w:t>
            </w:r>
          </w:p>
        </w:tc>
        <w:tc>
          <w:tcPr>
            <w:tcW w:w="186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9D" w14:textId="31CB4874" w:rsidR="00EB253E" w:rsidRPr="00AB5E96" w:rsidRDefault="00FF211A" w:rsidP="00C5609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</w:pPr>
            <w:r w:rsidRPr="00AB5E96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  <w:t>13</w:t>
            </w:r>
            <w:r w:rsidR="00C56098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  <w:t>,</w:t>
            </w:r>
            <w:r w:rsidRPr="00AB5E96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  <w:t>61%</w:t>
            </w:r>
          </w:p>
        </w:tc>
        <w:tc>
          <w:tcPr>
            <w:tcW w:w="1632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199E" w14:textId="1D564575" w:rsidR="00EB253E" w:rsidRPr="00AB5E96" w:rsidRDefault="00FF21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</w:pPr>
            <w:r w:rsidRPr="00AB5E96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  <w:t>8</w:t>
            </w:r>
            <w:r w:rsidR="00C56098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  <w:t>,</w:t>
            </w:r>
            <w:r w:rsidRPr="00AB5E96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val="it-IT" w:eastAsia="en-GB"/>
              </w:rPr>
              <w:t>02%</w:t>
            </w:r>
          </w:p>
        </w:tc>
      </w:tr>
    </w:tbl>
    <w:p w14:paraId="60C019A0" w14:textId="3A17DFAB" w:rsidR="00EB253E" w:rsidRPr="00AB5E96" w:rsidRDefault="00FE55E7">
      <w:pPr>
        <w:spacing w:before="120" w:after="80"/>
        <w:jc w:val="both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>I</w:t>
      </w:r>
      <w:r w:rsidR="00FF211A" w:rsidRPr="00AB5E96">
        <w:rPr>
          <w:rFonts w:ascii="Cambria" w:hAnsi="Cambria"/>
          <w:lang w:val="it-IT"/>
        </w:rPr>
        <w:t xml:space="preserve"> deludenti rendimenti di molti fondi </w:t>
      </w:r>
      <w:r>
        <w:rPr>
          <w:rFonts w:ascii="Cambria" w:hAnsi="Cambria"/>
          <w:lang w:val="it-IT"/>
        </w:rPr>
        <w:t>attivi gestiti sono quasi del tutto da imputare alle commissioni</w:t>
      </w:r>
      <w:r w:rsidR="00FF211A" w:rsidRPr="00AB5E96">
        <w:rPr>
          <w:rFonts w:ascii="Cambria" w:hAnsi="Cambria"/>
          <w:lang w:val="it-IT"/>
        </w:rPr>
        <w:t xml:space="preserve">. Un'analisi di regressione lineare conferma che, quando le commissioni aumentano di 100 punti base, il rendimento </w:t>
      </w:r>
      <w:r w:rsidR="00C659F1">
        <w:rPr>
          <w:rFonts w:ascii="Cambria" w:hAnsi="Cambria"/>
          <w:lang w:val="it-IT"/>
        </w:rPr>
        <w:t xml:space="preserve">positivo </w:t>
      </w:r>
      <w:r w:rsidR="00FF211A" w:rsidRPr="00AB5E96">
        <w:rPr>
          <w:rFonts w:ascii="Cambria" w:hAnsi="Cambria"/>
          <w:lang w:val="it-IT"/>
        </w:rPr>
        <w:t>del fondo diminuisce di 68 punti base. Un'analisi di regressione multipla stabilisce la predominanza del rendimento di mercato sui rendimenti complessivi dei fondi, mentre il livello delle commissioni è il secondo fattore di rendimento più importante seguito dal</w:t>
      </w:r>
      <w:r>
        <w:rPr>
          <w:rFonts w:ascii="Cambria" w:hAnsi="Cambria"/>
          <w:lang w:val="it-IT"/>
        </w:rPr>
        <w:t xml:space="preserve"> </w:t>
      </w:r>
      <w:proofErr w:type="spellStart"/>
      <w:r>
        <w:rPr>
          <w:rFonts w:ascii="Cambria" w:hAnsi="Cambria"/>
          <w:lang w:val="it-IT"/>
        </w:rPr>
        <w:t>tracking</w:t>
      </w:r>
      <w:proofErr w:type="spellEnd"/>
      <w:r>
        <w:rPr>
          <w:rFonts w:ascii="Cambria" w:hAnsi="Cambria"/>
          <w:lang w:val="it-IT"/>
        </w:rPr>
        <w:t xml:space="preserve"> </w:t>
      </w:r>
      <w:proofErr w:type="spellStart"/>
      <w:r>
        <w:rPr>
          <w:rFonts w:ascii="Cambria" w:hAnsi="Cambria"/>
          <w:lang w:val="it-IT"/>
        </w:rPr>
        <w:t>error</w:t>
      </w:r>
      <w:proofErr w:type="spellEnd"/>
      <w:r w:rsidR="00FF211A" w:rsidRPr="00AB5E96">
        <w:rPr>
          <w:rFonts w:ascii="Cambria" w:hAnsi="Cambria"/>
          <w:lang w:val="it-IT"/>
        </w:rPr>
        <w:t xml:space="preserve">. Inoltre, la </w:t>
      </w:r>
      <w:proofErr w:type="spellStart"/>
      <w:r w:rsidR="00FF211A" w:rsidRPr="00AB5E96">
        <w:rPr>
          <w:rFonts w:ascii="Cambria" w:hAnsi="Cambria"/>
          <w:lang w:val="it-IT"/>
        </w:rPr>
        <w:t>sovraperformance</w:t>
      </w:r>
      <w:proofErr w:type="spellEnd"/>
      <w:r w:rsidR="00FF211A" w:rsidRPr="00AB5E96">
        <w:rPr>
          <w:rFonts w:ascii="Cambria" w:hAnsi="Cambria"/>
          <w:lang w:val="it-IT"/>
        </w:rPr>
        <w:t xml:space="preserve"> occasionale sembra essere </w:t>
      </w:r>
      <w:r>
        <w:rPr>
          <w:rFonts w:ascii="Cambria" w:hAnsi="Cambria"/>
          <w:lang w:val="it-IT"/>
        </w:rPr>
        <w:t xml:space="preserve">più che altro una questione di </w:t>
      </w:r>
      <w:r w:rsidR="00FF211A" w:rsidRPr="00AB5E96">
        <w:rPr>
          <w:rFonts w:ascii="Cambria" w:hAnsi="Cambria"/>
          <w:lang w:val="it-IT"/>
        </w:rPr>
        <w:t xml:space="preserve">fortuna, senza alcun nesso causale con le commissioni o le </w:t>
      </w:r>
      <w:r w:rsidR="00FF211A" w:rsidRPr="00AB5E96">
        <w:rPr>
          <w:rFonts w:ascii="Cambria" w:hAnsi="Cambria"/>
          <w:lang w:val="it-IT"/>
        </w:rPr>
        <w:lastRenderedPageBreak/>
        <w:t xml:space="preserve">competenze di </w:t>
      </w:r>
      <w:r>
        <w:rPr>
          <w:rFonts w:ascii="Cambria" w:hAnsi="Cambria"/>
          <w:lang w:val="it-IT"/>
        </w:rPr>
        <w:t xml:space="preserve">collocazione </w:t>
      </w:r>
      <w:r w:rsidR="00FF211A" w:rsidRPr="00AB5E96">
        <w:rPr>
          <w:rFonts w:ascii="Cambria" w:hAnsi="Cambria"/>
          <w:lang w:val="it-IT"/>
        </w:rPr>
        <w:t xml:space="preserve">dei titoli, in quanto non è stato possibile individuare una </w:t>
      </w:r>
      <w:proofErr w:type="spellStart"/>
      <w:r w:rsidR="00FF211A" w:rsidRPr="00AB5E96">
        <w:rPr>
          <w:rFonts w:ascii="Cambria" w:hAnsi="Cambria"/>
          <w:lang w:val="it-IT"/>
        </w:rPr>
        <w:t>sovraperformance</w:t>
      </w:r>
      <w:proofErr w:type="spellEnd"/>
      <w:r w:rsidR="00FF211A" w:rsidRPr="00AB5E96">
        <w:rPr>
          <w:rFonts w:ascii="Cambria" w:hAnsi="Cambria"/>
          <w:lang w:val="it-IT"/>
        </w:rPr>
        <w:t xml:space="preserve"> persistente.</w:t>
      </w:r>
    </w:p>
    <w:p w14:paraId="60C019A1" w14:textId="05496289" w:rsidR="00EB253E" w:rsidRPr="00AB5E96" w:rsidRDefault="00FF211A">
      <w:pPr>
        <w:spacing w:after="80"/>
        <w:jc w:val="both"/>
        <w:rPr>
          <w:lang w:val="it-IT"/>
        </w:rPr>
      </w:pPr>
      <w:r w:rsidRPr="00AB5E96">
        <w:rPr>
          <w:rFonts w:ascii="Cambria" w:hAnsi="Cambria"/>
          <w:lang w:val="it-IT"/>
        </w:rPr>
        <w:t xml:space="preserve">Guillaume </w:t>
      </w:r>
      <w:proofErr w:type="spellStart"/>
      <w:r w:rsidRPr="00AB5E96">
        <w:rPr>
          <w:rFonts w:ascii="Cambria" w:hAnsi="Cambria"/>
          <w:lang w:val="it-IT"/>
        </w:rPr>
        <w:t>Prache</w:t>
      </w:r>
      <w:proofErr w:type="spellEnd"/>
      <w:r w:rsidRPr="00AB5E96">
        <w:rPr>
          <w:rFonts w:ascii="Cambria" w:hAnsi="Cambria"/>
          <w:lang w:val="it-IT"/>
        </w:rPr>
        <w:t xml:space="preserve">, </w:t>
      </w:r>
      <w:r w:rsidR="00E07937">
        <w:rPr>
          <w:rFonts w:ascii="Cambria" w:hAnsi="Cambria"/>
          <w:lang w:val="it-IT"/>
        </w:rPr>
        <w:t>a</w:t>
      </w:r>
      <w:r w:rsidRPr="00AB5E96">
        <w:rPr>
          <w:rFonts w:ascii="Cambria" w:hAnsi="Cambria"/>
          <w:lang w:val="it-IT"/>
        </w:rPr>
        <w:t xml:space="preserve">mministratore </w:t>
      </w:r>
      <w:r w:rsidR="00FE55E7">
        <w:rPr>
          <w:rFonts w:ascii="Cambria" w:hAnsi="Cambria"/>
          <w:lang w:val="it-IT"/>
        </w:rPr>
        <w:t>d</w:t>
      </w:r>
      <w:r w:rsidRPr="00AB5E96">
        <w:rPr>
          <w:rFonts w:ascii="Cambria" w:hAnsi="Cambria"/>
          <w:lang w:val="it-IT"/>
        </w:rPr>
        <w:t>elegato di BETTER FINANCE</w:t>
      </w:r>
      <w:r w:rsidR="005D07E0">
        <w:rPr>
          <w:rFonts w:ascii="Cambria" w:hAnsi="Cambria"/>
          <w:lang w:val="it-IT"/>
        </w:rPr>
        <w:t>,</w:t>
      </w:r>
      <w:r w:rsidRPr="00AB5E96">
        <w:rPr>
          <w:rFonts w:ascii="Cambria" w:hAnsi="Cambria"/>
          <w:lang w:val="it-IT"/>
        </w:rPr>
        <w:t xml:space="preserve"> sottolinea</w:t>
      </w:r>
      <w:bookmarkStart w:id="3" w:name="_GoBack"/>
      <w:bookmarkEnd w:id="3"/>
      <w:r w:rsidRPr="00AB5E96">
        <w:rPr>
          <w:rFonts w:ascii="Cambria" w:hAnsi="Cambria"/>
          <w:lang w:val="it-IT"/>
        </w:rPr>
        <w:t xml:space="preserve"> che "</w:t>
      </w:r>
      <w:r w:rsidRPr="00AB5E96">
        <w:rPr>
          <w:rFonts w:ascii="Cambria" w:hAnsi="Cambria"/>
          <w:i/>
          <w:iCs/>
          <w:lang w:val="it-IT"/>
        </w:rPr>
        <w:t xml:space="preserve">la selezione di un fondo è una decisione fondamentale per </w:t>
      </w:r>
      <w:r w:rsidR="005D07E0">
        <w:rPr>
          <w:rFonts w:ascii="Cambria" w:hAnsi="Cambria"/>
          <w:i/>
          <w:iCs/>
          <w:lang w:val="it-IT"/>
        </w:rPr>
        <w:t xml:space="preserve">il singolo </w:t>
      </w:r>
      <w:r w:rsidRPr="00AB5E96">
        <w:rPr>
          <w:rFonts w:ascii="Cambria" w:hAnsi="Cambria"/>
          <w:i/>
          <w:iCs/>
          <w:lang w:val="it-IT"/>
        </w:rPr>
        <w:t xml:space="preserve">investitore. Purtroppo, la nostra ricerca mostra chiaramente che negli ultimi dieci anni, fino al 2017, </w:t>
      </w:r>
      <w:r w:rsidR="005D07E0">
        <w:rPr>
          <w:rFonts w:ascii="Cambria" w:hAnsi="Cambria"/>
          <w:i/>
          <w:iCs/>
          <w:lang w:val="it-IT"/>
        </w:rPr>
        <w:t xml:space="preserve">le possibilità per </w:t>
      </w:r>
      <w:r w:rsidRPr="00AB5E96">
        <w:rPr>
          <w:rFonts w:ascii="Cambria" w:hAnsi="Cambria"/>
          <w:i/>
          <w:iCs/>
          <w:lang w:val="it-IT"/>
        </w:rPr>
        <w:t xml:space="preserve">l'investitore medio </w:t>
      </w:r>
      <w:r w:rsidR="005D07E0">
        <w:rPr>
          <w:rFonts w:ascii="Cambria" w:hAnsi="Cambria"/>
          <w:i/>
          <w:iCs/>
          <w:lang w:val="it-IT"/>
        </w:rPr>
        <w:t xml:space="preserve">di scegliere un fondo di </w:t>
      </w:r>
      <w:proofErr w:type="spellStart"/>
      <w:r w:rsidR="005D07E0">
        <w:rPr>
          <w:rFonts w:ascii="Cambria" w:hAnsi="Cambria"/>
          <w:i/>
          <w:iCs/>
          <w:lang w:val="it-IT"/>
        </w:rPr>
        <w:t>equity</w:t>
      </w:r>
      <w:proofErr w:type="spellEnd"/>
      <w:r w:rsidR="005D07E0">
        <w:rPr>
          <w:rFonts w:ascii="Cambria" w:hAnsi="Cambria"/>
          <w:i/>
          <w:iCs/>
          <w:lang w:val="it-IT"/>
        </w:rPr>
        <w:t xml:space="preserve"> in grado di ottenere p</w:t>
      </w:r>
      <w:r w:rsidR="00C659F1">
        <w:rPr>
          <w:rFonts w:ascii="Cambria" w:hAnsi="Cambria"/>
          <w:i/>
          <w:iCs/>
          <w:lang w:val="it-IT"/>
        </w:rPr>
        <w:t xml:space="preserve">restazioni superiori </w:t>
      </w:r>
      <w:r w:rsidR="005D07E0">
        <w:rPr>
          <w:rFonts w:ascii="Cambria" w:hAnsi="Cambria"/>
          <w:i/>
          <w:iCs/>
          <w:lang w:val="it-IT"/>
        </w:rPr>
        <w:t xml:space="preserve">al </w:t>
      </w:r>
      <w:proofErr w:type="spellStart"/>
      <w:r w:rsidR="005D07E0">
        <w:rPr>
          <w:rFonts w:ascii="Cambria" w:hAnsi="Cambria"/>
          <w:i/>
          <w:iCs/>
          <w:lang w:val="it-IT"/>
        </w:rPr>
        <w:t>benckmark</w:t>
      </w:r>
      <w:proofErr w:type="spellEnd"/>
      <w:r w:rsidR="00C659F1">
        <w:rPr>
          <w:rFonts w:ascii="Cambria" w:hAnsi="Cambria"/>
          <w:i/>
          <w:iCs/>
          <w:lang w:val="it-IT"/>
        </w:rPr>
        <w:t xml:space="preserve"> nel periodo di detenzione dell’investimento di 5 anni, andavano solo da </w:t>
      </w:r>
      <w:r w:rsidRPr="00AB5E96">
        <w:rPr>
          <w:rFonts w:ascii="Cambria" w:hAnsi="Cambria"/>
          <w:i/>
          <w:iCs/>
          <w:lang w:val="it-IT"/>
        </w:rPr>
        <w:t xml:space="preserve">1 a 3,7. I fondi </w:t>
      </w:r>
      <w:r w:rsidR="00C659F1">
        <w:rPr>
          <w:rFonts w:ascii="Cambria" w:hAnsi="Cambria"/>
          <w:i/>
          <w:iCs/>
          <w:lang w:val="it-IT"/>
        </w:rPr>
        <w:t xml:space="preserve">di </w:t>
      </w:r>
      <w:proofErr w:type="spellStart"/>
      <w:r w:rsidR="00C659F1">
        <w:rPr>
          <w:rFonts w:ascii="Cambria" w:hAnsi="Cambria"/>
          <w:i/>
          <w:iCs/>
          <w:lang w:val="it-IT"/>
        </w:rPr>
        <w:t>equity</w:t>
      </w:r>
      <w:proofErr w:type="spellEnd"/>
      <w:r w:rsidR="00C659F1">
        <w:rPr>
          <w:rFonts w:ascii="Cambria" w:hAnsi="Cambria"/>
          <w:i/>
          <w:iCs/>
          <w:lang w:val="it-IT"/>
        </w:rPr>
        <w:t xml:space="preserve"> indicizzati </w:t>
      </w:r>
      <w:r w:rsidRPr="00AB5E96">
        <w:rPr>
          <w:rFonts w:ascii="Cambria" w:hAnsi="Cambria"/>
          <w:i/>
          <w:iCs/>
          <w:lang w:val="it-IT"/>
        </w:rPr>
        <w:t xml:space="preserve">a basso costo o i portafogli diversificati di </w:t>
      </w:r>
      <w:r w:rsidR="00C659F1">
        <w:rPr>
          <w:rFonts w:ascii="Cambria" w:hAnsi="Cambria"/>
          <w:i/>
          <w:iCs/>
          <w:lang w:val="it-IT"/>
        </w:rPr>
        <w:t xml:space="preserve">titoli </w:t>
      </w:r>
      <w:r w:rsidRPr="00AB5E96">
        <w:rPr>
          <w:rFonts w:ascii="Cambria" w:hAnsi="Cambria"/>
          <w:i/>
          <w:iCs/>
          <w:lang w:val="it-IT"/>
        </w:rPr>
        <w:t>azion</w:t>
      </w:r>
      <w:r w:rsidR="00C659F1">
        <w:rPr>
          <w:rFonts w:ascii="Cambria" w:hAnsi="Cambria"/>
          <w:i/>
          <w:iCs/>
          <w:lang w:val="it-IT"/>
        </w:rPr>
        <w:t>ar</w:t>
      </w:r>
      <w:r w:rsidRPr="00AB5E96">
        <w:rPr>
          <w:rFonts w:ascii="Cambria" w:hAnsi="Cambria"/>
          <w:i/>
          <w:iCs/>
          <w:lang w:val="it-IT"/>
        </w:rPr>
        <w:t xml:space="preserve">i detenuti direttamente </w:t>
      </w:r>
      <w:r w:rsidR="00C659F1">
        <w:rPr>
          <w:rFonts w:ascii="Cambria" w:hAnsi="Cambria"/>
          <w:i/>
          <w:iCs/>
          <w:lang w:val="it-IT"/>
        </w:rPr>
        <w:t xml:space="preserve">rappresentano </w:t>
      </w:r>
      <w:r w:rsidRPr="00AB5E96">
        <w:rPr>
          <w:rFonts w:ascii="Cambria" w:hAnsi="Cambria"/>
          <w:i/>
          <w:iCs/>
          <w:lang w:val="it-IT"/>
        </w:rPr>
        <w:t xml:space="preserve">quindi una valida alternativa che dovrebbe essere offerta ai singoli investitori. La ricerca </w:t>
      </w:r>
      <w:r w:rsidR="00C659F1">
        <w:rPr>
          <w:rFonts w:ascii="Cambria" w:hAnsi="Cambria"/>
          <w:i/>
          <w:iCs/>
          <w:lang w:val="it-IT"/>
        </w:rPr>
        <w:t xml:space="preserve">di </w:t>
      </w:r>
      <w:r w:rsidRPr="00AB5E96">
        <w:rPr>
          <w:rFonts w:ascii="Cambria" w:hAnsi="Cambria"/>
          <w:i/>
          <w:iCs/>
          <w:lang w:val="it-IT"/>
        </w:rPr>
        <w:t>BETTER FINANCE stabilisce inoltre con fermezza l'impatto negativo del livello delle commissioni de</w:t>
      </w:r>
      <w:r w:rsidR="00C659F1">
        <w:rPr>
          <w:rFonts w:ascii="Cambria" w:hAnsi="Cambria"/>
          <w:i/>
          <w:iCs/>
          <w:lang w:val="it-IT"/>
        </w:rPr>
        <w:t>i</w:t>
      </w:r>
      <w:r w:rsidRPr="00AB5E96">
        <w:rPr>
          <w:rFonts w:ascii="Cambria" w:hAnsi="Cambria"/>
          <w:i/>
          <w:iCs/>
          <w:lang w:val="it-IT"/>
        </w:rPr>
        <w:t xml:space="preserve"> fond</w:t>
      </w:r>
      <w:r w:rsidR="00C659F1">
        <w:rPr>
          <w:rFonts w:ascii="Cambria" w:hAnsi="Cambria"/>
          <w:i/>
          <w:iCs/>
          <w:lang w:val="it-IT"/>
        </w:rPr>
        <w:t>i</w:t>
      </w:r>
      <w:r w:rsidRPr="00AB5E96">
        <w:rPr>
          <w:rFonts w:ascii="Cambria" w:hAnsi="Cambria"/>
          <w:i/>
          <w:iCs/>
          <w:lang w:val="it-IT"/>
        </w:rPr>
        <w:t xml:space="preserve"> sul rendimento </w:t>
      </w:r>
      <w:r w:rsidR="00C659F1">
        <w:rPr>
          <w:rFonts w:ascii="Cambria" w:hAnsi="Cambria"/>
          <w:i/>
          <w:iCs/>
          <w:lang w:val="it-IT"/>
        </w:rPr>
        <w:t>positivo</w:t>
      </w:r>
      <w:r w:rsidR="00C659F1" w:rsidRPr="00AB5E96">
        <w:rPr>
          <w:rFonts w:ascii="Cambria" w:hAnsi="Cambria"/>
          <w:lang w:val="it-IT"/>
        </w:rPr>
        <w:t xml:space="preserve"> </w:t>
      </w:r>
      <w:r w:rsidRPr="00AB5E96">
        <w:rPr>
          <w:rFonts w:ascii="Cambria" w:hAnsi="Cambria"/>
          <w:lang w:val="it-IT"/>
        </w:rPr>
        <w:t>".</w:t>
      </w:r>
    </w:p>
    <w:p w14:paraId="60C019A2" w14:textId="77777777" w:rsidR="00EB253E" w:rsidRPr="00AB5E96" w:rsidRDefault="00EB253E">
      <w:pPr>
        <w:spacing w:after="80"/>
        <w:jc w:val="both"/>
        <w:rPr>
          <w:rFonts w:ascii="Cambria" w:hAnsi="Cambria"/>
          <w:lang w:val="it-IT"/>
        </w:rPr>
      </w:pPr>
    </w:p>
    <w:p w14:paraId="60C019A3" w14:textId="77777777" w:rsidR="00EB253E" w:rsidRPr="00AB5E96" w:rsidRDefault="00FF211A">
      <w:pPr>
        <w:spacing w:after="80"/>
        <w:jc w:val="center"/>
        <w:rPr>
          <w:lang w:val="it-IT"/>
        </w:rPr>
      </w:pPr>
      <w:r w:rsidRPr="00AB5E96">
        <w:rPr>
          <w:noProof/>
          <w:lang w:val="it-IT" w:eastAsia="it-IT"/>
        </w:rPr>
        <w:drawing>
          <wp:inline distT="0" distB="0" distL="0" distR="0" wp14:anchorId="60C01958" wp14:editId="60C01959">
            <wp:extent cx="5448296" cy="6278883"/>
            <wp:effectExtent l="0" t="0" r="4" b="7617"/>
            <wp:docPr id="5" name="Picture 2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8296" cy="62788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0C019A4" w14:textId="77777777" w:rsidR="00EB253E" w:rsidRPr="00AB5E96" w:rsidRDefault="00EB253E">
      <w:pPr>
        <w:spacing w:after="120" w:line="240" w:lineRule="auto"/>
        <w:jc w:val="center"/>
        <w:rPr>
          <w:rFonts w:ascii="Cambria" w:hAnsi="Cambria"/>
          <w:lang w:val="it-IT"/>
        </w:rPr>
      </w:pPr>
    </w:p>
    <w:p w14:paraId="60C019A5" w14:textId="77777777" w:rsidR="00EB253E" w:rsidRPr="00AB5E96" w:rsidRDefault="00FF211A">
      <w:pPr>
        <w:spacing w:after="120" w:line="240" w:lineRule="auto"/>
        <w:jc w:val="center"/>
        <w:rPr>
          <w:rFonts w:ascii="Cambria" w:hAnsi="Cambria"/>
          <w:lang w:val="it-IT"/>
        </w:rPr>
      </w:pPr>
      <w:r w:rsidRPr="00AB5E96">
        <w:rPr>
          <w:rFonts w:ascii="Cambria" w:hAnsi="Cambria"/>
          <w:lang w:val="it-IT"/>
        </w:rPr>
        <w:t>***</w:t>
      </w:r>
    </w:p>
    <w:p w14:paraId="60C019A6" w14:textId="77777777" w:rsidR="00EB253E" w:rsidRPr="00AB5E96" w:rsidRDefault="00FF211A">
      <w:pPr>
        <w:pStyle w:val="Corpotesto"/>
        <w:spacing w:after="0" w:line="30" w:lineRule="atLeast"/>
        <w:jc w:val="center"/>
        <w:rPr>
          <w:lang w:val="it-IT"/>
        </w:rPr>
      </w:pPr>
      <w:r w:rsidRPr="00AB5E96">
        <w:rPr>
          <w:rFonts w:ascii="Cambria" w:hAnsi="Cambria" w:cs="Calibri"/>
          <w:sz w:val="18"/>
          <w:szCs w:val="18"/>
          <w:u w:val="single"/>
          <w:lang w:val="it-IT"/>
        </w:rPr>
        <w:t>Contatto</w:t>
      </w:r>
      <w:r w:rsidRPr="00AB5E96">
        <w:rPr>
          <w:rFonts w:ascii="Cambria" w:hAnsi="Cambria" w:cs="Calibri"/>
          <w:sz w:val="18"/>
          <w:szCs w:val="18"/>
          <w:lang w:val="it-IT"/>
        </w:rPr>
        <w:t xml:space="preserve">: Direttore delle comunicazioni ǀ </w:t>
      </w:r>
      <w:proofErr w:type="spellStart"/>
      <w:r w:rsidRPr="00AB5E96">
        <w:rPr>
          <w:rFonts w:ascii="Cambria" w:hAnsi="Cambria" w:cs="Calibri"/>
          <w:sz w:val="18"/>
          <w:szCs w:val="18"/>
          <w:lang w:val="it-IT"/>
        </w:rPr>
        <w:t>Arnaud</w:t>
      </w:r>
      <w:proofErr w:type="spellEnd"/>
      <w:r w:rsidRPr="00AB5E96">
        <w:rPr>
          <w:rFonts w:ascii="Cambria" w:hAnsi="Cambria" w:cs="Calibri"/>
          <w:sz w:val="18"/>
          <w:szCs w:val="18"/>
          <w:lang w:val="it-IT"/>
        </w:rPr>
        <w:t xml:space="preserve"> </w:t>
      </w:r>
      <w:proofErr w:type="spellStart"/>
      <w:r w:rsidRPr="00AB5E96">
        <w:rPr>
          <w:rFonts w:ascii="Cambria" w:hAnsi="Cambria" w:cs="Calibri"/>
          <w:sz w:val="18"/>
          <w:szCs w:val="18"/>
          <w:lang w:val="it-IT"/>
        </w:rPr>
        <w:t>Houdmont</w:t>
      </w:r>
      <w:proofErr w:type="spellEnd"/>
      <w:r w:rsidRPr="00AB5E96">
        <w:rPr>
          <w:rFonts w:ascii="Cambria" w:hAnsi="Cambria" w:cs="Calibri"/>
          <w:sz w:val="18"/>
          <w:szCs w:val="18"/>
          <w:lang w:val="it-IT"/>
        </w:rPr>
        <w:t xml:space="preserve"> ǀ +32 (0)2 514 37 77 ǀ </w:t>
      </w:r>
      <w:hyperlink r:id="rId10" w:history="1">
        <w:r w:rsidRPr="00AB5E96">
          <w:rPr>
            <w:rStyle w:val="Collegamentoipertestuale"/>
            <w:rFonts w:ascii="Cambria" w:hAnsi="Cambria" w:cs="Calibri"/>
            <w:sz w:val="18"/>
            <w:szCs w:val="18"/>
            <w:lang w:val="it-IT"/>
          </w:rPr>
          <w:t>houdmont@betterfinance.eu</w:t>
        </w:r>
      </w:hyperlink>
    </w:p>
    <w:p w14:paraId="60C019A7" w14:textId="5497DA8C" w:rsidR="00EB253E" w:rsidRDefault="00C659F1" w:rsidP="00C659F1">
      <w:pPr>
        <w:spacing w:before="120" w:after="120" w:line="30" w:lineRule="atLeast"/>
      </w:pPr>
      <w:r>
        <w:rPr>
          <w:rFonts w:ascii="Cambria" w:hAnsi="Cambria"/>
          <w:b/>
          <w:spacing w:val="10"/>
          <w:sz w:val="18"/>
          <w:szCs w:val="18"/>
          <w:lang w:val="it-IT"/>
        </w:rPr>
        <w:t xml:space="preserve">Per cancellare l’iscrizione alla </w:t>
      </w:r>
      <w:r w:rsidR="00FF211A">
        <w:rPr>
          <w:rFonts w:ascii="Cambria" w:hAnsi="Cambria"/>
          <w:b/>
          <w:spacing w:val="10"/>
          <w:sz w:val="18"/>
          <w:szCs w:val="18"/>
          <w:lang w:val="en-US"/>
        </w:rPr>
        <w:t xml:space="preserve">nostra mailing list, </w:t>
      </w:r>
      <w:proofErr w:type="spellStart"/>
      <w:r w:rsidR="00FF211A">
        <w:rPr>
          <w:rFonts w:ascii="Cambria" w:hAnsi="Cambria"/>
          <w:b/>
          <w:spacing w:val="10"/>
          <w:sz w:val="18"/>
          <w:szCs w:val="18"/>
          <w:lang w:val="en-US"/>
        </w:rPr>
        <w:t>invia</w:t>
      </w:r>
      <w:r>
        <w:rPr>
          <w:rFonts w:ascii="Cambria" w:hAnsi="Cambria"/>
          <w:b/>
          <w:spacing w:val="10"/>
          <w:sz w:val="18"/>
          <w:szCs w:val="18"/>
          <w:lang w:val="en-US"/>
        </w:rPr>
        <w:t>r</w:t>
      </w:r>
      <w:r w:rsidR="00FF211A">
        <w:rPr>
          <w:rFonts w:ascii="Cambria" w:hAnsi="Cambria"/>
          <w:b/>
          <w:spacing w:val="10"/>
          <w:sz w:val="18"/>
          <w:szCs w:val="18"/>
          <w:lang w:val="en-US"/>
        </w:rPr>
        <w:t>e</w:t>
      </w:r>
      <w:proofErr w:type="spellEnd"/>
      <w:r w:rsidR="00FF211A">
        <w:rPr>
          <w:rFonts w:ascii="Cambria" w:hAnsi="Cambria"/>
          <w:b/>
          <w:spacing w:val="10"/>
          <w:sz w:val="18"/>
          <w:szCs w:val="18"/>
          <w:lang w:val="en-US"/>
        </w:rPr>
        <w:t xml:space="preserve"> </w:t>
      </w:r>
      <w:proofErr w:type="spellStart"/>
      <w:r w:rsidR="00FF211A">
        <w:rPr>
          <w:rFonts w:ascii="Cambria" w:hAnsi="Cambria"/>
          <w:b/>
          <w:spacing w:val="10"/>
          <w:sz w:val="18"/>
          <w:szCs w:val="18"/>
          <w:lang w:val="en-US"/>
        </w:rPr>
        <w:t>un</w:t>
      </w:r>
      <w:r w:rsidR="00E94A50">
        <w:rPr>
          <w:rFonts w:ascii="Cambria" w:hAnsi="Cambria"/>
          <w:b/>
          <w:spacing w:val="10"/>
          <w:sz w:val="18"/>
          <w:szCs w:val="18"/>
          <w:lang w:val="en-US"/>
        </w:rPr>
        <w:t>a</w:t>
      </w:r>
      <w:proofErr w:type="spellEnd"/>
      <w:r w:rsidR="00E94A50">
        <w:rPr>
          <w:rFonts w:ascii="Cambria" w:hAnsi="Cambria"/>
          <w:b/>
          <w:spacing w:val="10"/>
          <w:sz w:val="18"/>
          <w:szCs w:val="18"/>
          <w:lang w:val="en-US"/>
        </w:rPr>
        <w:t xml:space="preserve"> </w:t>
      </w:r>
      <w:r w:rsidR="00FF211A">
        <w:rPr>
          <w:rFonts w:ascii="Cambria" w:hAnsi="Cambria"/>
          <w:b/>
          <w:spacing w:val="10"/>
          <w:sz w:val="18"/>
          <w:szCs w:val="18"/>
          <w:lang w:val="en-US"/>
        </w:rPr>
        <w:t xml:space="preserve">e-mail </w:t>
      </w:r>
      <w:proofErr w:type="spellStart"/>
      <w:r w:rsidR="00FF211A">
        <w:rPr>
          <w:rFonts w:ascii="Cambria" w:hAnsi="Cambria"/>
          <w:b/>
          <w:spacing w:val="10"/>
          <w:sz w:val="18"/>
          <w:szCs w:val="18"/>
          <w:lang w:val="en-US"/>
        </w:rPr>
        <w:t>a</w:t>
      </w:r>
      <w:proofErr w:type="spellEnd"/>
      <w:r w:rsidR="00FF211A">
        <w:rPr>
          <w:rFonts w:ascii="Cambria" w:hAnsi="Cambria"/>
          <w:b/>
          <w:spacing w:val="10"/>
          <w:sz w:val="18"/>
          <w:szCs w:val="18"/>
          <w:lang w:val="en-US"/>
        </w:rPr>
        <w:t xml:space="preserve"> </w:t>
      </w:r>
      <w:hyperlink r:id="rId11" w:history="1">
        <w:r w:rsidR="00E94A50" w:rsidRPr="0050777D">
          <w:rPr>
            <w:rStyle w:val="Collegamentoipertestuale"/>
            <w:rFonts w:ascii="Cambria" w:hAnsi="Cambria"/>
            <w:b/>
            <w:spacing w:val="10"/>
            <w:sz w:val="18"/>
            <w:szCs w:val="18"/>
            <w:lang w:val="en-US"/>
          </w:rPr>
          <w:t>info@betterfinance.eu</w:t>
        </w:r>
      </w:hyperlink>
      <w:r w:rsidR="00E94A50">
        <w:rPr>
          <w:rFonts w:ascii="Cambria" w:hAnsi="Cambria"/>
          <w:b/>
          <w:spacing w:val="10"/>
          <w:sz w:val="18"/>
          <w:szCs w:val="18"/>
          <w:lang w:val="en-US"/>
        </w:rPr>
        <w:t xml:space="preserve">  </w:t>
      </w:r>
      <w:r w:rsidR="00FF211A">
        <w:rPr>
          <w:rFonts w:ascii="Cambria" w:hAnsi="Cambria"/>
          <w:b/>
          <w:spacing w:val="10"/>
          <w:sz w:val="18"/>
          <w:szCs w:val="18"/>
          <w:lang w:val="en-US"/>
        </w:rPr>
        <w:t xml:space="preserve"> </w:t>
      </w:r>
    </w:p>
    <w:sectPr w:rsidR="00EB253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A691B" w14:textId="77777777" w:rsidR="00565AFD" w:rsidRDefault="00565AFD">
      <w:pPr>
        <w:spacing w:after="0" w:line="240" w:lineRule="auto"/>
      </w:pPr>
      <w:r>
        <w:separator/>
      </w:r>
    </w:p>
  </w:endnote>
  <w:endnote w:type="continuationSeparator" w:id="0">
    <w:p w14:paraId="1F831B05" w14:textId="77777777" w:rsidR="00565AFD" w:rsidRDefault="0056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01966" w14:textId="77777777" w:rsidR="00234384" w:rsidRDefault="00565AFD">
    <w:pPr>
      <w:spacing w:after="0" w:line="240" w:lineRule="auto"/>
      <w:ind w:left="-567"/>
      <w:jc w:val="center"/>
      <w:rPr>
        <w:b/>
        <w:color w:val="006FB4"/>
        <w:sz w:val="16"/>
        <w:szCs w:val="16"/>
        <w:lang w:val="en-US"/>
      </w:rPr>
    </w:pPr>
  </w:p>
  <w:p w14:paraId="60C01967" w14:textId="77777777" w:rsidR="00234384" w:rsidRDefault="00FF211A">
    <w:pPr>
      <w:spacing w:after="0" w:line="240" w:lineRule="auto"/>
      <w:ind w:left="-567"/>
      <w:jc w:val="center"/>
      <w:rPr>
        <w:b/>
        <w:color w:val="006FB4"/>
        <w:sz w:val="16"/>
        <w:szCs w:val="16"/>
        <w:lang w:val="en-US"/>
      </w:rPr>
    </w:pPr>
    <w:r>
      <w:rPr>
        <w:b/>
        <w:color w:val="006FB4"/>
        <w:sz w:val="16"/>
        <w:szCs w:val="16"/>
        <w:lang w:val="en-US"/>
      </w:rPr>
      <w:t xml:space="preserve">La </w:t>
    </w:r>
    <w:proofErr w:type="spellStart"/>
    <w:r>
      <w:rPr>
        <w:b/>
        <w:color w:val="006FB4"/>
        <w:sz w:val="16"/>
        <w:szCs w:val="16"/>
        <w:lang w:val="en-US"/>
      </w:rPr>
      <w:t>Federazione</w:t>
    </w:r>
    <w:proofErr w:type="spellEnd"/>
    <w:r>
      <w:rPr>
        <w:b/>
        <w:color w:val="006FB4"/>
        <w:sz w:val="16"/>
        <w:szCs w:val="16"/>
        <w:lang w:val="en-US"/>
      </w:rPr>
      <w:t xml:space="preserve"> </w:t>
    </w:r>
    <w:proofErr w:type="spellStart"/>
    <w:r>
      <w:rPr>
        <w:b/>
        <w:color w:val="006FB4"/>
        <w:sz w:val="16"/>
        <w:szCs w:val="16"/>
        <w:lang w:val="en-US"/>
      </w:rPr>
      <w:t>europea</w:t>
    </w:r>
    <w:proofErr w:type="spellEnd"/>
    <w:r>
      <w:rPr>
        <w:b/>
        <w:color w:val="006FB4"/>
        <w:sz w:val="16"/>
        <w:szCs w:val="16"/>
        <w:lang w:val="en-US"/>
      </w:rPr>
      <w:t xml:space="preserve"> </w:t>
    </w:r>
    <w:proofErr w:type="spellStart"/>
    <w:r>
      <w:rPr>
        <w:b/>
        <w:color w:val="006FB4"/>
        <w:sz w:val="16"/>
        <w:szCs w:val="16"/>
        <w:lang w:val="en-US"/>
      </w:rPr>
      <w:t>degli</w:t>
    </w:r>
    <w:proofErr w:type="spellEnd"/>
    <w:r>
      <w:rPr>
        <w:b/>
        <w:color w:val="006FB4"/>
        <w:sz w:val="16"/>
        <w:szCs w:val="16"/>
        <w:lang w:val="en-US"/>
      </w:rPr>
      <w:t xml:space="preserve"> </w:t>
    </w:r>
    <w:proofErr w:type="spellStart"/>
    <w:r>
      <w:rPr>
        <w:b/>
        <w:color w:val="006FB4"/>
        <w:sz w:val="16"/>
        <w:szCs w:val="16"/>
        <w:lang w:val="en-US"/>
      </w:rPr>
      <w:t>investitori</w:t>
    </w:r>
    <w:proofErr w:type="spellEnd"/>
    <w:r>
      <w:rPr>
        <w:b/>
        <w:color w:val="006FB4"/>
        <w:sz w:val="16"/>
        <w:szCs w:val="16"/>
        <w:lang w:val="en-US"/>
      </w:rPr>
      <w:t xml:space="preserve"> e </w:t>
    </w:r>
    <w:proofErr w:type="spellStart"/>
    <w:r>
      <w:rPr>
        <w:b/>
        <w:color w:val="006FB4"/>
        <w:sz w:val="16"/>
        <w:szCs w:val="16"/>
        <w:lang w:val="en-US"/>
      </w:rPr>
      <w:t>degli</w:t>
    </w:r>
    <w:proofErr w:type="spellEnd"/>
    <w:r>
      <w:rPr>
        <w:b/>
        <w:color w:val="006FB4"/>
        <w:sz w:val="16"/>
        <w:szCs w:val="16"/>
        <w:lang w:val="en-US"/>
      </w:rPr>
      <w:t xml:space="preserve"> </w:t>
    </w:r>
    <w:proofErr w:type="spellStart"/>
    <w:r>
      <w:rPr>
        <w:b/>
        <w:color w:val="006FB4"/>
        <w:sz w:val="16"/>
        <w:szCs w:val="16"/>
        <w:lang w:val="en-US"/>
      </w:rPr>
      <w:t>utenti</w:t>
    </w:r>
    <w:proofErr w:type="spellEnd"/>
    <w:r>
      <w:rPr>
        <w:b/>
        <w:color w:val="006FB4"/>
        <w:sz w:val="16"/>
        <w:szCs w:val="16"/>
        <w:lang w:val="en-US"/>
      </w:rPr>
      <w:t xml:space="preserve"> </w:t>
    </w:r>
    <w:proofErr w:type="spellStart"/>
    <w:r>
      <w:rPr>
        <w:b/>
        <w:color w:val="006FB4"/>
        <w:sz w:val="16"/>
        <w:szCs w:val="16"/>
        <w:lang w:val="en-US"/>
      </w:rPr>
      <w:t>dei</w:t>
    </w:r>
    <w:proofErr w:type="spellEnd"/>
    <w:r>
      <w:rPr>
        <w:b/>
        <w:color w:val="006FB4"/>
        <w:sz w:val="16"/>
        <w:szCs w:val="16"/>
        <w:lang w:val="en-US"/>
      </w:rPr>
      <w:t xml:space="preserve"> </w:t>
    </w:r>
    <w:proofErr w:type="spellStart"/>
    <w:r>
      <w:rPr>
        <w:b/>
        <w:color w:val="006FB4"/>
        <w:sz w:val="16"/>
        <w:szCs w:val="16"/>
        <w:lang w:val="en-US"/>
      </w:rPr>
      <w:t>servizi</w:t>
    </w:r>
    <w:proofErr w:type="spellEnd"/>
    <w:r>
      <w:rPr>
        <w:b/>
        <w:color w:val="006FB4"/>
        <w:sz w:val="16"/>
        <w:szCs w:val="16"/>
        <w:lang w:val="en-US"/>
      </w:rPr>
      <w:t xml:space="preserve"> </w:t>
    </w:r>
    <w:proofErr w:type="spellStart"/>
    <w:r>
      <w:rPr>
        <w:b/>
        <w:color w:val="006FB4"/>
        <w:sz w:val="16"/>
        <w:szCs w:val="16"/>
        <w:lang w:val="en-US"/>
      </w:rPr>
      <w:t>finanziari</w:t>
    </w:r>
    <w:proofErr w:type="spellEnd"/>
  </w:p>
  <w:p w14:paraId="60C01968" w14:textId="77777777" w:rsidR="00234384" w:rsidRDefault="00FF211A">
    <w:pPr>
      <w:spacing w:after="0" w:line="240" w:lineRule="auto"/>
      <w:ind w:left="-567"/>
      <w:jc w:val="center"/>
      <w:rPr>
        <w:color w:val="006FB4"/>
        <w:sz w:val="16"/>
        <w:szCs w:val="16"/>
        <w:lang w:val="de-DE"/>
      </w:rPr>
    </w:pPr>
    <w:r>
      <w:rPr>
        <w:color w:val="006FB4"/>
        <w:sz w:val="16"/>
        <w:szCs w:val="16"/>
        <w:lang w:val="de-DE"/>
      </w:rPr>
      <w:t xml:space="preserve">44, Rue </w:t>
    </w:r>
    <w:proofErr w:type="spellStart"/>
    <w:r>
      <w:rPr>
        <w:color w:val="006FB4"/>
        <w:sz w:val="16"/>
        <w:szCs w:val="16"/>
        <w:lang w:val="de-DE"/>
      </w:rPr>
      <w:t>d'Arenberg</w:t>
    </w:r>
    <w:proofErr w:type="spellEnd"/>
    <w:r>
      <w:rPr>
        <w:color w:val="006FB4"/>
        <w:sz w:val="16"/>
        <w:szCs w:val="16"/>
        <w:lang w:val="de-DE"/>
      </w:rPr>
      <w:t xml:space="preserve">, 1000 Bruxelles - </w:t>
    </w:r>
    <w:proofErr w:type="spellStart"/>
    <w:r>
      <w:rPr>
        <w:color w:val="006FB4"/>
        <w:sz w:val="16"/>
        <w:szCs w:val="16"/>
        <w:lang w:val="de-DE"/>
      </w:rPr>
      <w:t>Belgio</w:t>
    </w:r>
    <w:proofErr w:type="spellEnd"/>
  </w:p>
  <w:p w14:paraId="60C01969" w14:textId="77777777" w:rsidR="00234384" w:rsidRDefault="00FF211A">
    <w:pPr>
      <w:spacing w:after="0" w:line="240" w:lineRule="auto"/>
      <w:ind w:left="-567"/>
      <w:jc w:val="center"/>
    </w:pPr>
    <w:r>
      <w:rPr>
        <w:color w:val="006FB4"/>
        <w:sz w:val="16"/>
        <w:szCs w:val="16"/>
        <w:lang w:val="de-DE"/>
      </w:rPr>
      <w:t xml:space="preserve">Tel. (+32) 02 514 37 77 - Fax. </w:t>
    </w:r>
    <w:r>
      <w:rPr>
        <w:color w:val="006FB4"/>
        <w:sz w:val="16"/>
        <w:szCs w:val="16"/>
        <w:lang w:val="pt-PT"/>
      </w:rPr>
      <w:t>(+32) 02 514 36 66</w:t>
    </w:r>
  </w:p>
  <w:p w14:paraId="60C0196A" w14:textId="77777777" w:rsidR="00234384" w:rsidRDefault="00FF211A">
    <w:pPr>
      <w:spacing w:after="0" w:line="240" w:lineRule="auto"/>
      <w:ind w:left="-567"/>
      <w:jc w:val="center"/>
    </w:pPr>
    <w:r>
      <w:rPr>
        <w:color w:val="006FB4"/>
        <w:sz w:val="16"/>
        <w:szCs w:val="16"/>
        <w:lang w:val="pt-PT"/>
      </w:rPr>
      <w:t xml:space="preserve">E-mail: info@betterfinance.eu - </w:t>
    </w:r>
    <w:bookmarkStart w:id="4" w:name="_Hlk944867"/>
    <w:r>
      <w:fldChar w:fldCharType="begin"/>
    </w:r>
    <w:r>
      <w:instrText xml:space="preserve"> HYPERLINK  "http://www.eurofinuse.org" </w:instrText>
    </w:r>
    <w:r>
      <w:fldChar w:fldCharType="separate"/>
    </w:r>
    <w:r>
      <w:rPr>
        <w:color w:val="006FB4"/>
        <w:sz w:val="16"/>
        <w:szCs w:val="16"/>
        <w:u w:val="single"/>
        <w:lang w:val="it-IT"/>
      </w:rPr>
      <w:t xml:space="preserve">http://www.betterfinance.eu </w:t>
    </w:r>
    <w:r>
      <w:rPr>
        <w:color w:val="006FB4"/>
        <w:sz w:val="16"/>
        <w:szCs w:val="16"/>
        <w:u w:val="single"/>
        <w:lang w:val="it-IT"/>
      </w:rPr>
      <w:fldChar w:fldCharType="end"/>
    </w:r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D68D8" w14:textId="77777777" w:rsidR="00565AFD" w:rsidRDefault="00565AF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2DC89D" w14:textId="77777777" w:rsidR="00565AFD" w:rsidRDefault="00565AFD">
      <w:pPr>
        <w:spacing w:after="0" w:line="240" w:lineRule="auto"/>
      </w:pPr>
      <w:r>
        <w:continuationSeparator/>
      </w:r>
    </w:p>
  </w:footnote>
  <w:footnote w:id="1">
    <w:p w14:paraId="60C0195C" w14:textId="5F23DF30" w:rsidR="00EB253E" w:rsidRPr="00FE55E7" w:rsidRDefault="00FF211A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 w:rsidRPr="00FE55E7">
        <w:rPr>
          <w:rFonts w:ascii="Cambria" w:hAnsi="Cambria"/>
          <w:sz w:val="16"/>
          <w:szCs w:val="16"/>
          <w:lang w:val="it-IT"/>
        </w:rPr>
        <w:t xml:space="preserve">Abbiamo utilizzato periodi </w:t>
      </w:r>
      <w:r w:rsidR="00FE55E7">
        <w:rPr>
          <w:rFonts w:ascii="Cambria" w:hAnsi="Cambria"/>
          <w:sz w:val="16"/>
          <w:szCs w:val="16"/>
          <w:lang w:val="it-IT"/>
        </w:rPr>
        <w:t xml:space="preserve">ininterrotti </w:t>
      </w:r>
      <w:r w:rsidRPr="00FE55E7">
        <w:rPr>
          <w:rFonts w:ascii="Cambria" w:hAnsi="Cambria"/>
          <w:sz w:val="16"/>
          <w:szCs w:val="16"/>
          <w:lang w:val="it-IT"/>
        </w:rPr>
        <w:t>di 5 anni</w:t>
      </w:r>
      <w:r w:rsidR="00FE55E7">
        <w:rPr>
          <w:rFonts w:ascii="Cambria" w:hAnsi="Cambria"/>
          <w:sz w:val="16"/>
          <w:szCs w:val="16"/>
          <w:lang w:val="it-IT"/>
        </w:rPr>
        <w:t>,</w:t>
      </w:r>
      <w:r w:rsidRPr="00FE55E7">
        <w:rPr>
          <w:rFonts w:ascii="Cambria" w:hAnsi="Cambria"/>
          <w:sz w:val="16"/>
          <w:szCs w:val="16"/>
          <w:lang w:val="it-IT"/>
        </w:rPr>
        <w:t xml:space="preserve"> </w:t>
      </w:r>
      <w:r w:rsidR="00FE55E7">
        <w:rPr>
          <w:rFonts w:ascii="Cambria" w:hAnsi="Cambria"/>
          <w:sz w:val="16"/>
          <w:szCs w:val="16"/>
          <w:lang w:val="it-IT"/>
        </w:rPr>
        <w:t xml:space="preserve">iniziando con il </w:t>
      </w:r>
      <w:r w:rsidRPr="00FE55E7">
        <w:rPr>
          <w:rFonts w:ascii="Cambria" w:hAnsi="Cambria"/>
          <w:sz w:val="16"/>
          <w:szCs w:val="16"/>
          <w:lang w:val="it-IT"/>
        </w:rPr>
        <w:t xml:space="preserve">primo trimestre del 2008 e </w:t>
      </w:r>
      <w:r w:rsidR="00FE55E7">
        <w:rPr>
          <w:rFonts w:ascii="Cambria" w:hAnsi="Cambria"/>
          <w:sz w:val="16"/>
          <w:szCs w:val="16"/>
          <w:lang w:val="it-IT"/>
        </w:rPr>
        <w:t>terminando con i</w:t>
      </w:r>
      <w:r w:rsidRPr="00FE55E7">
        <w:rPr>
          <w:rFonts w:ascii="Cambria" w:hAnsi="Cambria"/>
          <w:sz w:val="16"/>
          <w:szCs w:val="16"/>
          <w:lang w:val="it-IT"/>
        </w:rPr>
        <w:t xml:space="preserve">l quarto trimestre del 2017, al fine di eliminare </w:t>
      </w:r>
      <w:r w:rsidR="00FE55E7">
        <w:rPr>
          <w:rFonts w:ascii="Cambria" w:hAnsi="Cambria"/>
          <w:sz w:val="16"/>
          <w:szCs w:val="16"/>
          <w:lang w:val="it-IT"/>
        </w:rPr>
        <w:t>distorsioni nel market timing</w:t>
      </w:r>
      <w:r w:rsidRPr="00FE55E7">
        <w:rPr>
          <w:rFonts w:ascii="Cambria" w:hAnsi="Cambria"/>
          <w:sz w:val="16"/>
          <w:szCs w:val="16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01962" w14:textId="77777777" w:rsidR="00234384" w:rsidRDefault="00FF211A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60C0195A" wp14:editId="60C0195B">
          <wp:simplePos x="0" y="0"/>
          <wp:positionH relativeFrom="margin">
            <wp:posOffset>2564133</wp:posOffset>
          </wp:positionH>
          <wp:positionV relativeFrom="paragraph">
            <wp:posOffset>-265432</wp:posOffset>
          </wp:positionV>
          <wp:extent cx="3138165" cy="645164"/>
          <wp:effectExtent l="0" t="0" r="5085" b="2536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8165" cy="6451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0C01963" w14:textId="77777777" w:rsidR="00234384" w:rsidRDefault="00565AFD">
    <w:pPr>
      <w:pStyle w:val="Intestazione"/>
    </w:pPr>
  </w:p>
  <w:p w14:paraId="60C01964" w14:textId="77777777" w:rsidR="00234384" w:rsidRDefault="00565AFD">
    <w:pPr>
      <w:pStyle w:val="Intestazione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3E"/>
    <w:rsid w:val="000B53AC"/>
    <w:rsid w:val="004D0589"/>
    <w:rsid w:val="00565AFD"/>
    <w:rsid w:val="005D07E0"/>
    <w:rsid w:val="0062678B"/>
    <w:rsid w:val="00720B88"/>
    <w:rsid w:val="00AB5E96"/>
    <w:rsid w:val="00C56098"/>
    <w:rsid w:val="00C659F1"/>
    <w:rsid w:val="00E07937"/>
    <w:rsid w:val="00E94A50"/>
    <w:rsid w:val="00EB253E"/>
    <w:rsid w:val="00F75B6D"/>
    <w:rsid w:val="00FE55E7"/>
    <w:rsid w:val="00F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1951"/>
  <w15:docId w15:val="{2CCC447F-D64F-4C9F-82B6-6EEDC678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40" w:after="0"/>
      <w:outlineLvl w:val="1"/>
    </w:pPr>
    <w:rPr>
      <w:rFonts w:ascii="Cambria" w:eastAsia="SimSun" w:hAnsi="Cambria" w:cs="Times New Roman"/>
      <w:color w:val="365F9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Carpredefinitoparagrafo"/>
  </w:style>
  <w:style w:type="paragraph" w:styleId="Pidipagina">
    <w:name w:val="footer"/>
    <w:basedOn w:val="Normal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Carpredefinitoparagrafo"/>
  </w:style>
  <w:style w:type="paragraph" w:styleId="Corpotesto">
    <w:name w:val="Body Text"/>
    <w:basedOn w:val="Normale"/>
    <w:pPr>
      <w:spacing w:line="240" w:lineRule="exact"/>
    </w:pPr>
    <w:rPr>
      <w:rFonts w:ascii="Tahoma" w:eastAsia="Times New Roman" w:hAnsi="Tahoma" w:cs="Times New Roman"/>
      <w:spacing w:val="10"/>
      <w:sz w:val="17"/>
      <w:szCs w:val="20"/>
      <w:lang w:val="en-US"/>
    </w:rPr>
  </w:style>
  <w:style w:type="character" w:customStyle="1" w:styleId="BodyTextChar">
    <w:name w:val="Body Text Char"/>
    <w:basedOn w:val="Carpredefinitoparagrafo"/>
    <w:rPr>
      <w:rFonts w:ascii="Tahoma" w:eastAsia="Times New Roman" w:hAnsi="Tahoma" w:cs="Times New Roman"/>
      <w:spacing w:val="10"/>
      <w:sz w:val="17"/>
      <w:szCs w:val="20"/>
      <w:lang w:val="en-US"/>
    </w:rPr>
  </w:style>
  <w:style w:type="paragraph" w:styleId="Titolo">
    <w:name w:val="Title"/>
    <w:basedOn w:val="Normale"/>
    <w:next w:val="Normale"/>
    <w:uiPriority w:val="10"/>
    <w:qFormat/>
    <w:pPr>
      <w:spacing w:after="0" w:line="240" w:lineRule="auto"/>
    </w:pPr>
    <w:rPr>
      <w:rFonts w:ascii="Cambria" w:eastAsia="SimSun" w:hAnsi="Cambria" w:cs="Times New Roman"/>
      <w:spacing w:val="-10"/>
      <w:kern w:val="3"/>
      <w:sz w:val="56"/>
      <w:szCs w:val="56"/>
    </w:rPr>
  </w:style>
  <w:style w:type="character" w:customStyle="1" w:styleId="TitleChar">
    <w:name w:val="Title Char"/>
    <w:basedOn w:val="Carpredefinitoparagrafo"/>
    <w:rPr>
      <w:rFonts w:ascii="Cambria" w:eastAsia="SimSun" w:hAnsi="Cambria" w:cs="Times New Roman"/>
      <w:spacing w:val="-10"/>
      <w:kern w:val="3"/>
      <w:sz w:val="56"/>
      <w:szCs w:val="56"/>
    </w:rPr>
  </w:style>
  <w:style w:type="paragraph" w:styleId="Testofumetto">
    <w:name w:val="Balloon Text"/>
    <w:basedOn w:val="Normal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Carpredefinitoparagrafo"/>
    <w:rPr>
      <w:rFonts w:ascii="Times New Roman" w:hAnsi="Times New Roman" w:cs="Times New Roman"/>
      <w:sz w:val="18"/>
      <w:szCs w:val="18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Carpredefinitoparagrafo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UnresolvedMention">
    <w:name w:val="Unresolved Mention"/>
    <w:basedOn w:val="Carpredefinitoparagrafo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Heading2Char">
    <w:name w:val="Heading 2 Char"/>
    <w:basedOn w:val="Carpredefinitoparagrafo"/>
    <w:rPr>
      <w:rFonts w:ascii="Cambria" w:eastAsia="SimSun" w:hAnsi="Cambria" w:cs="Times New Roman"/>
      <w:color w:val="365F9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betterfinance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oudmont@betterfinance.e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08A9776426D41840A8C2CCB15B3F3" ma:contentTypeVersion="12" ma:contentTypeDescription="Create a new document." ma:contentTypeScope="" ma:versionID="fad30e866c7e5bd87e01b4be7e13f445">
  <xsd:schema xmlns:xsd="http://www.w3.org/2001/XMLSchema" xmlns:xs="http://www.w3.org/2001/XMLSchema" xmlns:p="http://schemas.microsoft.com/office/2006/metadata/properties" xmlns:ns2="fd160c09-1844-45b0-b4f1-cf53e6c3c76a" xmlns:ns3="8e72f4a7-cae9-4e97-b541-2580a12d1989" targetNamespace="http://schemas.microsoft.com/office/2006/metadata/properties" ma:root="true" ma:fieldsID="3d251b770648fbf44b28e39a1ec2cbaa" ns2:_="" ns3:_="">
    <xsd:import namespace="fd160c09-1844-45b0-b4f1-cf53e6c3c76a"/>
    <xsd:import namespace="8e72f4a7-cae9-4e97-b541-2580a12d1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60c09-1844-45b0-b4f1-cf53e6c3c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2f4a7-cae9-4e97-b541-2580a12d1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4EE6E3-3C33-477D-808E-F992DAB137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517780-F37D-4CB7-BCE9-2E721B9A5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7E2BB8-A547-44FC-928C-330CA2AC5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60c09-1844-45b0-b4f1-cf53e6c3c76a"/>
    <ds:schemaRef ds:uri="8e72f4a7-cae9-4e97-b541-2580a12d1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Houdmont</dc:creator>
  <dc:description/>
  <cp:lastModifiedBy>Angelo Veglia</cp:lastModifiedBy>
  <cp:revision>8</cp:revision>
  <cp:lastPrinted>2019-03-22T09:41:00Z</cp:lastPrinted>
  <dcterms:created xsi:type="dcterms:W3CDTF">2020-12-26T14:34:00Z</dcterms:created>
  <dcterms:modified xsi:type="dcterms:W3CDTF">2021-01-03T08:15:00Z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0x010100B5308A9776426D41840A8C2CCB15B3F3</vt:lpwstr>
  </property>
</Properties>
</file>