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82248" w14:textId="2BA40DF2" w:rsidR="0065454F" w:rsidRPr="000F3A1F" w:rsidRDefault="0065454F">
      <w:pPr>
        <w:rPr>
          <w:lang w:val="it-IT"/>
        </w:rPr>
      </w:pPr>
    </w:p>
    <w:p w14:paraId="58F82249" w14:textId="77777777" w:rsidR="0065454F" w:rsidRPr="000F3A1F" w:rsidRDefault="00142112">
      <w:pPr>
        <w:pStyle w:val="Corpotesto"/>
        <w:spacing w:after="120" w:line="312" w:lineRule="auto"/>
        <w:jc w:val="both"/>
        <w:rPr>
          <w:lang w:val="it-IT"/>
        </w:rPr>
      </w:pPr>
      <w:bookmarkStart w:id="0" w:name="_Hlk4143464"/>
      <w:r w:rsidRPr="000F3A1F">
        <w:rPr>
          <w:rStyle w:val="Enfasigrassetto"/>
          <w:sz w:val="18"/>
          <w:lang w:val="it-IT"/>
        </w:rPr>
        <w:t xml:space="preserve">COMUNICATO STAMPA </w:t>
      </w:r>
    </w:p>
    <w:p w14:paraId="58F8224A" w14:textId="011D0ACE" w:rsidR="0065454F" w:rsidRPr="000F3A1F" w:rsidRDefault="00142112">
      <w:pPr>
        <w:pStyle w:val="Titolo2"/>
        <w:spacing w:after="80"/>
        <w:jc w:val="both"/>
        <w:rPr>
          <w:lang w:val="it-IT"/>
        </w:rPr>
      </w:pPr>
      <w:r w:rsidRPr="000F3A1F">
        <w:rPr>
          <w:rFonts w:eastAsia="Calibri" w:cs="Arial"/>
          <w:b/>
          <w:spacing w:val="20"/>
          <w:kern w:val="3"/>
          <w:sz w:val="30"/>
          <w:szCs w:val="30"/>
          <w:lang w:val="it-IT"/>
        </w:rPr>
        <w:t xml:space="preserve">BETTER FINANCE accoglie con favore le nuove linee guida europee sulle commissioni </w:t>
      </w:r>
      <w:r w:rsidR="004E2009">
        <w:rPr>
          <w:rFonts w:eastAsia="Calibri" w:cs="Arial"/>
          <w:b/>
          <w:spacing w:val="20"/>
          <w:kern w:val="3"/>
          <w:sz w:val="30"/>
          <w:szCs w:val="30"/>
          <w:lang w:val="it-IT"/>
        </w:rPr>
        <w:t xml:space="preserve">di </w:t>
      </w:r>
      <w:r w:rsidRPr="000F3A1F">
        <w:rPr>
          <w:rFonts w:eastAsia="Calibri" w:cs="Arial"/>
          <w:b/>
          <w:spacing w:val="20"/>
          <w:kern w:val="3"/>
          <w:sz w:val="30"/>
          <w:szCs w:val="30"/>
          <w:lang w:val="it-IT"/>
        </w:rPr>
        <w:t>"</w:t>
      </w:r>
      <w:r w:rsidR="004E2009">
        <w:rPr>
          <w:rFonts w:eastAsia="Calibri" w:cs="Arial"/>
          <w:b/>
          <w:spacing w:val="20"/>
          <w:kern w:val="3"/>
          <w:sz w:val="30"/>
          <w:szCs w:val="30"/>
          <w:lang w:val="it-IT"/>
        </w:rPr>
        <w:t>p</w:t>
      </w:r>
      <w:r w:rsidRPr="000F3A1F">
        <w:rPr>
          <w:rFonts w:eastAsia="Calibri" w:cs="Arial"/>
          <w:b/>
          <w:spacing w:val="20"/>
          <w:kern w:val="3"/>
          <w:sz w:val="30"/>
          <w:szCs w:val="30"/>
          <w:lang w:val="it-IT"/>
        </w:rPr>
        <w:t xml:space="preserve">erformance" dei fondi </w:t>
      </w:r>
    </w:p>
    <w:p w14:paraId="58F8224B" w14:textId="4E717E1C" w:rsidR="0065454F" w:rsidRPr="000F3A1F" w:rsidRDefault="00142112">
      <w:pPr>
        <w:jc w:val="both"/>
        <w:rPr>
          <w:lang w:val="it-IT"/>
        </w:rPr>
      </w:pPr>
      <w:r w:rsidRPr="000F3A1F">
        <w:rPr>
          <w:rFonts w:ascii="Calibri Light" w:hAnsi="Calibri Light" w:cs="Calibri Light"/>
          <w:b/>
          <w:lang w:val="it-IT"/>
        </w:rPr>
        <w:t>Bruxelles, 27 aprile 2020</w:t>
      </w:r>
      <w:bookmarkEnd w:id="0"/>
      <w:r w:rsidRPr="000F3A1F">
        <w:rPr>
          <w:rFonts w:ascii="Calibri Light" w:hAnsi="Calibri Light" w:cs="Calibri Light"/>
          <w:b/>
          <w:lang w:val="it-IT"/>
        </w:rPr>
        <w:t xml:space="preserve"> </w:t>
      </w:r>
      <w:r w:rsidRPr="000F3A1F">
        <w:rPr>
          <w:rFonts w:ascii="Calibri Light" w:hAnsi="Calibri Light" w:cs="Calibri Light"/>
          <w:lang w:val="it-IT"/>
        </w:rPr>
        <w:t xml:space="preserve">- </w:t>
      </w:r>
      <w:r w:rsidRPr="000F3A1F">
        <w:rPr>
          <w:rFonts w:ascii="Cambria" w:hAnsi="Cambria" w:cs="Cambria"/>
          <w:lang w:val="it-IT"/>
        </w:rPr>
        <w:t>Il 3 aprile</w:t>
      </w:r>
      <w:r w:rsidR="004E2009">
        <w:rPr>
          <w:rFonts w:ascii="Cambria" w:hAnsi="Cambria" w:cs="Cambria"/>
          <w:lang w:val="it-IT"/>
        </w:rPr>
        <w:t>,</w:t>
      </w:r>
      <w:r w:rsidRPr="000F3A1F">
        <w:rPr>
          <w:rFonts w:ascii="Cambria" w:hAnsi="Cambria" w:cs="Cambria"/>
          <w:lang w:val="it-IT"/>
        </w:rPr>
        <w:t xml:space="preserve"> l'Autorità europea degli strumenti finanziari e dei mercati (ESMA) ha pubblicato le linee guida definitive sulle commissioni di performance </w:t>
      </w:r>
      <w:r w:rsidR="004E2009">
        <w:rPr>
          <w:rFonts w:ascii="Cambria" w:hAnsi="Cambria" w:cs="Cambria"/>
          <w:lang w:val="it-IT"/>
        </w:rPr>
        <w:t>d</w:t>
      </w:r>
      <w:r w:rsidRPr="000F3A1F">
        <w:rPr>
          <w:rFonts w:ascii="Cambria" w:hAnsi="Cambria" w:cs="Cambria"/>
          <w:lang w:val="it-IT"/>
        </w:rPr>
        <w:t>ei fondi di investimento applicabili agli Organismi di investimento collettivo in valori mobiliari (OICVM) e a</w:t>
      </w:r>
      <w:r w:rsidR="004E2009">
        <w:rPr>
          <w:rFonts w:ascii="Cambria" w:hAnsi="Cambria" w:cs="Cambria"/>
          <w:lang w:val="it-IT"/>
        </w:rPr>
        <w:t xml:space="preserve"> ad alcuni </w:t>
      </w:r>
      <w:r w:rsidRPr="000F3A1F">
        <w:rPr>
          <w:rFonts w:ascii="Cambria" w:hAnsi="Cambria" w:cs="Cambria"/>
          <w:lang w:val="it-IT"/>
        </w:rPr>
        <w:t xml:space="preserve">tipi di fondi di investimento alternativi (FIA). </w:t>
      </w:r>
    </w:p>
    <w:p w14:paraId="58F8224C" w14:textId="261D2E32" w:rsidR="0065454F" w:rsidRPr="000F3A1F" w:rsidRDefault="00142112">
      <w:pPr>
        <w:jc w:val="both"/>
        <w:rPr>
          <w:rFonts w:ascii="Cambria" w:hAnsi="Cambria" w:cs="Cambria"/>
          <w:lang w:val="it-IT"/>
        </w:rPr>
      </w:pPr>
      <w:r w:rsidRPr="000F3A1F">
        <w:rPr>
          <w:rFonts w:ascii="Cambria" w:hAnsi="Cambria" w:cs="Cambria"/>
          <w:lang w:val="it-IT"/>
        </w:rPr>
        <w:t xml:space="preserve">Queste linee guida </w:t>
      </w:r>
      <w:r w:rsidR="004E2009">
        <w:rPr>
          <w:rFonts w:ascii="Cambria" w:hAnsi="Cambria" w:cs="Cambria"/>
          <w:lang w:val="it-IT"/>
        </w:rPr>
        <w:t xml:space="preserve">intendono </w:t>
      </w:r>
      <w:r w:rsidRPr="000F3A1F">
        <w:rPr>
          <w:rFonts w:ascii="Cambria" w:hAnsi="Cambria" w:cs="Cambria"/>
          <w:lang w:val="it-IT"/>
        </w:rPr>
        <w:t xml:space="preserve">fornire regole </w:t>
      </w:r>
      <w:r w:rsidR="004E2009">
        <w:rPr>
          <w:rFonts w:ascii="Cambria" w:hAnsi="Cambria" w:cs="Cambria"/>
          <w:lang w:val="it-IT"/>
        </w:rPr>
        <w:t>destinate a</w:t>
      </w:r>
      <w:r w:rsidRPr="000F3A1F">
        <w:rPr>
          <w:rFonts w:ascii="Cambria" w:hAnsi="Cambria" w:cs="Cambria"/>
          <w:lang w:val="it-IT"/>
        </w:rPr>
        <w:t>i gestori dei fondi quando addebitano commissioni di performance a</w:t>
      </w:r>
      <w:r w:rsidR="00304FA9">
        <w:rPr>
          <w:rFonts w:ascii="Cambria" w:hAnsi="Cambria" w:cs="Cambria"/>
          <w:lang w:val="it-IT"/>
        </w:rPr>
        <w:t xml:space="preserve">gli </w:t>
      </w:r>
      <w:r w:rsidR="004E2009">
        <w:rPr>
          <w:rFonts w:ascii="Cambria" w:hAnsi="Cambria" w:cs="Cambria"/>
          <w:lang w:val="it-IT"/>
        </w:rPr>
        <w:t>investitori</w:t>
      </w:r>
      <w:r w:rsidR="00304FA9">
        <w:rPr>
          <w:rFonts w:ascii="Cambria" w:hAnsi="Cambria" w:cs="Cambria"/>
          <w:lang w:val="it-IT"/>
        </w:rPr>
        <w:t xml:space="preserve"> al dettaglio</w:t>
      </w:r>
      <w:r w:rsidR="004E2009">
        <w:rPr>
          <w:rFonts w:ascii="Cambria" w:hAnsi="Cambria" w:cs="Cambria"/>
          <w:lang w:val="it-IT"/>
        </w:rPr>
        <w:t>,</w:t>
      </w:r>
      <w:r w:rsidRPr="000F3A1F">
        <w:rPr>
          <w:rFonts w:ascii="Cambria" w:hAnsi="Cambria" w:cs="Cambria"/>
          <w:lang w:val="it-IT"/>
        </w:rPr>
        <w:t xml:space="preserve"> e </w:t>
      </w:r>
      <w:r w:rsidR="004E2009">
        <w:rPr>
          <w:rFonts w:ascii="Cambria" w:hAnsi="Cambria" w:cs="Cambria"/>
          <w:lang w:val="it-IT"/>
        </w:rPr>
        <w:t>al</w:t>
      </w:r>
      <w:r w:rsidRPr="000F3A1F">
        <w:rPr>
          <w:rFonts w:ascii="Cambria" w:hAnsi="Cambria" w:cs="Cambria"/>
          <w:lang w:val="it-IT"/>
        </w:rPr>
        <w:t>le autorità nazionali competenti (</w:t>
      </w:r>
      <w:r w:rsidR="004E2009">
        <w:rPr>
          <w:rFonts w:ascii="Cambria" w:hAnsi="Cambria" w:cs="Cambria"/>
          <w:lang w:val="it-IT"/>
        </w:rPr>
        <w:t>A</w:t>
      </w:r>
      <w:r w:rsidRPr="000F3A1F">
        <w:rPr>
          <w:rFonts w:ascii="Cambria" w:hAnsi="Cambria" w:cs="Cambria"/>
          <w:lang w:val="it-IT"/>
        </w:rPr>
        <w:t xml:space="preserve">NC) quando supervisionano i modelli di commissioni di performance e l'informativa </w:t>
      </w:r>
      <w:r w:rsidR="004E2009">
        <w:rPr>
          <w:rFonts w:ascii="Cambria" w:hAnsi="Cambria" w:cs="Cambria"/>
          <w:lang w:val="it-IT"/>
        </w:rPr>
        <w:t>nell</w:t>
      </w:r>
      <w:r w:rsidRPr="000F3A1F">
        <w:rPr>
          <w:rFonts w:ascii="Cambria" w:hAnsi="Cambria" w:cs="Cambria"/>
          <w:lang w:val="it-IT"/>
        </w:rPr>
        <w:t xml:space="preserve">'Unione </w:t>
      </w:r>
      <w:r w:rsidR="004E2009">
        <w:rPr>
          <w:rFonts w:ascii="Cambria" w:hAnsi="Cambria" w:cs="Cambria"/>
          <w:lang w:val="it-IT"/>
        </w:rPr>
        <w:t>e</w:t>
      </w:r>
      <w:r w:rsidRPr="000F3A1F">
        <w:rPr>
          <w:rFonts w:ascii="Cambria" w:hAnsi="Cambria" w:cs="Cambria"/>
          <w:lang w:val="it-IT"/>
        </w:rPr>
        <w:t xml:space="preserve">uropea (UE). </w:t>
      </w:r>
    </w:p>
    <w:p w14:paraId="58F8224D" w14:textId="11786B76" w:rsidR="0065454F" w:rsidRPr="000F3A1F" w:rsidRDefault="00142112">
      <w:pPr>
        <w:jc w:val="both"/>
        <w:rPr>
          <w:rFonts w:ascii="Cambria" w:hAnsi="Cambria" w:cs="Cambria"/>
          <w:lang w:val="it-IT"/>
        </w:rPr>
      </w:pPr>
      <w:r w:rsidRPr="000F3A1F">
        <w:rPr>
          <w:rFonts w:ascii="Cambria" w:hAnsi="Cambria" w:cs="Cambria"/>
          <w:lang w:val="it-IT"/>
        </w:rPr>
        <w:t xml:space="preserve">BETTER FINANCE, in qualità di rappresentante </w:t>
      </w:r>
      <w:r w:rsidR="004E2009">
        <w:rPr>
          <w:rFonts w:ascii="Cambria" w:hAnsi="Cambria" w:cs="Cambria"/>
          <w:lang w:val="it-IT"/>
        </w:rPr>
        <w:t xml:space="preserve">incaricato </w:t>
      </w:r>
      <w:r w:rsidRPr="000F3A1F">
        <w:rPr>
          <w:rFonts w:ascii="Cambria" w:hAnsi="Cambria" w:cs="Cambria"/>
          <w:lang w:val="it-IT"/>
        </w:rPr>
        <w:t xml:space="preserve">dei singoli investitori europei, è stata l'unica organizzazione </w:t>
      </w:r>
      <w:r w:rsidR="00304FA9">
        <w:rPr>
          <w:rFonts w:ascii="Cambria" w:hAnsi="Cambria" w:cs="Cambria"/>
          <w:lang w:val="it-IT"/>
        </w:rPr>
        <w:t>“</w:t>
      </w:r>
      <w:r w:rsidRPr="000F3A1F">
        <w:rPr>
          <w:rFonts w:ascii="Cambria" w:hAnsi="Cambria" w:cs="Cambria"/>
          <w:lang w:val="it-IT"/>
        </w:rPr>
        <w:t>lato utente</w:t>
      </w:r>
      <w:r w:rsidR="00304FA9">
        <w:rPr>
          <w:rFonts w:ascii="Cambria" w:hAnsi="Cambria" w:cs="Cambria"/>
          <w:lang w:val="it-IT"/>
        </w:rPr>
        <w:t>”</w:t>
      </w:r>
      <w:r w:rsidRPr="000F3A1F">
        <w:rPr>
          <w:rFonts w:ascii="Cambria" w:hAnsi="Cambria" w:cs="Cambria"/>
          <w:lang w:val="it-IT"/>
        </w:rPr>
        <w:t xml:space="preserve"> a fornire un ampio feedback all'E</w:t>
      </w:r>
      <w:r w:rsidR="00304FA9">
        <w:rPr>
          <w:rFonts w:ascii="Cambria" w:hAnsi="Cambria" w:cs="Cambria"/>
          <w:lang w:val="it-IT"/>
        </w:rPr>
        <w:t>SMA</w:t>
      </w:r>
      <w:r w:rsidRPr="000F3A1F">
        <w:rPr>
          <w:rFonts w:ascii="Cambria" w:hAnsi="Cambria" w:cs="Cambria"/>
          <w:lang w:val="it-IT"/>
        </w:rPr>
        <w:t xml:space="preserve"> in materia ed è lieta di constatare che molte delle sue proposte sono state accolte nell'ambito delle </w:t>
      </w:r>
      <w:r w:rsidR="00304FA9">
        <w:rPr>
          <w:rFonts w:ascii="Cambria" w:hAnsi="Cambria" w:cs="Cambria"/>
          <w:lang w:val="it-IT"/>
        </w:rPr>
        <w:t>l</w:t>
      </w:r>
      <w:r w:rsidRPr="000F3A1F">
        <w:rPr>
          <w:rFonts w:ascii="Cambria" w:hAnsi="Cambria" w:cs="Cambria"/>
          <w:lang w:val="it-IT"/>
        </w:rPr>
        <w:t xml:space="preserve">inee guida: </w:t>
      </w:r>
    </w:p>
    <w:p w14:paraId="58F8224E" w14:textId="7D7202F1" w:rsidR="0065454F" w:rsidRPr="000F3A1F" w:rsidRDefault="00304FA9">
      <w:pPr>
        <w:pStyle w:val="Paragrafoelenco"/>
        <w:numPr>
          <w:ilvl w:val="0"/>
          <w:numId w:val="1"/>
        </w:numPr>
        <w:spacing w:after="160" w:line="256" w:lineRule="auto"/>
        <w:jc w:val="both"/>
        <w:rPr>
          <w:rFonts w:ascii="Cambria" w:hAnsi="Cambria" w:cs="Cambria"/>
          <w:lang w:val="it-IT"/>
        </w:rPr>
      </w:pPr>
      <w:proofErr w:type="gramStart"/>
      <w:r>
        <w:rPr>
          <w:rFonts w:ascii="Cambria" w:hAnsi="Cambria" w:cs="Cambria"/>
          <w:lang w:val="it-IT"/>
        </w:rPr>
        <w:t>i</w:t>
      </w:r>
      <w:proofErr w:type="gramEnd"/>
      <w:r w:rsidR="00142112" w:rsidRPr="000F3A1F">
        <w:rPr>
          <w:rFonts w:ascii="Cambria" w:hAnsi="Cambria" w:cs="Cambria"/>
          <w:lang w:val="it-IT"/>
        </w:rPr>
        <w:t xml:space="preserve"> gestori di OICVM/FI</w:t>
      </w:r>
      <w:r>
        <w:rPr>
          <w:rFonts w:ascii="Cambria" w:hAnsi="Cambria" w:cs="Cambria"/>
          <w:lang w:val="it-IT"/>
        </w:rPr>
        <w:t>A</w:t>
      </w:r>
      <w:r w:rsidR="00142112" w:rsidRPr="000F3A1F">
        <w:rPr>
          <w:rFonts w:ascii="Cambria" w:hAnsi="Cambria" w:cs="Cambria"/>
          <w:lang w:val="it-IT"/>
        </w:rPr>
        <w:t xml:space="preserve"> possono addebitare una commissione di performance solo in caso di </w:t>
      </w:r>
      <w:proofErr w:type="spellStart"/>
      <w:r w:rsidR="00142112" w:rsidRPr="000F3A1F">
        <w:rPr>
          <w:rFonts w:ascii="Cambria" w:hAnsi="Cambria" w:cs="Cambria"/>
          <w:lang w:val="it-IT"/>
        </w:rPr>
        <w:t>sovraperformance</w:t>
      </w:r>
      <w:proofErr w:type="spellEnd"/>
      <w:r w:rsidR="00142112" w:rsidRPr="000F3A1F">
        <w:rPr>
          <w:rFonts w:ascii="Cambria" w:hAnsi="Cambria" w:cs="Cambria"/>
          <w:lang w:val="it-IT"/>
        </w:rPr>
        <w:t xml:space="preserve"> rispetto al proprio benchmark dichiarato</w:t>
      </w:r>
      <w:r>
        <w:rPr>
          <w:rFonts w:ascii="Cambria" w:hAnsi="Cambria" w:cs="Cambria"/>
          <w:lang w:val="it-IT"/>
        </w:rPr>
        <w:t>;</w:t>
      </w:r>
      <w:r w:rsidR="00142112" w:rsidRPr="000F3A1F">
        <w:rPr>
          <w:rFonts w:ascii="Cambria" w:hAnsi="Cambria" w:cs="Cambria"/>
          <w:lang w:val="it-IT"/>
        </w:rPr>
        <w:t xml:space="preserve"> </w:t>
      </w:r>
    </w:p>
    <w:p w14:paraId="58F8224F" w14:textId="20701FBD" w:rsidR="0065454F" w:rsidRPr="000F3A1F" w:rsidRDefault="00304FA9">
      <w:pPr>
        <w:pStyle w:val="Paragrafoelenco"/>
        <w:numPr>
          <w:ilvl w:val="0"/>
          <w:numId w:val="1"/>
        </w:numPr>
        <w:spacing w:after="160" w:line="256" w:lineRule="auto"/>
        <w:jc w:val="both"/>
        <w:rPr>
          <w:rFonts w:ascii="Cambria" w:hAnsi="Cambria" w:cs="Cambria"/>
          <w:lang w:val="it-IT"/>
        </w:rPr>
      </w:pPr>
      <w:proofErr w:type="gramStart"/>
      <w:r>
        <w:rPr>
          <w:rFonts w:ascii="Cambria" w:hAnsi="Cambria" w:cs="Cambria"/>
          <w:lang w:val="it-IT"/>
        </w:rPr>
        <w:t>l</w:t>
      </w:r>
      <w:r w:rsidR="00142112" w:rsidRPr="000F3A1F">
        <w:rPr>
          <w:rFonts w:ascii="Cambria" w:hAnsi="Cambria" w:cs="Cambria"/>
          <w:lang w:val="it-IT"/>
        </w:rPr>
        <w:t>e</w:t>
      </w:r>
      <w:proofErr w:type="gramEnd"/>
      <w:r w:rsidR="00142112" w:rsidRPr="000F3A1F">
        <w:rPr>
          <w:rFonts w:ascii="Cambria" w:hAnsi="Cambria" w:cs="Cambria"/>
          <w:lang w:val="it-IT"/>
        </w:rPr>
        <w:t xml:space="preserve"> commissioni di performance devono essere calcolate sulla base del rendimento in eccesso, al netto di tutti i costi, inclusa la commissione di performance</w:t>
      </w:r>
      <w:r>
        <w:rPr>
          <w:rFonts w:ascii="Cambria" w:hAnsi="Cambria" w:cs="Cambria"/>
          <w:lang w:val="it-IT"/>
        </w:rPr>
        <w:t>;</w:t>
      </w:r>
      <w:r w:rsidR="00142112" w:rsidRPr="000F3A1F">
        <w:rPr>
          <w:rFonts w:ascii="Cambria" w:hAnsi="Cambria" w:cs="Cambria"/>
          <w:lang w:val="it-IT"/>
        </w:rPr>
        <w:t xml:space="preserve"> </w:t>
      </w:r>
    </w:p>
    <w:p w14:paraId="58F82250" w14:textId="6441AEF7" w:rsidR="0065454F" w:rsidRPr="000F3A1F" w:rsidRDefault="00304FA9">
      <w:pPr>
        <w:pStyle w:val="Paragrafoelenco"/>
        <w:numPr>
          <w:ilvl w:val="0"/>
          <w:numId w:val="1"/>
        </w:numPr>
        <w:spacing w:after="160" w:line="256" w:lineRule="auto"/>
        <w:jc w:val="both"/>
        <w:rPr>
          <w:rFonts w:ascii="Cambria" w:hAnsi="Cambria" w:cs="Cambria"/>
          <w:lang w:val="it-IT"/>
        </w:rPr>
      </w:pPr>
      <w:proofErr w:type="gramStart"/>
      <w:r>
        <w:rPr>
          <w:rFonts w:ascii="Cambria" w:hAnsi="Cambria" w:cs="Cambria"/>
          <w:lang w:val="it-IT"/>
        </w:rPr>
        <w:t>s</w:t>
      </w:r>
      <w:r w:rsidR="00142112" w:rsidRPr="000F3A1F">
        <w:rPr>
          <w:rFonts w:ascii="Cambria" w:hAnsi="Cambria" w:cs="Cambria"/>
          <w:lang w:val="it-IT"/>
        </w:rPr>
        <w:t>e</w:t>
      </w:r>
      <w:proofErr w:type="gramEnd"/>
      <w:r w:rsidR="00142112" w:rsidRPr="000F3A1F">
        <w:rPr>
          <w:rFonts w:ascii="Cambria" w:hAnsi="Cambria" w:cs="Cambria"/>
          <w:lang w:val="it-IT"/>
        </w:rPr>
        <w:t xml:space="preserve"> viene applicata una commissione di performance anche in caso di rendimenti negativi </w:t>
      </w:r>
      <w:r>
        <w:rPr>
          <w:rFonts w:ascii="Cambria" w:hAnsi="Cambria" w:cs="Cambria"/>
          <w:lang w:val="it-IT"/>
        </w:rPr>
        <w:t xml:space="preserve">– </w:t>
      </w:r>
      <w:r w:rsidR="00142112" w:rsidRPr="000F3A1F">
        <w:rPr>
          <w:rFonts w:ascii="Cambria" w:hAnsi="Cambria" w:cs="Cambria"/>
          <w:lang w:val="it-IT"/>
        </w:rPr>
        <w:t xml:space="preserve">ad esempio quando il benchmark del fondo è a -7% e il fondo stesso </w:t>
      </w:r>
      <w:r>
        <w:rPr>
          <w:rFonts w:ascii="Cambria" w:hAnsi="Cambria" w:cs="Cambria"/>
          <w:lang w:val="it-IT"/>
        </w:rPr>
        <w:t xml:space="preserve">ottiene risultati </w:t>
      </w:r>
      <w:r w:rsidR="00142112" w:rsidRPr="000F3A1F">
        <w:rPr>
          <w:rFonts w:ascii="Cambria" w:hAnsi="Cambria" w:cs="Cambria"/>
          <w:lang w:val="it-IT"/>
        </w:rPr>
        <w:t>leggermente m</w:t>
      </w:r>
      <w:r>
        <w:rPr>
          <w:rFonts w:ascii="Cambria" w:hAnsi="Cambria" w:cs="Cambria"/>
          <w:lang w:val="it-IT"/>
        </w:rPr>
        <w:t>igliori a -5% –</w:t>
      </w:r>
      <w:r w:rsidR="00142112" w:rsidRPr="000F3A1F">
        <w:rPr>
          <w:rFonts w:ascii="Cambria" w:hAnsi="Cambria" w:cs="Cambria"/>
          <w:lang w:val="it-IT"/>
        </w:rPr>
        <w:t xml:space="preserve"> allora il</w:t>
      </w:r>
      <w:r>
        <w:rPr>
          <w:rFonts w:ascii="Cambria" w:hAnsi="Cambria" w:cs="Cambria"/>
          <w:lang w:val="it-IT"/>
        </w:rPr>
        <w:t xml:space="preserve"> regime</w:t>
      </w:r>
      <w:r w:rsidR="00142112" w:rsidRPr="000F3A1F">
        <w:rPr>
          <w:rFonts w:ascii="Cambria" w:hAnsi="Cambria" w:cs="Cambria"/>
          <w:lang w:val="it-IT"/>
        </w:rPr>
        <w:t xml:space="preserve"> KIID del fondo deve includere un'avvertenza ben visibile </w:t>
      </w:r>
      <w:r>
        <w:rPr>
          <w:rFonts w:ascii="Cambria" w:hAnsi="Cambria" w:cs="Cambria"/>
          <w:lang w:val="it-IT"/>
        </w:rPr>
        <w:t xml:space="preserve">per segnalare </w:t>
      </w:r>
      <w:r w:rsidR="00142112" w:rsidRPr="000F3A1F">
        <w:rPr>
          <w:rFonts w:ascii="Cambria" w:hAnsi="Cambria" w:cs="Cambria"/>
          <w:lang w:val="it-IT"/>
        </w:rPr>
        <w:t xml:space="preserve">che la commissione di performance </w:t>
      </w:r>
      <w:r>
        <w:rPr>
          <w:rFonts w:ascii="Cambria" w:hAnsi="Cambria" w:cs="Cambria"/>
          <w:lang w:val="it-IT"/>
        </w:rPr>
        <w:t>non implica rendimenti positivi;</w:t>
      </w:r>
    </w:p>
    <w:p w14:paraId="58F82251" w14:textId="0451C464" w:rsidR="0065454F" w:rsidRPr="000F3A1F" w:rsidRDefault="00304FA9">
      <w:pPr>
        <w:pStyle w:val="Paragrafoelenco"/>
        <w:numPr>
          <w:ilvl w:val="0"/>
          <w:numId w:val="1"/>
        </w:numPr>
        <w:spacing w:after="160" w:line="256" w:lineRule="auto"/>
        <w:jc w:val="both"/>
        <w:rPr>
          <w:rFonts w:ascii="Cambria" w:hAnsi="Cambria" w:cs="Cambria"/>
          <w:lang w:val="it-IT"/>
        </w:rPr>
      </w:pPr>
      <w:proofErr w:type="gramStart"/>
      <w:r>
        <w:rPr>
          <w:rFonts w:ascii="Cambria" w:hAnsi="Cambria" w:cs="Cambria"/>
          <w:lang w:val="it-IT"/>
        </w:rPr>
        <w:t>u</w:t>
      </w:r>
      <w:r w:rsidR="00142112" w:rsidRPr="000F3A1F">
        <w:rPr>
          <w:rFonts w:ascii="Cambria" w:hAnsi="Cambria" w:cs="Cambria"/>
          <w:lang w:val="it-IT"/>
        </w:rPr>
        <w:t>n</w:t>
      </w:r>
      <w:proofErr w:type="gramEnd"/>
      <w:r w:rsidR="00142112" w:rsidRPr="000F3A1F">
        <w:rPr>
          <w:rFonts w:ascii="Cambria" w:hAnsi="Cambria" w:cs="Cambria"/>
          <w:lang w:val="it-IT"/>
        </w:rPr>
        <w:t xml:space="preserve"> fondo la cui classe di attività non corrisponde a quella del benchmark dichiarato (ad es. un fondo </w:t>
      </w:r>
      <w:r w:rsidR="004F0093">
        <w:rPr>
          <w:rFonts w:ascii="Cambria" w:hAnsi="Cambria" w:cs="Cambria"/>
          <w:lang w:val="it-IT"/>
        </w:rPr>
        <w:t xml:space="preserve">di </w:t>
      </w:r>
      <w:proofErr w:type="spellStart"/>
      <w:r w:rsidR="004F0093">
        <w:rPr>
          <w:rFonts w:ascii="Cambria" w:hAnsi="Cambria" w:cs="Cambria"/>
          <w:lang w:val="it-IT"/>
        </w:rPr>
        <w:t>equity</w:t>
      </w:r>
      <w:proofErr w:type="spellEnd"/>
      <w:r w:rsidR="004F0093">
        <w:rPr>
          <w:rFonts w:ascii="Cambria" w:hAnsi="Cambria" w:cs="Cambria"/>
          <w:lang w:val="it-IT"/>
        </w:rPr>
        <w:t xml:space="preserve"> </w:t>
      </w:r>
      <w:r w:rsidR="00142112" w:rsidRPr="000F3A1F">
        <w:rPr>
          <w:rFonts w:ascii="Cambria" w:hAnsi="Cambria" w:cs="Cambria"/>
          <w:lang w:val="it-IT"/>
        </w:rPr>
        <w:t>confrontato con un indice del mercato monetario) non è autorizzato ad applicare una commissione di performance</w:t>
      </w:r>
      <w:r w:rsidR="004F0093">
        <w:rPr>
          <w:rFonts w:ascii="Cambria" w:hAnsi="Cambria" w:cs="Cambria"/>
          <w:lang w:val="it-IT"/>
        </w:rPr>
        <w:t>;</w:t>
      </w:r>
      <w:r w:rsidR="00142112" w:rsidRPr="000F3A1F">
        <w:rPr>
          <w:rFonts w:ascii="Cambria" w:hAnsi="Cambria" w:cs="Cambria"/>
          <w:lang w:val="it-IT"/>
        </w:rPr>
        <w:t xml:space="preserve"> </w:t>
      </w:r>
    </w:p>
    <w:p w14:paraId="58F82252" w14:textId="105A0DA5" w:rsidR="0065454F" w:rsidRPr="000F3A1F" w:rsidRDefault="004F0093">
      <w:pPr>
        <w:pStyle w:val="Paragrafoelenco"/>
        <w:numPr>
          <w:ilvl w:val="0"/>
          <w:numId w:val="1"/>
        </w:numPr>
        <w:spacing w:after="160" w:line="256" w:lineRule="auto"/>
        <w:jc w:val="both"/>
        <w:rPr>
          <w:rFonts w:ascii="Cambria" w:hAnsi="Cambria" w:cs="Cambria"/>
          <w:lang w:val="it-IT"/>
        </w:rPr>
      </w:pPr>
      <w:proofErr w:type="gramStart"/>
      <w:r>
        <w:rPr>
          <w:rFonts w:ascii="Cambria" w:hAnsi="Cambria" w:cs="Cambria"/>
          <w:lang w:val="it-IT"/>
        </w:rPr>
        <w:t>q</w:t>
      </w:r>
      <w:r w:rsidR="00142112" w:rsidRPr="000F3A1F">
        <w:rPr>
          <w:rFonts w:ascii="Cambria" w:hAnsi="Cambria" w:cs="Cambria"/>
          <w:lang w:val="it-IT"/>
        </w:rPr>
        <w:t>ueste</w:t>
      </w:r>
      <w:proofErr w:type="gramEnd"/>
      <w:r w:rsidR="00142112" w:rsidRPr="000F3A1F">
        <w:rPr>
          <w:rFonts w:ascii="Cambria" w:hAnsi="Cambria" w:cs="Cambria"/>
          <w:lang w:val="it-IT"/>
        </w:rPr>
        <w:t xml:space="preserve"> linee guida saranno estese ai fondi di investimento alternativi commercializzati presso i singoli investitori. </w:t>
      </w:r>
    </w:p>
    <w:p w14:paraId="58F82253" w14:textId="63B00DEE" w:rsidR="0065454F" w:rsidRPr="000F3A1F" w:rsidRDefault="004366C9">
      <w:pPr>
        <w:jc w:val="both"/>
        <w:rPr>
          <w:rFonts w:ascii="Cambria" w:hAnsi="Cambria" w:cs="Cambria"/>
          <w:lang w:val="it-IT"/>
        </w:rPr>
      </w:pPr>
      <w:r>
        <w:rPr>
          <w:rFonts w:ascii="Cambria" w:hAnsi="Cambria" w:cs="Cambria"/>
          <w:lang w:val="it-IT"/>
        </w:rPr>
        <w:t>Tra gli aspetti chiave presi</w:t>
      </w:r>
      <w:r w:rsidR="00142112" w:rsidRPr="000F3A1F">
        <w:rPr>
          <w:rFonts w:ascii="Cambria" w:hAnsi="Cambria" w:cs="Cambria"/>
          <w:lang w:val="it-IT"/>
        </w:rPr>
        <w:t xml:space="preserve"> in considerazione dalle linee guida </w:t>
      </w:r>
      <w:r>
        <w:rPr>
          <w:rFonts w:ascii="Cambria" w:hAnsi="Cambria" w:cs="Cambria"/>
          <w:lang w:val="it-IT"/>
        </w:rPr>
        <w:t>c’</w:t>
      </w:r>
      <w:r w:rsidR="00142112" w:rsidRPr="000F3A1F">
        <w:rPr>
          <w:rFonts w:ascii="Cambria" w:hAnsi="Cambria" w:cs="Cambria"/>
          <w:lang w:val="it-IT"/>
        </w:rPr>
        <w:t xml:space="preserve">è </w:t>
      </w:r>
      <w:r>
        <w:rPr>
          <w:rFonts w:ascii="Cambria" w:hAnsi="Cambria" w:cs="Cambria"/>
          <w:lang w:val="it-IT"/>
        </w:rPr>
        <w:t>i</w:t>
      </w:r>
      <w:r w:rsidR="00142112" w:rsidRPr="000F3A1F">
        <w:rPr>
          <w:rFonts w:ascii="Cambria" w:hAnsi="Cambria" w:cs="Cambria"/>
          <w:lang w:val="it-IT"/>
        </w:rPr>
        <w:t>l modello</w:t>
      </w:r>
      <w:r>
        <w:rPr>
          <w:rFonts w:ascii="Cambria" w:hAnsi="Cambria" w:cs="Cambria"/>
          <w:lang w:val="it-IT"/>
        </w:rPr>
        <w:t xml:space="preserve"> di riferimento</w:t>
      </w:r>
      <w:r w:rsidR="00142112" w:rsidRPr="000F3A1F">
        <w:rPr>
          <w:rFonts w:ascii="Cambria" w:hAnsi="Cambria" w:cs="Cambria"/>
          <w:lang w:val="it-IT"/>
        </w:rPr>
        <w:t xml:space="preserve"> "High-Water Mark" (HWM) utilizzato per garantire che non venga pagata alcuna commissione di performance in caso di diminuzione del valore patrimoniale netto di un fondo e che una commissione di performance non venga pagata due volte per lo stesso </w:t>
      </w:r>
      <w:r>
        <w:rPr>
          <w:rFonts w:ascii="Cambria" w:hAnsi="Cambria" w:cs="Cambria"/>
          <w:lang w:val="it-IT"/>
        </w:rPr>
        <w:t>livello di prestazioni</w:t>
      </w:r>
      <w:r w:rsidR="00142112" w:rsidRPr="000F3A1F">
        <w:rPr>
          <w:rFonts w:ascii="Cambria" w:hAnsi="Cambria" w:cs="Cambria"/>
          <w:lang w:val="it-IT"/>
        </w:rPr>
        <w:t>. In sostanza, se il valore</w:t>
      </w:r>
      <w:r>
        <w:rPr>
          <w:rFonts w:ascii="Cambria" w:hAnsi="Cambria" w:cs="Cambria"/>
          <w:lang w:val="it-IT"/>
        </w:rPr>
        <w:t xml:space="preserve"> </w:t>
      </w:r>
      <w:r w:rsidR="00142112" w:rsidRPr="000F3A1F">
        <w:rPr>
          <w:rFonts w:ascii="Cambria" w:hAnsi="Cambria" w:cs="Cambria"/>
          <w:lang w:val="it-IT"/>
        </w:rPr>
        <w:t>patrimoniale netto di un fondo diminuisce nel corso di un anno, non deve essere pagata alcuna commissione di performance al gestore dell'investimento, né deve essere addebitata alcuna commissione di performance per il successivo aumento fino al</w:t>
      </w:r>
      <w:r>
        <w:rPr>
          <w:rFonts w:ascii="Cambria" w:hAnsi="Cambria" w:cs="Cambria"/>
          <w:lang w:val="it-IT"/>
        </w:rPr>
        <w:t xml:space="preserve"> riferimento </w:t>
      </w:r>
      <w:r w:rsidR="00142112" w:rsidRPr="000F3A1F">
        <w:rPr>
          <w:rFonts w:ascii="Cambria" w:hAnsi="Cambria" w:cs="Cambria"/>
          <w:lang w:val="it-IT"/>
        </w:rPr>
        <w:t xml:space="preserve">HWM (ma non superiore), poiché l'investitore non avrebbe ancora </w:t>
      </w:r>
      <w:r>
        <w:rPr>
          <w:rFonts w:ascii="Cambria" w:hAnsi="Cambria" w:cs="Cambria"/>
          <w:lang w:val="it-IT"/>
        </w:rPr>
        <w:t xml:space="preserve">ottenuto </w:t>
      </w:r>
      <w:r w:rsidR="00142112" w:rsidRPr="000F3A1F">
        <w:rPr>
          <w:rFonts w:ascii="Cambria" w:hAnsi="Cambria" w:cs="Cambria"/>
          <w:lang w:val="it-IT"/>
        </w:rPr>
        <w:t>alcun rendimento sul</w:t>
      </w:r>
      <w:r>
        <w:rPr>
          <w:rFonts w:ascii="Cambria" w:hAnsi="Cambria" w:cs="Cambria"/>
          <w:lang w:val="it-IT"/>
        </w:rPr>
        <w:t>l’</w:t>
      </w:r>
      <w:r w:rsidR="00142112" w:rsidRPr="000F3A1F">
        <w:rPr>
          <w:rFonts w:ascii="Cambria" w:hAnsi="Cambria" w:cs="Cambria"/>
          <w:lang w:val="it-IT"/>
        </w:rPr>
        <w:t>investimento. Per questo motivo, un fondo dovrebbe addebitare una commissione di performance solo per un aumento del valore patrimoniale netto rispetto al</w:t>
      </w:r>
      <w:r>
        <w:rPr>
          <w:rFonts w:ascii="Cambria" w:hAnsi="Cambria" w:cs="Cambria"/>
          <w:lang w:val="it-IT"/>
        </w:rPr>
        <w:t xml:space="preserve"> riferimento </w:t>
      </w:r>
      <w:r w:rsidR="00142112" w:rsidRPr="000F3A1F">
        <w:rPr>
          <w:rFonts w:ascii="Cambria" w:hAnsi="Cambria" w:cs="Cambria"/>
          <w:lang w:val="it-IT"/>
        </w:rPr>
        <w:t xml:space="preserve">HWM. </w:t>
      </w:r>
    </w:p>
    <w:p w14:paraId="58F82254" w14:textId="76E8181F" w:rsidR="0065454F" w:rsidRPr="000F3A1F" w:rsidRDefault="00142112">
      <w:pPr>
        <w:jc w:val="both"/>
        <w:rPr>
          <w:lang w:val="it-IT"/>
        </w:rPr>
      </w:pPr>
      <w:r w:rsidRPr="000F3A1F">
        <w:rPr>
          <w:rFonts w:ascii="Cambria" w:hAnsi="Cambria" w:cs="Cambria"/>
          <w:lang w:val="it-IT"/>
        </w:rPr>
        <w:lastRenderedPageBreak/>
        <w:t>A questo proposito, BETTER FINANCE si compiace della decisione dell'ESMA di "</w:t>
      </w:r>
      <w:r w:rsidRPr="000F3A1F">
        <w:rPr>
          <w:rFonts w:ascii="Cambria" w:hAnsi="Cambria" w:cs="Cambria"/>
          <w:i/>
          <w:iCs/>
          <w:lang w:val="it-IT"/>
        </w:rPr>
        <w:t>raccomandare che il periodo di riferimento della performance per il modello HWM, qualora sia più breve dell'intera vita del fondo, sia fissato ad almeno 5 anni</w:t>
      </w:r>
      <w:r w:rsidRPr="000F3A1F">
        <w:rPr>
          <w:rFonts w:ascii="Cambria" w:hAnsi="Cambria" w:cs="Cambria"/>
          <w:lang w:val="it-IT"/>
        </w:rPr>
        <w:t>". L'ESMA ha aggiunto che "</w:t>
      </w:r>
      <w:r w:rsidRPr="000F3A1F">
        <w:rPr>
          <w:rFonts w:ascii="Cambria" w:hAnsi="Cambria" w:cs="Cambria"/>
          <w:i/>
          <w:iCs/>
          <w:lang w:val="it-IT"/>
        </w:rPr>
        <w:t xml:space="preserve">il modello HWM dovrebbe essere </w:t>
      </w:r>
      <w:r w:rsidR="00250F99">
        <w:rPr>
          <w:rFonts w:ascii="Cambria" w:hAnsi="Cambria" w:cs="Cambria"/>
          <w:i/>
          <w:iCs/>
          <w:lang w:val="it-IT"/>
        </w:rPr>
        <w:t xml:space="preserve">definito per un periodo </w:t>
      </w:r>
      <w:r w:rsidRPr="000F3A1F">
        <w:rPr>
          <w:rFonts w:ascii="Cambria" w:hAnsi="Cambria" w:cs="Cambria"/>
          <w:i/>
          <w:iCs/>
          <w:lang w:val="it-IT"/>
        </w:rPr>
        <w:t xml:space="preserve">pari all'intera vita del fondo o ad un minimo di 5 anni, al fine di garantire un'adeguata protezione degli investitori al dettaglio. Ciò </w:t>
      </w:r>
      <w:r w:rsidR="00250F99">
        <w:rPr>
          <w:rFonts w:ascii="Cambria" w:hAnsi="Cambria" w:cs="Cambria"/>
          <w:i/>
          <w:iCs/>
          <w:lang w:val="it-IT"/>
        </w:rPr>
        <w:t xml:space="preserve">dovrebbe evitare </w:t>
      </w:r>
      <w:r w:rsidRPr="000F3A1F">
        <w:rPr>
          <w:rFonts w:ascii="Cambria" w:hAnsi="Cambria" w:cs="Cambria"/>
          <w:i/>
          <w:iCs/>
          <w:lang w:val="it-IT"/>
        </w:rPr>
        <w:t xml:space="preserve">la possibilità di pagare </w:t>
      </w:r>
      <w:r w:rsidR="00250F99">
        <w:rPr>
          <w:rFonts w:ascii="Cambria" w:hAnsi="Cambria" w:cs="Cambria"/>
          <w:i/>
          <w:iCs/>
          <w:lang w:val="it-IT"/>
        </w:rPr>
        <w:t xml:space="preserve">due o più volte le </w:t>
      </w:r>
      <w:r w:rsidRPr="000F3A1F">
        <w:rPr>
          <w:rFonts w:ascii="Cambria" w:hAnsi="Cambria" w:cs="Cambria"/>
          <w:i/>
          <w:iCs/>
          <w:lang w:val="it-IT"/>
        </w:rPr>
        <w:t xml:space="preserve">commissioni di performance per lo stesso livello di </w:t>
      </w:r>
      <w:r w:rsidR="00250F99">
        <w:rPr>
          <w:rFonts w:ascii="Cambria" w:hAnsi="Cambria" w:cs="Cambria"/>
          <w:i/>
          <w:iCs/>
          <w:lang w:val="it-IT"/>
        </w:rPr>
        <w:t>rendimento</w:t>
      </w:r>
      <w:r w:rsidRPr="000F3A1F">
        <w:rPr>
          <w:rFonts w:ascii="Cambria" w:hAnsi="Cambria" w:cs="Cambria"/>
          <w:i/>
          <w:iCs/>
          <w:lang w:val="it-IT"/>
        </w:rPr>
        <w:t>, in linea con il feedback ricevuto dai rappresentanti dei consumatori</w:t>
      </w:r>
      <w:r w:rsidRPr="000F3A1F">
        <w:rPr>
          <w:rFonts w:ascii="Cambria" w:hAnsi="Cambria" w:cs="Cambria"/>
          <w:lang w:val="it-IT"/>
        </w:rPr>
        <w:t>".</w:t>
      </w:r>
    </w:p>
    <w:p w14:paraId="58F82255" w14:textId="4F972090" w:rsidR="0065454F" w:rsidRPr="000F3A1F" w:rsidRDefault="00142112">
      <w:pPr>
        <w:jc w:val="both"/>
        <w:rPr>
          <w:rFonts w:ascii="Cambria" w:hAnsi="Cambria" w:cs="Cambria"/>
          <w:lang w:val="it-IT"/>
        </w:rPr>
      </w:pPr>
      <w:r w:rsidRPr="000F3A1F">
        <w:rPr>
          <w:rFonts w:ascii="Cambria" w:hAnsi="Cambria" w:cs="Cambria"/>
          <w:lang w:val="it-IT"/>
        </w:rPr>
        <w:t xml:space="preserve">Tuttavia, l'ESMA non ha </w:t>
      </w:r>
      <w:r w:rsidR="00250F99">
        <w:rPr>
          <w:rFonts w:ascii="Cambria" w:hAnsi="Cambria" w:cs="Cambria"/>
          <w:lang w:val="it-IT"/>
        </w:rPr>
        <w:t xml:space="preserve">accettato tutte </w:t>
      </w:r>
      <w:r w:rsidRPr="000F3A1F">
        <w:rPr>
          <w:rFonts w:ascii="Cambria" w:hAnsi="Cambria" w:cs="Cambria"/>
          <w:lang w:val="it-IT"/>
        </w:rPr>
        <w:t xml:space="preserve">le proposte di </w:t>
      </w:r>
      <w:r w:rsidR="00250F99">
        <w:rPr>
          <w:rFonts w:ascii="Cambria" w:hAnsi="Cambria" w:cs="Cambria"/>
          <w:lang w:val="it-IT"/>
        </w:rPr>
        <w:t xml:space="preserve">BETTER FINANCE </w:t>
      </w:r>
      <w:r w:rsidRPr="000F3A1F">
        <w:rPr>
          <w:rFonts w:ascii="Cambria" w:hAnsi="Cambria" w:cs="Cambria"/>
          <w:lang w:val="it-IT"/>
        </w:rPr>
        <w:t xml:space="preserve">e ha deciso di non vietare le commissioni di performance laddove gli obiettivi d'investimento (ad esempio per i fondi </w:t>
      </w:r>
      <w:proofErr w:type="spellStart"/>
      <w:r w:rsidRPr="000F3A1F">
        <w:rPr>
          <w:rFonts w:ascii="Cambria" w:hAnsi="Cambria" w:cs="Cambria"/>
          <w:lang w:val="it-IT"/>
        </w:rPr>
        <w:t>index-tracking</w:t>
      </w:r>
      <w:proofErr w:type="spellEnd"/>
      <w:r w:rsidRPr="000F3A1F">
        <w:rPr>
          <w:rFonts w:ascii="Cambria" w:hAnsi="Cambria" w:cs="Cambria"/>
          <w:lang w:val="it-IT"/>
        </w:rPr>
        <w:t>) sono incompatibili con il concetto di commissione di performance.</w:t>
      </w:r>
    </w:p>
    <w:p w14:paraId="58F82256" w14:textId="0C7154B2" w:rsidR="0065454F" w:rsidRPr="000F3A1F" w:rsidRDefault="00250F99">
      <w:pPr>
        <w:jc w:val="both"/>
        <w:rPr>
          <w:lang w:val="it-IT"/>
        </w:rPr>
      </w:pPr>
      <w:r>
        <w:rPr>
          <w:rFonts w:ascii="Cambria" w:hAnsi="Cambria" w:cs="Cambria"/>
          <w:lang w:val="it-IT"/>
        </w:rPr>
        <w:t xml:space="preserve">Inoltre, </w:t>
      </w:r>
      <w:r w:rsidR="00142112" w:rsidRPr="000F3A1F">
        <w:rPr>
          <w:rFonts w:ascii="Cambria" w:hAnsi="Cambria" w:cs="Cambria"/>
          <w:lang w:val="it-IT"/>
        </w:rPr>
        <w:t xml:space="preserve">l'ESMA </w:t>
      </w:r>
      <w:r>
        <w:rPr>
          <w:rFonts w:ascii="Cambria" w:hAnsi="Cambria" w:cs="Cambria"/>
          <w:lang w:val="it-IT"/>
        </w:rPr>
        <w:t xml:space="preserve">non concorda con </w:t>
      </w:r>
      <w:r w:rsidR="00142112" w:rsidRPr="000F3A1F">
        <w:rPr>
          <w:rFonts w:ascii="Cambria" w:hAnsi="Cambria" w:cs="Cambria"/>
          <w:lang w:val="it-IT"/>
        </w:rPr>
        <w:t xml:space="preserve">BETTER FINANCE sul principio di obbligare i gestori di OICVM che addebitano commissioni di performance </w:t>
      </w:r>
      <w:r w:rsidR="00142112" w:rsidRPr="000F3A1F">
        <w:rPr>
          <w:rFonts w:ascii="Cambria" w:hAnsi="Cambria" w:cs="Cambria"/>
          <w:u w:val="single"/>
          <w:lang w:val="it-IT"/>
        </w:rPr>
        <w:t xml:space="preserve">in caso di </w:t>
      </w:r>
      <w:proofErr w:type="spellStart"/>
      <w:r w:rsidR="00142112" w:rsidRPr="000F3A1F">
        <w:rPr>
          <w:rFonts w:ascii="Cambria" w:hAnsi="Cambria" w:cs="Cambria"/>
          <w:u w:val="single"/>
          <w:lang w:val="it-IT"/>
        </w:rPr>
        <w:t>sovraperformance</w:t>
      </w:r>
      <w:proofErr w:type="spellEnd"/>
      <w:r w:rsidR="00142112" w:rsidRPr="000F3A1F">
        <w:rPr>
          <w:rFonts w:ascii="Cambria" w:hAnsi="Cambria" w:cs="Cambria"/>
          <w:lang w:val="it-IT"/>
        </w:rPr>
        <w:t xml:space="preserve">, a ridurre la loro commissione di gestione in </w:t>
      </w:r>
      <w:r w:rsidR="00142112" w:rsidRPr="000F3A1F">
        <w:rPr>
          <w:rFonts w:ascii="Cambria" w:hAnsi="Cambria" w:cs="Cambria"/>
          <w:u w:val="single"/>
          <w:lang w:val="it-IT"/>
        </w:rPr>
        <w:t xml:space="preserve">caso di </w:t>
      </w:r>
      <w:proofErr w:type="spellStart"/>
      <w:r w:rsidR="00142112" w:rsidRPr="000F3A1F">
        <w:rPr>
          <w:rFonts w:ascii="Cambria" w:hAnsi="Cambria" w:cs="Cambria"/>
          <w:u w:val="single"/>
          <w:lang w:val="it-IT"/>
        </w:rPr>
        <w:t>sottoperformance</w:t>
      </w:r>
      <w:proofErr w:type="spellEnd"/>
      <w:r w:rsidR="00142112" w:rsidRPr="000F3A1F">
        <w:rPr>
          <w:rFonts w:ascii="Cambria" w:hAnsi="Cambria" w:cs="Cambria"/>
          <w:lang w:val="it-IT"/>
        </w:rPr>
        <w:t>. Quindi, le commissioni di performance rimangono purtroppo una strada a senso unico</w:t>
      </w:r>
      <w:r>
        <w:rPr>
          <w:rFonts w:ascii="Cambria" w:hAnsi="Cambria" w:cs="Cambria"/>
          <w:lang w:val="it-IT"/>
        </w:rPr>
        <w:t>:</w:t>
      </w:r>
      <w:r w:rsidR="00142112" w:rsidRPr="000F3A1F">
        <w:rPr>
          <w:rFonts w:ascii="Cambria" w:hAnsi="Cambria" w:cs="Cambria"/>
          <w:lang w:val="it-IT"/>
        </w:rPr>
        <w:t xml:space="preserve"> "testa vinco io, croce perdi</w:t>
      </w:r>
      <w:r w:rsidR="005370DF">
        <w:rPr>
          <w:rFonts w:ascii="Cambria" w:hAnsi="Cambria" w:cs="Cambria"/>
          <w:lang w:val="it-IT"/>
        </w:rPr>
        <w:t xml:space="preserve"> tu</w:t>
      </w:r>
      <w:r w:rsidR="00142112" w:rsidRPr="000F3A1F">
        <w:rPr>
          <w:rFonts w:ascii="Cambria" w:hAnsi="Cambria" w:cs="Cambria"/>
          <w:lang w:val="it-IT"/>
        </w:rPr>
        <w:t>".</w:t>
      </w:r>
    </w:p>
    <w:p w14:paraId="58F82257" w14:textId="1D189FC7" w:rsidR="0065454F" w:rsidRPr="000F3A1F" w:rsidRDefault="00142112">
      <w:pPr>
        <w:jc w:val="both"/>
        <w:rPr>
          <w:lang w:val="it-IT"/>
        </w:rPr>
      </w:pPr>
      <w:r w:rsidRPr="000F3A1F">
        <w:rPr>
          <w:rFonts w:ascii="Cambria" w:hAnsi="Cambria" w:cs="Cambria"/>
          <w:i/>
          <w:iCs/>
          <w:lang w:val="it-IT"/>
        </w:rPr>
        <w:t xml:space="preserve">"Nel complesso, </w:t>
      </w:r>
      <w:r w:rsidR="00250F99">
        <w:rPr>
          <w:rFonts w:ascii="Cambria" w:hAnsi="Cambria" w:cs="Cambria"/>
          <w:i/>
          <w:iCs/>
          <w:lang w:val="it-IT"/>
        </w:rPr>
        <w:t xml:space="preserve">BETTER FINANCE esprime gratitudine </w:t>
      </w:r>
      <w:r w:rsidRPr="000F3A1F">
        <w:rPr>
          <w:rFonts w:ascii="Cambria" w:hAnsi="Cambria" w:cs="Cambria"/>
          <w:i/>
          <w:iCs/>
          <w:lang w:val="it-IT"/>
        </w:rPr>
        <w:t xml:space="preserve">al </w:t>
      </w:r>
      <w:r w:rsidR="00250F99">
        <w:rPr>
          <w:rFonts w:ascii="Cambria" w:hAnsi="Cambria" w:cs="Cambria"/>
          <w:i/>
          <w:iCs/>
          <w:lang w:val="it-IT"/>
        </w:rPr>
        <w:t xml:space="preserve">garante </w:t>
      </w:r>
      <w:r w:rsidRPr="000F3A1F">
        <w:rPr>
          <w:rFonts w:ascii="Cambria" w:hAnsi="Cambria" w:cs="Cambria"/>
          <w:i/>
          <w:iCs/>
          <w:lang w:val="it-IT"/>
        </w:rPr>
        <w:t xml:space="preserve">europeo per questo profondo miglioramento nell'utilizzo delle commissioni di "performance" da parte delle società di fondi di investimento, </w:t>
      </w:r>
      <w:r w:rsidR="00250F99">
        <w:rPr>
          <w:rFonts w:ascii="Cambria" w:hAnsi="Cambria" w:cs="Cambria"/>
          <w:i/>
          <w:iCs/>
          <w:lang w:val="it-IT"/>
        </w:rPr>
        <w:t xml:space="preserve">un miglioramento </w:t>
      </w:r>
      <w:r w:rsidRPr="000F3A1F">
        <w:rPr>
          <w:rFonts w:ascii="Cambria" w:hAnsi="Cambria" w:cs="Cambria"/>
          <w:i/>
          <w:iCs/>
          <w:lang w:val="it-IT"/>
        </w:rPr>
        <w:t xml:space="preserve">che </w:t>
      </w:r>
      <w:r w:rsidR="00250F99">
        <w:rPr>
          <w:rFonts w:ascii="Cambria" w:hAnsi="Cambria" w:cs="Cambria"/>
          <w:i/>
          <w:iCs/>
          <w:lang w:val="it-IT"/>
        </w:rPr>
        <w:t xml:space="preserve">tutelerà </w:t>
      </w:r>
      <w:r w:rsidRPr="000F3A1F">
        <w:rPr>
          <w:rFonts w:ascii="Cambria" w:hAnsi="Cambria" w:cs="Cambria"/>
          <w:i/>
          <w:iCs/>
          <w:lang w:val="it-IT"/>
        </w:rPr>
        <w:t xml:space="preserve">meglio gli investitori </w:t>
      </w:r>
      <w:r w:rsidR="00250F99">
        <w:rPr>
          <w:rFonts w:ascii="Cambria" w:hAnsi="Cambria" w:cs="Cambria"/>
          <w:i/>
          <w:iCs/>
          <w:lang w:val="it-IT"/>
        </w:rPr>
        <w:t xml:space="preserve">in </w:t>
      </w:r>
      <w:r w:rsidRPr="000F3A1F">
        <w:rPr>
          <w:rFonts w:ascii="Cambria" w:hAnsi="Cambria" w:cs="Cambria"/>
          <w:i/>
          <w:iCs/>
          <w:lang w:val="it-IT"/>
        </w:rPr>
        <w:t xml:space="preserve">fondi", </w:t>
      </w:r>
      <w:r w:rsidRPr="000F3A1F">
        <w:rPr>
          <w:rFonts w:ascii="Cambria" w:hAnsi="Cambria" w:cs="Cambria"/>
          <w:lang w:val="it-IT"/>
        </w:rPr>
        <w:t xml:space="preserve">ha </w:t>
      </w:r>
      <w:r w:rsidR="00250F99">
        <w:rPr>
          <w:rFonts w:ascii="Cambria" w:hAnsi="Cambria" w:cs="Cambria"/>
          <w:lang w:val="it-IT"/>
        </w:rPr>
        <w:t xml:space="preserve">affermato </w:t>
      </w:r>
      <w:r w:rsidRPr="000F3A1F">
        <w:rPr>
          <w:rFonts w:ascii="Cambria" w:hAnsi="Cambria" w:cs="Cambria"/>
          <w:lang w:val="it-IT"/>
        </w:rPr>
        <w:t xml:space="preserve">Guillaume </w:t>
      </w:r>
      <w:proofErr w:type="spellStart"/>
      <w:r w:rsidRPr="000F3A1F">
        <w:rPr>
          <w:rFonts w:ascii="Cambria" w:hAnsi="Cambria" w:cs="Cambria"/>
          <w:lang w:val="it-IT"/>
        </w:rPr>
        <w:t>Prache</w:t>
      </w:r>
      <w:proofErr w:type="spellEnd"/>
      <w:r w:rsidRPr="000F3A1F">
        <w:rPr>
          <w:rFonts w:ascii="Cambria" w:hAnsi="Cambria" w:cs="Cambria"/>
          <w:lang w:val="it-IT"/>
        </w:rPr>
        <w:t xml:space="preserve">, </w:t>
      </w:r>
      <w:r w:rsidR="005370DF">
        <w:rPr>
          <w:rFonts w:ascii="Cambria" w:hAnsi="Cambria" w:cs="Cambria"/>
          <w:lang w:val="it-IT"/>
        </w:rPr>
        <w:t>a</w:t>
      </w:r>
      <w:bookmarkStart w:id="1" w:name="_GoBack"/>
      <w:bookmarkEnd w:id="1"/>
      <w:r w:rsidRPr="000F3A1F">
        <w:rPr>
          <w:rFonts w:ascii="Cambria" w:hAnsi="Cambria" w:cs="Cambria"/>
          <w:lang w:val="it-IT"/>
        </w:rPr>
        <w:t xml:space="preserve">mministratore </w:t>
      </w:r>
      <w:r w:rsidR="00250F99">
        <w:rPr>
          <w:rFonts w:ascii="Cambria" w:hAnsi="Cambria" w:cs="Cambria"/>
          <w:lang w:val="it-IT"/>
        </w:rPr>
        <w:t>d</w:t>
      </w:r>
      <w:r w:rsidRPr="000F3A1F">
        <w:rPr>
          <w:rFonts w:ascii="Cambria" w:hAnsi="Cambria" w:cs="Cambria"/>
          <w:lang w:val="it-IT"/>
        </w:rPr>
        <w:t>elegato.</w:t>
      </w:r>
    </w:p>
    <w:p w14:paraId="58F82258" w14:textId="77777777" w:rsidR="0065454F" w:rsidRPr="000F3A1F" w:rsidRDefault="00142112">
      <w:pPr>
        <w:jc w:val="center"/>
        <w:rPr>
          <w:rFonts w:ascii="Calibri Light" w:hAnsi="Calibri Light" w:cs="Calibri Light"/>
          <w:lang w:val="it-IT"/>
        </w:rPr>
      </w:pPr>
      <w:r w:rsidRPr="000F3A1F">
        <w:rPr>
          <w:rFonts w:ascii="Calibri Light" w:hAnsi="Calibri Light" w:cs="Calibri Light"/>
          <w:lang w:val="it-IT"/>
        </w:rPr>
        <w:t>***</w:t>
      </w:r>
    </w:p>
    <w:p w14:paraId="58F82259" w14:textId="77777777" w:rsidR="0065454F" w:rsidRPr="000F3A1F" w:rsidRDefault="00142112">
      <w:pPr>
        <w:pStyle w:val="Corpotesto"/>
        <w:spacing w:before="120" w:after="0" w:line="30" w:lineRule="atLeast"/>
        <w:jc w:val="center"/>
        <w:rPr>
          <w:lang w:val="it-IT"/>
        </w:rPr>
      </w:pPr>
      <w:r w:rsidRPr="000F3A1F">
        <w:rPr>
          <w:rFonts w:ascii="Calibri Light" w:hAnsi="Calibri Light" w:cs="Calibri Light"/>
          <w:sz w:val="18"/>
          <w:szCs w:val="18"/>
          <w:u w:val="single"/>
          <w:lang w:val="it-IT"/>
        </w:rPr>
        <w:t>Contatto</w:t>
      </w:r>
      <w:r w:rsidRPr="000F3A1F">
        <w:rPr>
          <w:rFonts w:ascii="Calibri Light" w:hAnsi="Calibri Light" w:cs="Calibri Light"/>
          <w:sz w:val="18"/>
          <w:szCs w:val="18"/>
          <w:lang w:val="it-IT"/>
        </w:rPr>
        <w:t xml:space="preserve">: Direttore delle comunicazioni ǀ </w:t>
      </w:r>
      <w:proofErr w:type="spellStart"/>
      <w:r w:rsidRPr="000F3A1F">
        <w:rPr>
          <w:rFonts w:ascii="Calibri Light" w:hAnsi="Calibri Light" w:cs="Calibri Light"/>
          <w:sz w:val="18"/>
          <w:szCs w:val="18"/>
          <w:lang w:val="it-IT"/>
        </w:rPr>
        <w:t>Arnaud</w:t>
      </w:r>
      <w:proofErr w:type="spellEnd"/>
      <w:r w:rsidRPr="000F3A1F">
        <w:rPr>
          <w:rFonts w:ascii="Calibri Light" w:hAnsi="Calibri Light" w:cs="Calibri Light"/>
          <w:sz w:val="18"/>
          <w:szCs w:val="18"/>
          <w:lang w:val="it-IT"/>
        </w:rPr>
        <w:t xml:space="preserve"> </w:t>
      </w:r>
      <w:proofErr w:type="spellStart"/>
      <w:r w:rsidRPr="000F3A1F">
        <w:rPr>
          <w:rFonts w:ascii="Calibri Light" w:hAnsi="Calibri Light" w:cs="Calibri Light"/>
          <w:sz w:val="18"/>
          <w:szCs w:val="18"/>
          <w:lang w:val="it-IT"/>
        </w:rPr>
        <w:t>Houdmont</w:t>
      </w:r>
      <w:proofErr w:type="spellEnd"/>
      <w:r w:rsidRPr="000F3A1F">
        <w:rPr>
          <w:rFonts w:ascii="Calibri Light" w:hAnsi="Calibri Light" w:cs="Calibri Light"/>
          <w:sz w:val="18"/>
          <w:szCs w:val="18"/>
          <w:lang w:val="it-IT"/>
        </w:rPr>
        <w:t xml:space="preserve"> ǀ +32 (0)2 514 37 77 ǀ </w:t>
      </w:r>
      <w:hyperlink r:id="rId10" w:history="1">
        <w:r w:rsidRPr="000F3A1F">
          <w:rPr>
            <w:rStyle w:val="Collegamentoipertestuale"/>
            <w:rFonts w:ascii="Calibri Light" w:hAnsi="Calibri Light" w:cs="Calibri Light"/>
            <w:sz w:val="18"/>
            <w:szCs w:val="18"/>
            <w:lang w:val="it-IT"/>
          </w:rPr>
          <w:t>houdmont@betterfinance.eu</w:t>
        </w:r>
      </w:hyperlink>
    </w:p>
    <w:sectPr w:rsidR="0065454F" w:rsidRPr="000F3A1F">
      <w:headerReference w:type="default"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5DA91" w14:textId="77777777" w:rsidR="00F47A18" w:rsidRDefault="00F47A18">
      <w:pPr>
        <w:spacing w:after="0" w:line="240" w:lineRule="auto"/>
      </w:pPr>
      <w:r>
        <w:separator/>
      </w:r>
    </w:p>
  </w:endnote>
  <w:endnote w:type="continuationSeparator" w:id="0">
    <w:p w14:paraId="449F4A95" w14:textId="77777777" w:rsidR="00F47A18" w:rsidRDefault="00F4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225C" w14:textId="77777777" w:rsidR="00E617E4" w:rsidRPr="00142112" w:rsidRDefault="00142112">
    <w:pPr>
      <w:spacing w:before="120" w:after="0" w:line="240" w:lineRule="auto"/>
      <w:ind w:left="-567"/>
      <w:jc w:val="center"/>
      <w:rPr>
        <w:b/>
        <w:color w:val="006FB4"/>
        <w:sz w:val="16"/>
        <w:szCs w:val="16"/>
        <w:lang w:val="fr-BE"/>
      </w:rPr>
    </w:pPr>
    <w:r w:rsidRPr="00142112">
      <w:rPr>
        <w:b/>
        <w:color w:val="006FB4"/>
        <w:sz w:val="16"/>
        <w:szCs w:val="16"/>
        <w:lang w:val="fr-BE"/>
      </w:rPr>
      <w:t>La Federazione europea degli investitori e degli utenti dei servizi finanziari</w:t>
    </w:r>
  </w:p>
  <w:p w14:paraId="58F8225D" w14:textId="77777777" w:rsidR="00E617E4" w:rsidRDefault="00142112">
    <w:pPr>
      <w:spacing w:after="0" w:line="240" w:lineRule="auto"/>
      <w:ind w:left="-567"/>
      <w:jc w:val="center"/>
      <w:rPr>
        <w:color w:val="006FB4"/>
        <w:sz w:val="16"/>
        <w:szCs w:val="16"/>
        <w:lang w:val="de-DE"/>
      </w:rPr>
    </w:pPr>
    <w:r>
      <w:rPr>
        <w:color w:val="006FB4"/>
        <w:sz w:val="16"/>
        <w:szCs w:val="16"/>
        <w:lang w:val="de-DE"/>
      </w:rPr>
      <w:t xml:space="preserve">44, Rue </w:t>
    </w:r>
    <w:proofErr w:type="spellStart"/>
    <w:r>
      <w:rPr>
        <w:color w:val="006FB4"/>
        <w:sz w:val="16"/>
        <w:szCs w:val="16"/>
        <w:lang w:val="de-DE"/>
      </w:rPr>
      <w:t>d'Arenberg</w:t>
    </w:r>
    <w:proofErr w:type="spellEnd"/>
    <w:r>
      <w:rPr>
        <w:color w:val="006FB4"/>
        <w:sz w:val="16"/>
        <w:szCs w:val="16"/>
        <w:lang w:val="de-DE"/>
      </w:rPr>
      <w:t xml:space="preserve">, 1000 Bruxelles - </w:t>
    </w:r>
    <w:proofErr w:type="spellStart"/>
    <w:r>
      <w:rPr>
        <w:color w:val="006FB4"/>
        <w:sz w:val="16"/>
        <w:szCs w:val="16"/>
        <w:lang w:val="de-DE"/>
      </w:rPr>
      <w:t>Belgio</w:t>
    </w:r>
    <w:proofErr w:type="spellEnd"/>
  </w:p>
  <w:p w14:paraId="58F8225E" w14:textId="77777777" w:rsidR="00E617E4" w:rsidRDefault="00142112">
    <w:pPr>
      <w:spacing w:after="0" w:line="240" w:lineRule="auto"/>
      <w:ind w:left="-567"/>
      <w:jc w:val="center"/>
    </w:pPr>
    <w:r>
      <w:rPr>
        <w:color w:val="006FB4"/>
        <w:sz w:val="16"/>
        <w:szCs w:val="16"/>
        <w:lang w:val="de-DE"/>
      </w:rPr>
      <w:t xml:space="preserve">Tel. (+32) 02 514 37 77 - Fax. </w:t>
    </w:r>
    <w:r>
      <w:rPr>
        <w:color w:val="006FB4"/>
        <w:sz w:val="16"/>
        <w:szCs w:val="16"/>
        <w:lang w:val="pt-PT"/>
      </w:rPr>
      <w:t>(+32) 02 514 36 66</w:t>
    </w:r>
  </w:p>
  <w:p w14:paraId="58F8225F" w14:textId="77777777" w:rsidR="00E617E4" w:rsidRDefault="00142112">
    <w:pPr>
      <w:spacing w:after="0" w:line="240" w:lineRule="auto"/>
      <w:ind w:left="-567"/>
      <w:jc w:val="center"/>
    </w:pPr>
    <w:r>
      <w:rPr>
        <w:color w:val="006FB4"/>
        <w:sz w:val="16"/>
        <w:szCs w:val="16"/>
        <w:lang w:val="pt-PT"/>
      </w:rPr>
      <w:t xml:space="preserve">E-mail: info@betterfinance.eu - </w:t>
    </w:r>
    <w:bookmarkStart w:id="2" w:name="_Hlk944867"/>
    <w:r>
      <w:fldChar w:fldCharType="begin"/>
    </w:r>
    <w:r>
      <w:instrText xml:space="preserve"> HYPERLINK  "http://www.eurofinuse.org" </w:instrText>
    </w:r>
    <w:r>
      <w:fldChar w:fldCharType="separate"/>
    </w:r>
    <w:r>
      <w:rPr>
        <w:color w:val="006FB4"/>
        <w:sz w:val="16"/>
        <w:szCs w:val="16"/>
        <w:u w:val="single"/>
        <w:lang w:val="it-IT"/>
      </w:rPr>
      <w:t xml:space="preserve">http://www.betterfinance.eu </w:t>
    </w:r>
    <w:r>
      <w:rPr>
        <w:color w:val="006FB4"/>
        <w:sz w:val="16"/>
        <w:szCs w:val="16"/>
        <w:u w:val="single"/>
        <w:lang w:val="it-IT"/>
      </w:rP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3C52D" w14:textId="77777777" w:rsidR="00F47A18" w:rsidRDefault="00F47A18">
      <w:pPr>
        <w:spacing w:after="0" w:line="240" w:lineRule="auto"/>
      </w:pPr>
      <w:r>
        <w:rPr>
          <w:color w:val="000000"/>
        </w:rPr>
        <w:separator/>
      </w:r>
    </w:p>
  </w:footnote>
  <w:footnote w:type="continuationSeparator" w:id="0">
    <w:p w14:paraId="4BDA5D3F" w14:textId="77777777" w:rsidR="00F47A18" w:rsidRDefault="00F4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2257" w14:textId="77777777" w:rsidR="00E617E4" w:rsidRDefault="00142112">
    <w:pPr>
      <w:pStyle w:val="Intestazione"/>
    </w:pPr>
    <w:r>
      <w:rPr>
        <w:noProof/>
        <w:lang w:val="it-IT" w:eastAsia="it-IT"/>
      </w:rPr>
      <w:drawing>
        <wp:anchor distT="0" distB="0" distL="114300" distR="114300" simplePos="0" relativeHeight="251659264" behindDoc="0" locked="0" layoutInCell="1" allowOverlap="1" wp14:anchorId="58F8224F" wp14:editId="58F82250">
          <wp:simplePos x="0" y="0"/>
          <wp:positionH relativeFrom="margin">
            <wp:posOffset>2564133</wp:posOffset>
          </wp:positionH>
          <wp:positionV relativeFrom="paragraph">
            <wp:posOffset>-265432</wp:posOffset>
          </wp:positionV>
          <wp:extent cx="3138165" cy="645164"/>
          <wp:effectExtent l="0" t="0" r="5085" b="2536"/>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8165" cy="645164"/>
                  </a:xfrm>
                  <a:prstGeom prst="rect">
                    <a:avLst/>
                  </a:prstGeom>
                  <a:noFill/>
                  <a:ln>
                    <a:noFill/>
                    <a:prstDash/>
                  </a:ln>
                </pic:spPr>
              </pic:pic>
            </a:graphicData>
          </a:graphic>
        </wp:anchor>
      </w:drawing>
    </w:r>
  </w:p>
  <w:p w14:paraId="58F82258" w14:textId="77777777" w:rsidR="00E617E4" w:rsidRDefault="00F47A18">
    <w:pPr>
      <w:pStyle w:val="Intestazione"/>
    </w:pPr>
  </w:p>
  <w:p w14:paraId="58F82259" w14:textId="77777777" w:rsidR="00E617E4" w:rsidRDefault="00F47A18">
    <w:pPr>
      <w:pStyle w:val="Intestazione"/>
      <w:rPr>
        <w:sz w:val="12"/>
        <w:szCs w:val="12"/>
      </w:rPr>
    </w:pPr>
  </w:p>
  <w:p w14:paraId="58F8225A" w14:textId="77777777" w:rsidR="00E617E4" w:rsidRDefault="00F47A18">
    <w:pPr>
      <w:pStyle w:val="Intestazion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34E9"/>
    <w:multiLevelType w:val="multilevel"/>
    <w:tmpl w:val="06380C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4F"/>
    <w:rsid w:val="000F3A1F"/>
    <w:rsid w:val="00142112"/>
    <w:rsid w:val="00250F99"/>
    <w:rsid w:val="00304FA9"/>
    <w:rsid w:val="004366C9"/>
    <w:rsid w:val="004E2009"/>
    <w:rsid w:val="004F0093"/>
    <w:rsid w:val="005370DF"/>
    <w:rsid w:val="0065454F"/>
    <w:rsid w:val="00A94821"/>
    <w:rsid w:val="00AA0BD6"/>
    <w:rsid w:val="00E47724"/>
    <w:rsid w:val="00F47A18"/>
    <w:rsid w:val="00F85C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2248"/>
  <w15:docId w15:val="{4B0BF845-3B37-4662-A79F-6739E73F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240" w:after="0"/>
      <w:outlineLvl w:val="0"/>
    </w:pPr>
    <w:rPr>
      <w:rFonts w:ascii="Cambria" w:eastAsia="SimSun" w:hAnsi="Cambria" w:cs="Times New Roman"/>
      <w:color w:val="365F91"/>
      <w:sz w:val="32"/>
      <w:szCs w:val="32"/>
    </w:rPr>
  </w:style>
  <w:style w:type="paragraph" w:styleId="Titolo2">
    <w:name w:val="heading 2"/>
    <w:basedOn w:val="Normale"/>
    <w:next w:val="Normale"/>
    <w:uiPriority w:val="9"/>
    <w:unhideWhenUsed/>
    <w:qFormat/>
    <w:pPr>
      <w:keepNext/>
      <w:keepLines/>
      <w:spacing w:before="40" w:after="0"/>
      <w:outlineLvl w:val="1"/>
    </w:pPr>
    <w:rPr>
      <w:rFonts w:ascii="Cambria" w:eastAsia="SimSu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spacing w:after="0" w:line="240" w:lineRule="auto"/>
    </w:pPr>
  </w:style>
  <w:style w:type="character" w:customStyle="1" w:styleId="HeaderChar">
    <w:name w:val="Header Char"/>
    <w:basedOn w:val="Carpredefinitoparagrafo"/>
  </w:style>
  <w:style w:type="paragraph" w:styleId="Pidipagina">
    <w:name w:val="footer"/>
    <w:basedOn w:val="Normale"/>
    <w:pPr>
      <w:tabs>
        <w:tab w:val="center" w:pos="4536"/>
        <w:tab w:val="right" w:pos="9072"/>
      </w:tabs>
      <w:spacing w:after="0" w:line="240" w:lineRule="auto"/>
    </w:pPr>
  </w:style>
  <w:style w:type="character" w:customStyle="1" w:styleId="FooterChar">
    <w:name w:val="Footer Char"/>
    <w:basedOn w:val="Carpredefinitoparagrafo"/>
  </w:style>
  <w:style w:type="paragraph" w:styleId="Corpotesto">
    <w:name w:val="Body Text"/>
    <w:basedOn w:val="Normale"/>
    <w:pPr>
      <w:spacing w:line="240" w:lineRule="exact"/>
    </w:pPr>
    <w:rPr>
      <w:rFonts w:ascii="Tahoma" w:eastAsia="Times New Roman" w:hAnsi="Tahoma" w:cs="Times New Roman"/>
      <w:spacing w:val="10"/>
      <w:sz w:val="17"/>
      <w:szCs w:val="20"/>
      <w:lang w:val="en-US"/>
    </w:rPr>
  </w:style>
  <w:style w:type="character" w:customStyle="1" w:styleId="BodyTextChar">
    <w:name w:val="Body Text Char"/>
    <w:basedOn w:val="Carpredefinitoparagrafo"/>
    <w:rPr>
      <w:rFonts w:ascii="Tahoma" w:eastAsia="Times New Roman" w:hAnsi="Tahoma" w:cs="Times New Roman"/>
      <w:spacing w:val="10"/>
      <w:sz w:val="17"/>
      <w:szCs w:val="20"/>
      <w:lang w:val="en-US"/>
    </w:rPr>
  </w:style>
  <w:style w:type="paragraph" w:styleId="Titolo">
    <w:name w:val="Title"/>
    <w:basedOn w:val="Normale"/>
    <w:next w:val="Normale"/>
    <w:uiPriority w:val="10"/>
    <w:qFormat/>
    <w:pPr>
      <w:spacing w:after="0" w:line="240" w:lineRule="auto"/>
    </w:pPr>
    <w:rPr>
      <w:rFonts w:ascii="Cambria" w:eastAsia="SimSun" w:hAnsi="Cambria" w:cs="Times New Roman"/>
      <w:spacing w:val="-10"/>
      <w:kern w:val="3"/>
      <w:sz w:val="56"/>
      <w:szCs w:val="56"/>
    </w:rPr>
  </w:style>
  <w:style w:type="character" w:customStyle="1" w:styleId="TitleChar">
    <w:name w:val="Title Char"/>
    <w:basedOn w:val="Carpredefinitoparagrafo"/>
    <w:rPr>
      <w:rFonts w:ascii="Cambria" w:eastAsia="SimSun" w:hAnsi="Cambria" w:cs="Times New Roman"/>
      <w:spacing w:val="-10"/>
      <w:kern w:val="3"/>
      <w:sz w:val="56"/>
      <w:szCs w:val="56"/>
    </w:rPr>
  </w:style>
  <w:style w:type="paragraph" w:styleId="Testofumetto">
    <w:name w:val="Balloon Text"/>
    <w:basedOn w:val="Normale"/>
    <w:pPr>
      <w:spacing w:after="0" w:line="240" w:lineRule="auto"/>
    </w:pPr>
    <w:rPr>
      <w:rFonts w:ascii="Times New Roman" w:hAnsi="Times New Roman" w:cs="Times New Roman"/>
      <w:sz w:val="18"/>
      <w:szCs w:val="18"/>
    </w:rPr>
  </w:style>
  <w:style w:type="character" w:customStyle="1" w:styleId="BalloonTextChar">
    <w:name w:val="Balloon Text Char"/>
    <w:basedOn w:val="Carpredefinitoparagrafo"/>
    <w:rPr>
      <w:rFonts w:ascii="Times New Roman" w:hAnsi="Times New Roman" w:cs="Times New Roman"/>
      <w:sz w:val="18"/>
      <w:szCs w:val="18"/>
    </w:rPr>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CommentTextChar">
    <w:name w:val="Comment Text Char"/>
    <w:basedOn w:val="Carpredefinitoparagrafo"/>
    <w:rPr>
      <w:sz w:val="20"/>
      <w:szCs w:val="20"/>
    </w:rPr>
  </w:style>
  <w:style w:type="paragraph" w:styleId="Soggettocommento">
    <w:name w:val="annotation subject"/>
    <w:basedOn w:val="Testocommento"/>
    <w:next w:val="Testocommento"/>
    <w:rPr>
      <w:b/>
      <w:bCs/>
    </w:rPr>
  </w:style>
  <w:style w:type="character" w:customStyle="1" w:styleId="CommentSubjectChar">
    <w:name w:val="Comment Subject Char"/>
    <w:basedOn w:val="CommentTextChar"/>
    <w:rPr>
      <w:b/>
      <w:bCs/>
      <w:sz w:val="20"/>
      <w:szCs w:val="20"/>
    </w:rPr>
  </w:style>
  <w:style w:type="paragraph" w:styleId="Testonotaapidipagina">
    <w:name w:val="footnote text"/>
    <w:basedOn w:val="Normale"/>
    <w:pPr>
      <w:spacing w:after="0" w:line="240" w:lineRule="auto"/>
    </w:pPr>
    <w:rPr>
      <w:sz w:val="20"/>
      <w:szCs w:val="20"/>
    </w:rPr>
  </w:style>
  <w:style w:type="character" w:customStyle="1" w:styleId="FootnoteTextChar">
    <w:name w:val="Footnote Text Char"/>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styleId="Enfasigrassetto">
    <w:name w:val="Strong"/>
    <w:rPr>
      <w:b/>
      <w:bCs/>
    </w:rPr>
  </w:style>
  <w:style w:type="character" w:styleId="Collegamentoipertestuale">
    <w:name w:val="Hyperlink"/>
    <w:basedOn w:val="Carpredefinitoparagrafo"/>
    <w:rPr>
      <w:color w:val="0000FF"/>
      <w:u w:val="single"/>
    </w:rPr>
  </w:style>
  <w:style w:type="character" w:customStyle="1" w:styleId="UnresolvedMention">
    <w:name w:val="Unresolved Mention"/>
    <w:basedOn w:val="Carpredefinitoparagrafo"/>
    <w:rPr>
      <w:color w:val="605E5C"/>
      <w:shd w:val="clear" w:color="auto" w:fill="E1DFDD"/>
    </w:rPr>
  </w:style>
  <w:style w:type="character" w:styleId="Collegamentovisitato">
    <w:name w:val="FollowedHyperlink"/>
    <w:basedOn w:val="Carpredefinitoparagrafo"/>
    <w:rPr>
      <w:color w:val="800080"/>
      <w:u w:val="single"/>
    </w:rPr>
  </w:style>
  <w:style w:type="character" w:customStyle="1" w:styleId="Heading2Char">
    <w:name w:val="Heading 2 Char"/>
    <w:basedOn w:val="Carpredefinitoparagrafo"/>
    <w:rPr>
      <w:rFonts w:ascii="Cambria" w:eastAsia="SimSun" w:hAnsi="Cambria" w:cs="Times New Roman"/>
      <w:color w:val="365F91"/>
      <w:sz w:val="26"/>
      <w:szCs w:val="26"/>
    </w:rPr>
  </w:style>
  <w:style w:type="paragraph" w:styleId="Paragrafoelenco">
    <w:name w:val="List Paragraph"/>
    <w:basedOn w:val="Normale"/>
    <w:pPr>
      <w:ind w:left="720"/>
    </w:pPr>
  </w:style>
  <w:style w:type="character" w:customStyle="1" w:styleId="Heading1Char">
    <w:name w:val="Heading 1 Char"/>
    <w:basedOn w:val="Carpredefinitoparagrafo"/>
    <w:rPr>
      <w:rFonts w:ascii="Cambria" w:eastAsia="SimSun" w:hAnsi="Cambria" w:cs="Times New Roman"/>
      <w:color w:val="365F91"/>
      <w:sz w:val="32"/>
      <w:szCs w:val="32"/>
    </w:rPr>
  </w:style>
  <w:style w:type="character" w:customStyle="1" w:styleId="tlid-translation">
    <w:name w:val="tlid-translation"/>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oudmont@betterfinanc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CD82C-40BA-4067-B201-CAC58DD7F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52A23-46B4-4A34-A629-C6990D62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8B580-491E-4139-889B-C029DCAF3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Houdmont</dc:creator>
  <dc:description/>
  <cp:lastModifiedBy>Angelo Veglia</cp:lastModifiedBy>
  <cp:revision>7</cp:revision>
  <cp:lastPrinted>2019-03-22T09:41:00Z</cp:lastPrinted>
  <dcterms:created xsi:type="dcterms:W3CDTF">2020-12-26T09:31:00Z</dcterms:created>
  <dcterms:modified xsi:type="dcterms:W3CDTF">2021-01-03T08:11:00Z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