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3E53" w14:textId="2CF02BB7" w:rsidR="0080152A" w:rsidRDefault="0080152A"/>
    <w:p w14:paraId="336AE45F" w14:textId="77777777" w:rsidR="0080152A" w:rsidRPr="00977AC4" w:rsidRDefault="00861741">
      <w:pPr>
        <w:pStyle w:val="Corpotesto"/>
        <w:spacing w:after="120" w:line="312" w:lineRule="auto"/>
        <w:jc w:val="both"/>
        <w:rPr>
          <w:lang w:val="es-ES"/>
        </w:rPr>
      </w:pPr>
      <w:bookmarkStart w:id="0" w:name="_Hlk4143464"/>
      <w:r w:rsidRPr="00977AC4">
        <w:rPr>
          <w:rStyle w:val="Enfasigrassetto"/>
          <w:sz w:val="18"/>
          <w:lang w:val="es-ES"/>
        </w:rPr>
        <w:t xml:space="preserve">COMUNICATO STAMPA </w:t>
      </w:r>
    </w:p>
    <w:p w14:paraId="26C7F1D8" w14:textId="295DC0F4" w:rsidR="0080152A" w:rsidRPr="00977AC4" w:rsidRDefault="002078AD">
      <w:pPr>
        <w:pStyle w:val="Titolo2"/>
        <w:spacing w:after="80"/>
        <w:jc w:val="both"/>
        <w:rPr>
          <w:lang w:val="es-ES"/>
        </w:rPr>
      </w:pPr>
      <w:r>
        <w:rPr>
          <w:rFonts w:eastAsia="Calibri" w:cs="Arial"/>
          <w:b/>
          <w:spacing w:val="20"/>
          <w:kern w:val="3"/>
          <w:sz w:val="30"/>
          <w:szCs w:val="30"/>
          <w:lang w:val="es-ES"/>
        </w:rPr>
        <w:t xml:space="preserve">BETTER FINANCE </w:t>
      </w:r>
      <w:r w:rsidR="00861741" w:rsidRPr="00977AC4">
        <w:rPr>
          <w:rFonts w:eastAsia="Calibri" w:cs="Arial"/>
          <w:b/>
          <w:spacing w:val="20"/>
          <w:kern w:val="3"/>
          <w:sz w:val="30"/>
          <w:szCs w:val="30"/>
          <w:lang w:val="es-ES"/>
        </w:rPr>
        <w:t>esorta a porre la partecipazione azionaria dei dipendenti al centro degli sforzi per affrontare la crisi finanziaria indotta da</w:t>
      </w:r>
      <w:r>
        <w:rPr>
          <w:rFonts w:eastAsia="Calibri" w:cs="Arial"/>
          <w:b/>
          <w:spacing w:val="20"/>
          <w:kern w:val="3"/>
          <w:sz w:val="30"/>
          <w:szCs w:val="30"/>
          <w:lang w:val="es-ES"/>
        </w:rPr>
        <w:t>l c</w:t>
      </w:r>
      <w:r w:rsidR="00861741" w:rsidRPr="00977AC4">
        <w:rPr>
          <w:rFonts w:eastAsia="Calibri" w:cs="Arial"/>
          <w:b/>
          <w:spacing w:val="20"/>
          <w:kern w:val="3"/>
          <w:sz w:val="30"/>
          <w:szCs w:val="30"/>
          <w:lang w:val="es-ES"/>
        </w:rPr>
        <w:t>orona</w:t>
      </w:r>
      <w:r>
        <w:rPr>
          <w:rFonts w:eastAsia="Calibri" w:cs="Arial"/>
          <w:b/>
          <w:spacing w:val="20"/>
          <w:kern w:val="3"/>
          <w:sz w:val="30"/>
          <w:szCs w:val="30"/>
          <w:lang w:val="es-ES"/>
        </w:rPr>
        <w:t>virus</w:t>
      </w:r>
    </w:p>
    <w:p w14:paraId="5F95C36F" w14:textId="3444D59F" w:rsidR="0080152A" w:rsidRPr="00977AC4" w:rsidRDefault="00861741">
      <w:pPr>
        <w:spacing w:after="120"/>
        <w:jc w:val="both"/>
        <w:rPr>
          <w:lang w:val="es-ES"/>
        </w:rPr>
      </w:pPr>
      <w:r w:rsidRPr="00977AC4">
        <w:rPr>
          <w:rFonts w:ascii="Calibri Light" w:eastAsia="Times New Roman" w:hAnsi="Calibri Light" w:cs="Calibri Light"/>
          <w:b/>
          <w:bCs/>
          <w:lang w:val="es-ES"/>
        </w:rPr>
        <w:t>Bruxelles, 22 maggio 2020</w:t>
      </w:r>
      <w:bookmarkEnd w:id="0"/>
      <w:r w:rsidRPr="00977AC4">
        <w:rPr>
          <w:rFonts w:ascii="Calibri Light" w:eastAsia="Times New Roman" w:hAnsi="Calibri Light" w:cs="Calibri Light"/>
          <w:b/>
          <w:bCs/>
          <w:lang w:val="es-ES"/>
        </w:rPr>
        <w:t xml:space="preserve"> </w:t>
      </w:r>
      <w:r w:rsidR="002078AD">
        <w:rPr>
          <w:rFonts w:ascii="Calibri Light" w:eastAsia="Times New Roman" w:hAnsi="Calibri Light" w:cs="Calibri Light"/>
          <w:lang w:val="es-ES"/>
        </w:rPr>
        <w:t xml:space="preserve">– </w:t>
      </w:r>
      <w:r w:rsidR="0020544B">
        <w:rPr>
          <w:rFonts w:ascii="Calibri Light" w:eastAsia="Times New Roman" w:hAnsi="Calibri Light" w:cs="Calibri Light"/>
          <w:lang w:val="es-ES"/>
        </w:rPr>
        <w:t xml:space="preserve">La Federazione </w:t>
      </w:r>
      <w:r w:rsidR="00D77868">
        <w:rPr>
          <w:rFonts w:ascii="Calibri Light" w:eastAsia="Times New Roman" w:hAnsi="Calibri Light" w:cs="Calibri Light"/>
          <w:lang w:val="es-ES"/>
        </w:rPr>
        <w:t>e</w:t>
      </w:r>
      <w:r w:rsidR="0020544B">
        <w:rPr>
          <w:rFonts w:ascii="Calibri Light" w:eastAsia="Times New Roman" w:hAnsi="Calibri Light" w:cs="Calibri Light"/>
          <w:lang w:val="es-ES"/>
        </w:rPr>
        <w:t>uropea dell’</w:t>
      </w:r>
      <w:r w:rsidR="00D77868">
        <w:rPr>
          <w:rFonts w:ascii="Calibri Light" w:eastAsia="Times New Roman" w:hAnsi="Calibri Light" w:cs="Calibri Light"/>
          <w:lang w:val="es-ES"/>
        </w:rPr>
        <w:t>a</w:t>
      </w:r>
      <w:r w:rsidR="0020544B">
        <w:rPr>
          <w:rFonts w:ascii="Calibri Light" w:eastAsia="Times New Roman" w:hAnsi="Calibri Light" w:cs="Calibri Light"/>
          <w:lang w:val="es-ES"/>
        </w:rPr>
        <w:t xml:space="preserve">zionariato dei </w:t>
      </w:r>
      <w:r w:rsidR="00D77868">
        <w:rPr>
          <w:rFonts w:ascii="Calibri Light" w:eastAsia="Times New Roman" w:hAnsi="Calibri Light" w:cs="Calibri Light"/>
          <w:lang w:val="es-ES"/>
        </w:rPr>
        <w:t>d</w:t>
      </w:r>
      <w:bookmarkStart w:id="1" w:name="_GoBack"/>
      <w:bookmarkEnd w:id="1"/>
      <w:r w:rsidR="0020544B">
        <w:rPr>
          <w:rFonts w:ascii="Calibri Light" w:eastAsia="Times New Roman" w:hAnsi="Calibri Light" w:cs="Calibri Light"/>
          <w:lang w:val="es-ES"/>
        </w:rPr>
        <w:t>ipendenti (</w:t>
      </w:r>
      <w:r w:rsidR="002078AD">
        <w:rPr>
          <w:rFonts w:ascii="Calibri Light" w:eastAsia="Times New Roman" w:hAnsi="Calibri Light" w:cs="Calibri Light"/>
          <w:lang w:val="es-ES"/>
        </w:rPr>
        <w:t>EFES</w:t>
      </w:r>
      <w:r w:rsidR="0020544B">
        <w:rPr>
          <w:rFonts w:ascii="Calibri Light" w:eastAsia="Times New Roman" w:hAnsi="Calibri Light" w:cs="Calibri Light"/>
          <w:lang w:val="es-ES"/>
        </w:rPr>
        <w:t xml:space="preserve">), membro </w:t>
      </w:r>
      <w:r w:rsidR="002078AD">
        <w:rPr>
          <w:rFonts w:ascii="Calibri Light" w:eastAsia="Times New Roman" w:hAnsi="Calibri Light" w:cs="Calibri Light"/>
          <w:lang w:val="es-ES"/>
        </w:rPr>
        <w:t xml:space="preserve"> </w:t>
      </w:r>
      <w:r w:rsidR="0020544B">
        <w:rPr>
          <w:rFonts w:ascii="Calibri Light" w:eastAsia="Times New Roman" w:hAnsi="Calibri Light" w:cs="Calibri Light"/>
          <w:lang w:val="es-ES"/>
        </w:rPr>
        <w:t xml:space="preserve">di BETTER FINANCE, considerata </w:t>
      </w:r>
      <w:r w:rsidRPr="00977AC4">
        <w:rPr>
          <w:rFonts w:ascii="Calibri Light" w:eastAsia="Times New Roman" w:hAnsi="Calibri Light" w:cs="Calibri Light"/>
          <w:lang w:val="es-ES"/>
        </w:rPr>
        <w:t xml:space="preserve">l'attuale crisi che richiede un rafforzamento del legame tra i dipendenti e le loro aziende, soprattutto nel caso delle PMI, ha lanciato una </w:t>
      </w:r>
      <w:r>
        <w:fldChar w:fldCharType="begin"/>
      </w:r>
      <w:r w:rsidRPr="00977AC4">
        <w:rPr>
          <w:lang w:val="es-ES"/>
        </w:rPr>
        <w:instrText xml:space="preserve"> HYPERLINK  "http://www.efesonline.org/corona/EN.htm" </w:instrText>
      </w:r>
      <w:r>
        <w:fldChar w:fldCharType="separate"/>
      </w:r>
      <w:r w:rsidRPr="00977AC4">
        <w:rPr>
          <w:rStyle w:val="Collegamentoipertestuale"/>
          <w:rFonts w:ascii="Calibri Light" w:eastAsia="Times New Roman" w:hAnsi="Calibri Light" w:cs="Calibri Light"/>
          <w:lang w:val="es-ES"/>
        </w:rPr>
        <w:t xml:space="preserve">proposta concreta </w:t>
      </w:r>
      <w:r>
        <w:rPr>
          <w:rStyle w:val="Collegamentoipertestuale"/>
          <w:rFonts w:ascii="Calibri Light" w:eastAsia="Times New Roman" w:hAnsi="Calibri Light" w:cs="Calibri Light"/>
        </w:rPr>
        <w:fldChar w:fldCharType="end"/>
      </w:r>
      <w:r w:rsidRPr="00977AC4">
        <w:rPr>
          <w:rFonts w:ascii="Calibri Light" w:eastAsia="Times New Roman" w:hAnsi="Calibri Light" w:cs="Calibri Light"/>
          <w:lang w:val="es-ES"/>
        </w:rPr>
        <w:t xml:space="preserve">su come cooptare le partecipazioni azionarie dei dipendenti </w:t>
      </w:r>
      <w:r w:rsidRPr="00A1431B">
        <w:rPr>
          <w:rFonts w:ascii="Calibri Light" w:eastAsia="Times New Roman" w:hAnsi="Calibri Light" w:cs="Calibri Light"/>
          <w:lang w:val="es-ES"/>
        </w:rPr>
        <w:t>(E</w:t>
      </w:r>
      <w:r w:rsidR="00A1431B">
        <w:rPr>
          <w:rFonts w:ascii="Calibri Light" w:eastAsia="Times New Roman" w:hAnsi="Calibri Light" w:cs="Calibri Light"/>
          <w:lang w:val="es-ES"/>
        </w:rPr>
        <w:t>mployee Stock Ownership, ESO</w:t>
      </w:r>
      <w:r w:rsidRPr="00A1431B">
        <w:rPr>
          <w:rFonts w:ascii="Calibri Light" w:eastAsia="Times New Roman" w:hAnsi="Calibri Light" w:cs="Calibri Light"/>
          <w:lang w:val="es-ES"/>
        </w:rPr>
        <w:t>)</w:t>
      </w:r>
      <w:r w:rsidRPr="00977AC4">
        <w:rPr>
          <w:rFonts w:ascii="Calibri Light" w:eastAsia="Times New Roman" w:hAnsi="Calibri Light" w:cs="Calibri Light"/>
          <w:lang w:val="es-ES"/>
        </w:rPr>
        <w:t xml:space="preserve"> per aiutare a finanziare le aziende minacciate di fallimento </w:t>
      </w:r>
      <w:r w:rsidR="0020544B">
        <w:rPr>
          <w:rFonts w:ascii="Calibri Light" w:eastAsia="Times New Roman" w:hAnsi="Calibri Light" w:cs="Calibri Light"/>
          <w:lang w:val="es-ES"/>
        </w:rPr>
        <w:t>a causa de</w:t>
      </w:r>
      <w:r w:rsidRPr="00977AC4">
        <w:rPr>
          <w:rFonts w:ascii="Calibri Light" w:eastAsia="Times New Roman" w:hAnsi="Calibri Light" w:cs="Calibri Light"/>
          <w:lang w:val="es-ES"/>
        </w:rPr>
        <w:t xml:space="preserve">lla pandemia e integrare </w:t>
      </w:r>
      <w:r w:rsidR="0020544B">
        <w:rPr>
          <w:rFonts w:ascii="Calibri Light" w:eastAsia="Times New Roman" w:hAnsi="Calibri Light" w:cs="Calibri Light"/>
          <w:lang w:val="es-ES"/>
        </w:rPr>
        <w:t>le iniziative de</w:t>
      </w:r>
      <w:r w:rsidRPr="00977AC4">
        <w:rPr>
          <w:rFonts w:ascii="Calibri Light" w:eastAsia="Times New Roman" w:hAnsi="Calibri Light" w:cs="Calibri Light"/>
          <w:lang w:val="es-ES"/>
        </w:rPr>
        <w:t xml:space="preserve">i governi </w:t>
      </w:r>
      <w:r w:rsidR="0020544B">
        <w:rPr>
          <w:rFonts w:ascii="Calibri Light" w:eastAsia="Times New Roman" w:hAnsi="Calibri Light" w:cs="Calibri Light"/>
          <w:lang w:val="es-ES"/>
        </w:rPr>
        <w:t xml:space="preserve">per </w:t>
      </w:r>
      <w:r w:rsidRPr="00977AC4">
        <w:rPr>
          <w:rFonts w:ascii="Calibri Light" w:eastAsia="Times New Roman" w:hAnsi="Calibri Light" w:cs="Calibri Light"/>
          <w:lang w:val="es-ES"/>
        </w:rPr>
        <w:t>contr</w:t>
      </w:r>
      <w:r w:rsidR="0020544B">
        <w:rPr>
          <w:rFonts w:ascii="Calibri Light" w:eastAsia="Times New Roman" w:hAnsi="Calibri Light" w:cs="Calibri Light"/>
          <w:lang w:val="es-ES"/>
        </w:rPr>
        <w:t xml:space="preserve">astare </w:t>
      </w:r>
      <w:r w:rsidRPr="00977AC4">
        <w:rPr>
          <w:rFonts w:ascii="Calibri Light" w:eastAsia="Times New Roman" w:hAnsi="Calibri Light" w:cs="Calibri Light"/>
          <w:lang w:val="es-ES"/>
        </w:rPr>
        <w:t xml:space="preserve">le conseguenze della crisi. </w:t>
      </w:r>
    </w:p>
    <w:p w14:paraId="0F775C9C" w14:textId="1B896736" w:rsidR="0080152A" w:rsidRPr="00977AC4" w:rsidRDefault="00861741">
      <w:pPr>
        <w:spacing w:after="120"/>
        <w:jc w:val="both"/>
        <w:rPr>
          <w:rFonts w:ascii="Calibri Light" w:eastAsia="Times New Roman" w:hAnsi="Calibri Light" w:cs="Calibri Light"/>
          <w:lang w:val="es-ES"/>
        </w:rPr>
      </w:pPr>
      <w:r w:rsidRPr="00977AC4">
        <w:rPr>
          <w:rFonts w:ascii="Calibri Light" w:eastAsia="Times New Roman" w:hAnsi="Calibri Light" w:cs="Calibri Light"/>
          <w:lang w:val="es-ES"/>
        </w:rPr>
        <w:t>Con un costo enorme per i contribuenti, in tutta l'UE si stanno erogando aiuti di Stato senza precedenti, ma necessari, volti ad aiutare le aziende a superare i problemi di liquidità e ad evitare</w:t>
      </w:r>
      <w:r w:rsidR="00181D6A">
        <w:rPr>
          <w:rFonts w:ascii="Calibri Light" w:eastAsia="Times New Roman" w:hAnsi="Calibri Light" w:cs="Calibri Light"/>
          <w:lang w:val="es-ES"/>
        </w:rPr>
        <w:t xml:space="preserve"> la bancarotta</w:t>
      </w:r>
      <w:r w:rsidRPr="00977AC4">
        <w:rPr>
          <w:rFonts w:ascii="Calibri Light" w:eastAsia="Times New Roman" w:hAnsi="Calibri Light" w:cs="Calibri Light"/>
          <w:lang w:val="es-ES"/>
        </w:rPr>
        <w:t xml:space="preserve">. Ma cosa succederebbe se queste somme colossali potessero essere utilizzate in modo migliore e più efficiente, aiutando i dipendenti a diventare azionisti delle imprese? </w:t>
      </w:r>
    </w:p>
    <w:p w14:paraId="712873A2" w14:textId="3643EE43" w:rsidR="0080152A" w:rsidRPr="00A1431B" w:rsidRDefault="00861741">
      <w:pPr>
        <w:spacing w:after="120"/>
        <w:jc w:val="both"/>
        <w:rPr>
          <w:rFonts w:ascii="Calibri Light" w:eastAsia="Times New Roman" w:hAnsi="Calibri Light" w:cs="Calibri Light"/>
          <w:lang w:val="es-ES"/>
        </w:rPr>
      </w:pPr>
      <w:r w:rsidRPr="00977AC4">
        <w:rPr>
          <w:rFonts w:ascii="Calibri Light" w:eastAsia="Times New Roman" w:hAnsi="Calibri Light" w:cs="Calibri Light"/>
          <w:lang w:val="es-ES"/>
        </w:rPr>
        <w:t xml:space="preserve">L'economia europea ha un disperato bisogno di un modello di </w:t>
      </w:r>
      <w:r w:rsidRPr="00A1431B">
        <w:rPr>
          <w:rFonts w:ascii="Calibri Light" w:eastAsia="Times New Roman" w:hAnsi="Calibri Light" w:cs="Calibri Light"/>
          <w:lang w:val="es-ES"/>
        </w:rPr>
        <w:t xml:space="preserve">ESO che </w:t>
      </w:r>
      <w:r w:rsidR="00181D6A" w:rsidRPr="00A1431B">
        <w:rPr>
          <w:rFonts w:ascii="Calibri Light" w:eastAsia="Times New Roman" w:hAnsi="Calibri Light" w:cs="Calibri Light"/>
          <w:lang w:val="es-ES"/>
        </w:rPr>
        <w:t>– co</w:t>
      </w:r>
      <w:r w:rsidRPr="00A1431B">
        <w:rPr>
          <w:rFonts w:ascii="Calibri Light" w:eastAsia="Times New Roman" w:hAnsi="Calibri Light" w:cs="Calibri Light"/>
          <w:lang w:val="es-ES"/>
        </w:rPr>
        <w:t xml:space="preserve">me negli Stati Uniti </w:t>
      </w:r>
      <w:r w:rsidR="00181D6A" w:rsidRPr="00A1431B">
        <w:rPr>
          <w:rFonts w:ascii="Calibri Light" w:eastAsia="Times New Roman" w:hAnsi="Calibri Light" w:cs="Calibri Light"/>
          <w:lang w:val="es-ES"/>
        </w:rPr>
        <w:t>– consenta</w:t>
      </w:r>
      <w:r w:rsidRPr="00A1431B">
        <w:rPr>
          <w:rFonts w:ascii="Calibri Light" w:eastAsia="Times New Roman" w:hAnsi="Calibri Light" w:cs="Calibri Light"/>
          <w:lang w:val="es-ES"/>
        </w:rPr>
        <w:t xml:space="preserve"> </w:t>
      </w:r>
      <w:r w:rsidR="00181D6A" w:rsidRPr="00A1431B">
        <w:rPr>
          <w:rFonts w:ascii="Calibri Light" w:eastAsia="Times New Roman" w:hAnsi="Calibri Light" w:cs="Calibri Light"/>
          <w:lang w:val="es-ES"/>
        </w:rPr>
        <w:t xml:space="preserve">ai dipendenti di effettuare </w:t>
      </w:r>
      <w:r w:rsidRPr="00A1431B">
        <w:rPr>
          <w:rFonts w:ascii="Calibri Light" w:eastAsia="Times New Roman" w:hAnsi="Calibri Light" w:cs="Calibri Light"/>
          <w:lang w:val="es-ES"/>
        </w:rPr>
        <w:t>l'acquisizione</w:t>
      </w:r>
      <w:r w:rsidR="00181D6A" w:rsidRPr="00A1431B">
        <w:rPr>
          <w:rFonts w:ascii="Calibri Light" w:eastAsia="Times New Roman" w:hAnsi="Calibri Light" w:cs="Calibri Light"/>
          <w:lang w:val="es-ES"/>
        </w:rPr>
        <w:t xml:space="preserve"> inclusiva e accessibile dal punto di vista finanziario, attraverso l’indebitamento (leveraged buyout),</w:t>
      </w:r>
      <w:r w:rsidRPr="00A1431B">
        <w:rPr>
          <w:rFonts w:ascii="Calibri Light" w:eastAsia="Times New Roman" w:hAnsi="Calibri Light" w:cs="Calibri Light"/>
          <w:lang w:val="es-ES"/>
        </w:rPr>
        <w:t xml:space="preserve"> di </w:t>
      </w:r>
      <w:r w:rsidR="00181D6A" w:rsidRPr="00A1431B">
        <w:rPr>
          <w:rFonts w:ascii="Calibri Light" w:eastAsia="Times New Roman" w:hAnsi="Calibri Light" w:cs="Calibri Light"/>
          <w:lang w:val="es-ES"/>
        </w:rPr>
        <w:t xml:space="preserve">una </w:t>
      </w:r>
      <w:r w:rsidRPr="00A1431B">
        <w:rPr>
          <w:rFonts w:ascii="Calibri Light" w:eastAsia="Times New Roman" w:hAnsi="Calibri Light" w:cs="Calibri Light"/>
          <w:lang w:val="es-ES"/>
        </w:rPr>
        <w:t xml:space="preserve">parte o </w:t>
      </w:r>
      <w:r w:rsidR="00181D6A" w:rsidRPr="00A1431B">
        <w:rPr>
          <w:rFonts w:ascii="Calibri Light" w:eastAsia="Times New Roman" w:hAnsi="Calibri Light" w:cs="Calibri Light"/>
          <w:lang w:val="es-ES"/>
        </w:rPr>
        <w:t xml:space="preserve">persino dell’intera </w:t>
      </w:r>
      <w:r w:rsidRPr="00A1431B">
        <w:rPr>
          <w:rFonts w:ascii="Calibri Light" w:eastAsia="Times New Roman" w:hAnsi="Calibri Light" w:cs="Calibri Light"/>
          <w:lang w:val="es-ES"/>
        </w:rPr>
        <w:t>azienda. BETTER FINANCE sostiene</w:t>
      </w:r>
      <w:r w:rsidR="00181D6A" w:rsidRPr="00A1431B">
        <w:rPr>
          <w:rFonts w:ascii="Calibri Light" w:eastAsia="Times New Roman" w:hAnsi="Calibri Light" w:cs="Calibri Light"/>
          <w:lang w:val="es-ES"/>
        </w:rPr>
        <w:t xml:space="preserve"> fermamente </w:t>
      </w:r>
      <w:r w:rsidRPr="00A1431B">
        <w:rPr>
          <w:rFonts w:ascii="Calibri Light" w:eastAsia="Times New Roman" w:hAnsi="Calibri Light" w:cs="Calibri Light"/>
          <w:lang w:val="es-ES"/>
        </w:rPr>
        <w:t>la proposta dell'EFES di utilizzare il modello dell'Employee Stock Ownership Plan (ESOP)</w:t>
      </w:r>
      <w:r w:rsidR="00181D6A" w:rsidRPr="00A1431B">
        <w:rPr>
          <w:rFonts w:ascii="Calibri Light" w:eastAsia="Times New Roman" w:hAnsi="Calibri Light" w:cs="Calibri Light"/>
          <w:lang w:val="es-ES"/>
        </w:rPr>
        <w:t xml:space="preserve">, ideato espressamente per le </w:t>
      </w:r>
      <w:r w:rsidRPr="00A1431B">
        <w:rPr>
          <w:rFonts w:ascii="Calibri Light" w:eastAsia="Times New Roman" w:hAnsi="Calibri Light" w:cs="Calibri Light"/>
          <w:lang w:val="es-ES"/>
        </w:rPr>
        <w:t xml:space="preserve">PMI e onnipresente negli Stati Uniti dal 1974, </w:t>
      </w:r>
      <w:r w:rsidR="005B4B1A" w:rsidRPr="00A1431B">
        <w:rPr>
          <w:rFonts w:ascii="Calibri Light" w:eastAsia="Times New Roman" w:hAnsi="Calibri Light" w:cs="Calibri Light"/>
          <w:lang w:val="es-ES"/>
        </w:rPr>
        <w:t xml:space="preserve">pur essendo </w:t>
      </w:r>
      <w:r w:rsidRPr="00A1431B">
        <w:rPr>
          <w:rFonts w:ascii="Calibri Light" w:eastAsia="Times New Roman" w:hAnsi="Calibri Light" w:cs="Calibri Light"/>
          <w:lang w:val="es-ES"/>
        </w:rPr>
        <w:t xml:space="preserve">ancora </w:t>
      </w:r>
      <w:r w:rsidR="005B4B1A" w:rsidRPr="00A1431B">
        <w:rPr>
          <w:rFonts w:ascii="Calibri Light" w:eastAsia="Times New Roman" w:hAnsi="Calibri Light" w:cs="Calibri Light"/>
          <w:lang w:val="es-ES"/>
        </w:rPr>
        <w:t xml:space="preserve">ampiamente </w:t>
      </w:r>
      <w:r w:rsidRPr="00A1431B">
        <w:rPr>
          <w:rFonts w:ascii="Calibri Light" w:eastAsia="Times New Roman" w:hAnsi="Calibri Light" w:cs="Calibri Light"/>
          <w:lang w:val="es-ES"/>
        </w:rPr>
        <w:t xml:space="preserve">sconosciuto in Europa. </w:t>
      </w:r>
    </w:p>
    <w:p w14:paraId="37E8F913" w14:textId="0C95E8FA" w:rsidR="0080152A" w:rsidRPr="00977AC4" w:rsidRDefault="00861741">
      <w:pPr>
        <w:spacing w:after="120"/>
        <w:jc w:val="both"/>
        <w:rPr>
          <w:rFonts w:ascii="Calibri Light" w:eastAsia="Times New Roman" w:hAnsi="Calibri Light" w:cs="Calibri Light"/>
          <w:lang w:val="es-ES"/>
        </w:rPr>
      </w:pPr>
      <w:r w:rsidRPr="00A1431B">
        <w:rPr>
          <w:rFonts w:ascii="Calibri Light" w:eastAsia="Times New Roman" w:hAnsi="Calibri Light" w:cs="Calibri Light"/>
          <w:lang w:val="es-ES"/>
        </w:rPr>
        <w:t xml:space="preserve">La proposta </w:t>
      </w:r>
      <w:r w:rsidR="00BB34D0" w:rsidRPr="00A1431B">
        <w:rPr>
          <w:rFonts w:ascii="Calibri Light" w:eastAsia="Times New Roman" w:hAnsi="Calibri Light" w:cs="Calibri Light"/>
          <w:lang w:val="es-ES"/>
        </w:rPr>
        <w:t xml:space="preserve">mira a </w:t>
      </w:r>
      <w:r w:rsidRPr="00A1431B">
        <w:rPr>
          <w:rFonts w:ascii="Calibri Light" w:eastAsia="Times New Roman" w:hAnsi="Calibri Light" w:cs="Calibri Light"/>
          <w:lang w:val="es-ES"/>
        </w:rPr>
        <w:t>svilupp</w:t>
      </w:r>
      <w:r w:rsidR="00BB34D0" w:rsidRPr="00A1431B">
        <w:rPr>
          <w:rFonts w:ascii="Calibri Light" w:eastAsia="Times New Roman" w:hAnsi="Calibri Light" w:cs="Calibri Light"/>
          <w:lang w:val="es-ES"/>
        </w:rPr>
        <w:t xml:space="preserve">are </w:t>
      </w:r>
      <w:r w:rsidRPr="00A1431B">
        <w:rPr>
          <w:rFonts w:ascii="Calibri Light" w:eastAsia="Times New Roman" w:hAnsi="Calibri Light" w:cs="Calibri Light"/>
          <w:lang w:val="es-ES"/>
        </w:rPr>
        <w:t xml:space="preserve">un modello </w:t>
      </w:r>
      <w:r w:rsidR="00BB34D0" w:rsidRPr="00A1431B">
        <w:rPr>
          <w:rFonts w:ascii="Calibri Light" w:eastAsia="Times New Roman" w:hAnsi="Calibri Light" w:cs="Calibri Light"/>
          <w:lang w:val="es-ES"/>
        </w:rPr>
        <w:t xml:space="preserve">di ESOP </w:t>
      </w:r>
      <w:r w:rsidRPr="00A1431B">
        <w:rPr>
          <w:rFonts w:ascii="Calibri Light" w:eastAsia="Times New Roman" w:hAnsi="Calibri Light" w:cs="Calibri Light"/>
          <w:lang w:val="es-ES"/>
        </w:rPr>
        <w:t xml:space="preserve">europeo </w:t>
      </w:r>
      <w:r w:rsidR="00BB34D0" w:rsidRPr="00A1431B">
        <w:rPr>
          <w:rFonts w:ascii="Calibri Light" w:eastAsia="Times New Roman" w:hAnsi="Calibri Light" w:cs="Calibri Light"/>
          <w:lang w:val="es-ES"/>
        </w:rPr>
        <w:t>generico</w:t>
      </w:r>
      <w:r w:rsidR="00BB34D0">
        <w:rPr>
          <w:rFonts w:ascii="Calibri Light" w:eastAsia="Times New Roman" w:hAnsi="Calibri Light" w:cs="Calibri Light"/>
          <w:lang w:val="es-ES"/>
        </w:rPr>
        <w:t xml:space="preserve"> </w:t>
      </w:r>
      <w:r w:rsidRPr="00977AC4">
        <w:rPr>
          <w:rFonts w:ascii="Calibri Light" w:eastAsia="Times New Roman" w:hAnsi="Calibri Light" w:cs="Calibri Light"/>
          <w:lang w:val="es-ES"/>
        </w:rPr>
        <w:t xml:space="preserve">come piano pensionistico, da adattare alle </w:t>
      </w:r>
      <w:r w:rsidR="00BB34D0">
        <w:rPr>
          <w:rFonts w:ascii="Calibri Light" w:eastAsia="Times New Roman" w:hAnsi="Calibri Light" w:cs="Calibri Light"/>
          <w:lang w:val="es-ES"/>
        </w:rPr>
        <w:t xml:space="preserve">specificità giuridiche </w:t>
      </w:r>
      <w:r w:rsidRPr="00977AC4">
        <w:rPr>
          <w:rFonts w:ascii="Calibri Light" w:eastAsia="Times New Roman" w:hAnsi="Calibri Light" w:cs="Calibri Light"/>
          <w:lang w:val="es-ES"/>
        </w:rPr>
        <w:t xml:space="preserve">e fiscali di ogni Stato </w:t>
      </w:r>
      <w:r w:rsidR="00BB34D0">
        <w:rPr>
          <w:rFonts w:ascii="Calibri Light" w:eastAsia="Times New Roman" w:hAnsi="Calibri Light" w:cs="Calibri Light"/>
          <w:lang w:val="es-ES"/>
        </w:rPr>
        <w:t>membro dell'UE al momento dell'attuazione</w:t>
      </w:r>
      <w:r w:rsidRPr="00977AC4">
        <w:rPr>
          <w:rFonts w:ascii="Calibri Light" w:eastAsia="Times New Roman" w:hAnsi="Calibri Light" w:cs="Calibri Light"/>
          <w:lang w:val="es-ES"/>
        </w:rPr>
        <w:t xml:space="preserve">. Un tale piano di partecipazione azionaria dei dipendenti a lungo termine </w:t>
      </w:r>
      <w:r w:rsidR="00BB34D0">
        <w:rPr>
          <w:rFonts w:ascii="Calibri Light" w:eastAsia="Times New Roman" w:hAnsi="Calibri Light" w:cs="Calibri Light"/>
          <w:lang w:val="es-ES"/>
        </w:rPr>
        <w:t xml:space="preserve">trarrebbe vantaggio da </w:t>
      </w:r>
      <w:r w:rsidRPr="00977AC4">
        <w:rPr>
          <w:rFonts w:ascii="Calibri Light" w:eastAsia="Times New Roman" w:hAnsi="Calibri Light" w:cs="Calibri Light"/>
          <w:lang w:val="es-ES"/>
        </w:rPr>
        <w:t xml:space="preserve">un modello di finanziamento intelligente, basato su un sistema fiscale originale, consentendo così al modello ESOP di sostituire tutte le altre formule di partecipazione azionaria dei dipendenti utilizzate </w:t>
      </w:r>
      <w:r w:rsidR="00BB34D0">
        <w:rPr>
          <w:rFonts w:ascii="Calibri Light" w:eastAsia="Times New Roman" w:hAnsi="Calibri Light" w:cs="Calibri Light"/>
          <w:lang w:val="es-ES"/>
        </w:rPr>
        <w:t xml:space="preserve">al momento </w:t>
      </w:r>
      <w:r w:rsidRPr="00977AC4">
        <w:rPr>
          <w:rFonts w:ascii="Calibri Light" w:eastAsia="Times New Roman" w:hAnsi="Calibri Light" w:cs="Calibri Light"/>
          <w:lang w:val="es-ES"/>
        </w:rPr>
        <w:t>dalle PMI.</w:t>
      </w:r>
    </w:p>
    <w:p w14:paraId="7FA8250A" w14:textId="09397024" w:rsidR="0080152A" w:rsidRPr="00977AC4" w:rsidRDefault="00861741">
      <w:pPr>
        <w:spacing w:after="120"/>
        <w:jc w:val="both"/>
        <w:rPr>
          <w:lang w:val="es-ES"/>
        </w:rPr>
      </w:pPr>
      <w:r w:rsidRPr="00977AC4">
        <w:rPr>
          <w:rFonts w:ascii="Calibri Light" w:eastAsia="Times New Roman" w:hAnsi="Calibri Light" w:cs="Calibri Light"/>
          <w:lang w:val="es-ES"/>
        </w:rPr>
        <w:t xml:space="preserve">L'ESO può svolgere un ruolo cruciale nell'aumentare la resilienza delle imprese e nel ridurre la fluttuazione dell'occupazione in tempi di crisi economica. </w:t>
      </w:r>
      <w:r w:rsidR="00A1431B">
        <w:rPr>
          <w:rFonts w:ascii="Calibri Light" w:eastAsia="Times New Roman" w:hAnsi="Calibri Light" w:cs="Calibri Light"/>
          <w:lang w:val="es-ES"/>
        </w:rPr>
        <w:t xml:space="preserve">Sembra infatti </w:t>
      </w:r>
      <w:r w:rsidRPr="00977AC4">
        <w:rPr>
          <w:rFonts w:ascii="Calibri Light" w:eastAsia="Times New Roman" w:hAnsi="Calibri Light" w:cs="Calibri Light"/>
          <w:lang w:val="es-ES"/>
        </w:rPr>
        <w:t xml:space="preserve">che le aziende con piani di </w:t>
      </w:r>
      <w:r w:rsidR="00761312">
        <w:rPr>
          <w:rFonts w:ascii="Calibri Light" w:eastAsia="Times New Roman" w:hAnsi="Calibri Light" w:cs="Calibri Light"/>
          <w:lang w:val="es-ES"/>
        </w:rPr>
        <w:t xml:space="preserve">azionariato </w:t>
      </w:r>
      <w:r w:rsidRPr="00977AC4">
        <w:rPr>
          <w:rFonts w:ascii="Calibri Light" w:eastAsia="Times New Roman" w:hAnsi="Calibri Light" w:cs="Calibri Light"/>
          <w:lang w:val="es-ES"/>
        </w:rPr>
        <w:t xml:space="preserve">dei dipendenti </w:t>
      </w:r>
      <w:r w:rsidR="00A1431B">
        <w:rPr>
          <w:rFonts w:ascii="Calibri Light" w:eastAsia="Times New Roman" w:hAnsi="Calibri Light" w:cs="Calibri Light"/>
          <w:lang w:val="es-ES"/>
        </w:rPr>
        <w:t xml:space="preserve">abbiano minori </w:t>
      </w:r>
      <w:r w:rsidRPr="00977AC4">
        <w:rPr>
          <w:rFonts w:ascii="Calibri Light" w:eastAsia="Times New Roman" w:hAnsi="Calibri Light" w:cs="Calibri Light"/>
          <w:lang w:val="es-ES"/>
        </w:rPr>
        <w:t xml:space="preserve">probabilità di fallire </w:t>
      </w:r>
      <w:r w:rsidR="00761312">
        <w:rPr>
          <w:rFonts w:ascii="Calibri Light" w:eastAsia="Times New Roman" w:hAnsi="Calibri Light" w:cs="Calibri Light"/>
          <w:lang w:val="es-ES"/>
        </w:rPr>
        <w:t>durante i periodi negativi</w:t>
      </w:r>
      <w:r w:rsidRPr="00977AC4">
        <w:rPr>
          <w:rFonts w:ascii="Calibri Light" w:eastAsia="Times New Roman" w:hAnsi="Calibri Light" w:cs="Calibri Light"/>
          <w:lang w:val="es-ES"/>
        </w:rPr>
        <w:t>.</w:t>
      </w:r>
      <w:r>
        <w:rPr>
          <w:rStyle w:val="Rimandonotaapidipagina"/>
          <w:rFonts w:ascii="Calibri Light" w:eastAsia="Times New Roman" w:hAnsi="Calibri Light" w:cs="Calibri Light"/>
        </w:rPr>
        <w:footnoteReference w:id="1"/>
      </w:r>
    </w:p>
    <w:p w14:paraId="70A1FA59" w14:textId="4ECA3A5D" w:rsidR="0080152A" w:rsidRPr="00977AC4" w:rsidRDefault="00861741">
      <w:pPr>
        <w:spacing w:after="120"/>
        <w:jc w:val="both"/>
        <w:rPr>
          <w:rFonts w:ascii="Calibri Light" w:eastAsia="Times New Roman" w:hAnsi="Calibri Light" w:cs="Calibri Light"/>
          <w:lang w:val="es-ES"/>
        </w:rPr>
      </w:pPr>
      <w:r w:rsidRPr="00977AC4">
        <w:rPr>
          <w:rFonts w:ascii="Calibri Light" w:eastAsia="Times New Roman" w:hAnsi="Calibri Light" w:cs="Calibri Light"/>
          <w:lang w:val="es-ES"/>
        </w:rPr>
        <w:t>BETTER FINANCE ritiene che la partecipazione azionaria dei dipendenti sia fondamentale per affrontare l'i</w:t>
      </w:r>
      <w:r w:rsidR="00761312">
        <w:rPr>
          <w:rFonts w:ascii="Calibri Light" w:eastAsia="Times New Roman" w:hAnsi="Calibri Light" w:cs="Calibri Light"/>
          <w:lang w:val="es-ES"/>
        </w:rPr>
        <w:t xml:space="preserve">ncombente </w:t>
      </w:r>
      <w:r w:rsidRPr="00977AC4">
        <w:rPr>
          <w:rFonts w:ascii="Calibri Light" w:eastAsia="Times New Roman" w:hAnsi="Calibri Light" w:cs="Calibri Light"/>
          <w:lang w:val="es-ES"/>
        </w:rPr>
        <w:t>crisi finanziaria d</w:t>
      </w:r>
      <w:r w:rsidR="00761312">
        <w:rPr>
          <w:rFonts w:ascii="Calibri Light" w:eastAsia="Times New Roman" w:hAnsi="Calibri Light" w:cs="Calibri Light"/>
          <w:lang w:val="es-ES"/>
        </w:rPr>
        <w:t xml:space="preserve">ovuta al </w:t>
      </w:r>
      <w:r w:rsidRPr="00977AC4">
        <w:rPr>
          <w:rFonts w:ascii="Calibri Light" w:eastAsia="Times New Roman" w:hAnsi="Calibri Light" w:cs="Calibri Light"/>
          <w:lang w:val="es-ES"/>
        </w:rPr>
        <w:t>C</w:t>
      </w:r>
      <w:r w:rsidR="00D44F7C">
        <w:rPr>
          <w:rFonts w:ascii="Calibri Light" w:eastAsia="Times New Roman" w:hAnsi="Calibri Light" w:cs="Calibri Light"/>
          <w:lang w:val="es-ES"/>
        </w:rPr>
        <w:t>ovid</w:t>
      </w:r>
      <w:r w:rsidRPr="00977AC4">
        <w:rPr>
          <w:rFonts w:ascii="Calibri Light" w:eastAsia="Times New Roman" w:hAnsi="Calibri Light" w:cs="Calibri Light"/>
          <w:lang w:val="es-ES"/>
        </w:rPr>
        <w:t xml:space="preserve">-19, </w:t>
      </w:r>
      <w:r w:rsidR="00761312">
        <w:rPr>
          <w:rFonts w:ascii="Calibri Light" w:eastAsia="Times New Roman" w:hAnsi="Calibri Light" w:cs="Calibri Light"/>
          <w:lang w:val="es-ES"/>
        </w:rPr>
        <w:t xml:space="preserve">ed essenziale </w:t>
      </w:r>
      <w:r w:rsidRPr="00977AC4">
        <w:rPr>
          <w:rFonts w:ascii="Calibri Light" w:eastAsia="Times New Roman" w:hAnsi="Calibri Light" w:cs="Calibri Light"/>
          <w:lang w:val="es-ES"/>
        </w:rPr>
        <w:t xml:space="preserve">anche per il successo dell'Unione dei </w:t>
      </w:r>
      <w:r w:rsidR="00761312">
        <w:rPr>
          <w:rFonts w:ascii="Calibri Light" w:eastAsia="Times New Roman" w:hAnsi="Calibri Light" w:cs="Calibri Light"/>
          <w:lang w:val="es-ES"/>
        </w:rPr>
        <w:t>m</w:t>
      </w:r>
      <w:r w:rsidRPr="00977AC4">
        <w:rPr>
          <w:rFonts w:ascii="Calibri Light" w:eastAsia="Times New Roman" w:hAnsi="Calibri Light" w:cs="Calibri Light"/>
          <w:lang w:val="es-ES"/>
        </w:rPr>
        <w:t>ercati dei capitali (Capital Markets Union</w:t>
      </w:r>
      <w:r w:rsidR="00A1431B">
        <w:rPr>
          <w:rFonts w:ascii="Calibri Light" w:eastAsia="Times New Roman" w:hAnsi="Calibri Light" w:cs="Calibri Light"/>
          <w:lang w:val="es-ES"/>
        </w:rPr>
        <w:t>, CMU</w:t>
      </w:r>
      <w:r w:rsidRPr="00977AC4">
        <w:rPr>
          <w:rFonts w:ascii="Calibri Light" w:eastAsia="Times New Roman" w:hAnsi="Calibri Light" w:cs="Calibri Light"/>
          <w:lang w:val="es-ES"/>
        </w:rPr>
        <w:t xml:space="preserve">) e per </w:t>
      </w:r>
      <w:r w:rsidR="00C85C7A">
        <w:rPr>
          <w:rFonts w:ascii="Calibri Light" w:eastAsia="Times New Roman" w:hAnsi="Calibri Light" w:cs="Calibri Light"/>
          <w:lang w:val="es-ES"/>
        </w:rPr>
        <w:t>far riprendere a</w:t>
      </w:r>
      <w:r w:rsidRPr="00977AC4">
        <w:rPr>
          <w:rFonts w:ascii="Calibri Light" w:eastAsia="Times New Roman" w:hAnsi="Calibri Light" w:cs="Calibri Light"/>
          <w:lang w:val="es-ES"/>
        </w:rPr>
        <w:t xml:space="preserve">i cittadini dell'UE </w:t>
      </w:r>
      <w:r w:rsidR="00C85C7A">
        <w:rPr>
          <w:rFonts w:ascii="Calibri Light" w:eastAsia="Times New Roman" w:hAnsi="Calibri Light" w:cs="Calibri Light"/>
          <w:lang w:val="es-ES"/>
        </w:rPr>
        <w:t xml:space="preserve">la familiarità </w:t>
      </w:r>
      <w:r w:rsidRPr="00977AC4">
        <w:rPr>
          <w:rFonts w:ascii="Calibri Light" w:eastAsia="Times New Roman" w:hAnsi="Calibri Light" w:cs="Calibri Light"/>
          <w:lang w:val="es-ES"/>
        </w:rPr>
        <w:t>con le azioni</w:t>
      </w:r>
      <w:r w:rsidR="00C85C7A">
        <w:rPr>
          <w:rFonts w:ascii="Calibri Light" w:eastAsia="Times New Roman" w:hAnsi="Calibri Light" w:cs="Calibri Light"/>
          <w:lang w:val="es-ES"/>
        </w:rPr>
        <w:t xml:space="preserve">, in quanto </w:t>
      </w:r>
      <w:r w:rsidRPr="00977AC4">
        <w:rPr>
          <w:rFonts w:ascii="Calibri Light" w:eastAsia="Times New Roman" w:hAnsi="Calibri Light" w:cs="Calibri Light"/>
          <w:lang w:val="es-ES"/>
        </w:rPr>
        <w:t xml:space="preserve">strumento finanziario più adatto a proteggere </w:t>
      </w:r>
      <w:r w:rsidR="00C85C7A">
        <w:rPr>
          <w:rFonts w:ascii="Calibri Light" w:eastAsia="Times New Roman" w:hAnsi="Calibri Light" w:cs="Calibri Light"/>
          <w:lang w:val="es-ES"/>
        </w:rPr>
        <w:t xml:space="preserve">sul lungo periodo </w:t>
      </w:r>
      <w:r w:rsidRPr="00977AC4">
        <w:rPr>
          <w:rFonts w:ascii="Calibri Light" w:eastAsia="Times New Roman" w:hAnsi="Calibri Light" w:cs="Calibri Light"/>
          <w:lang w:val="es-ES"/>
        </w:rPr>
        <w:t xml:space="preserve">il valore reale dei loro risparmi </w:t>
      </w:r>
      <w:r w:rsidR="00C85C7A">
        <w:rPr>
          <w:rFonts w:ascii="Calibri Light" w:eastAsia="Times New Roman" w:hAnsi="Calibri Light" w:cs="Calibri Light"/>
          <w:lang w:val="es-ES"/>
        </w:rPr>
        <w:t>di una vita</w:t>
      </w:r>
      <w:r w:rsidRPr="00977AC4">
        <w:rPr>
          <w:rFonts w:ascii="Calibri Light" w:eastAsia="Times New Roman" w:hAnsi="Calibri Light" w:cs="Calibri Light"/>
          <w:lang w:val="es-ES"/>
        </w:rPr>
        <w:t xml:space="preserve">. Dopo tutto, l'ESO ha un </w:t>
      </w:r>
      <w:r w:rsidR="00C85C7A">
        <w:rPr>
          <w:rFonts w:ascii="Calibri Light" w:eastAsia="Times New Roman" w:hAnsi="Calibri Light" w:cs="Calibri Light"/>
          <w:lang w:val="es-ES"/>
        </w:rPr>
        <w:t xml:space="preserve">nesso dimostrato </w:t>
      </w:r>
      <w:r w:rsidRPr="00977AC4">
        <w:rPr>
          <w:rFonts w:ascii="Calibri Light" w:eastAsia="Times New Roman" w:hAnsi="Calibri Light" w:cs="Calibri Light"/>
          <w:lang w:val="es-ES"/>
        </w:rPr>
        <w:t xml:space="preserve">e diretto con l'aumento dell'alfabetizzazione </w:t>
      </w:r>
      <w:r w:rsidR="00C85C7A">
        <w:rPr>
          <w:rFonts w:ascii="Calibri Light" w:eastAsia="Times New Roman" w:hAnsi="Calibri Light" w:cs="Calibri Light"/>
          <w:lang w:val="es-ES"/>
        </w:rPr>
        <w:t xml:space="preserve">finanziaria </w:t>
      </w:r>
      <w:r w:rsidRPr="00977AC4">
        <w:rPr>
          <w:rFonts w:ascii="Calibri Light" w:eastAsia="Times New Roman" w:hAnsi="Calibri Light" w:cs="Calibri Light"/>
          <w:lang w:val="es-ES"/>
        </w:rPr>
        <w:t>e dell</w:t>
      </w:r>
      <w:r w:rsidR="00C85C7A">
        <w:rPr>
          <w:rFonts w:ascii="Calibri Light" w:eastAsia="Times New Roman" w:hAnsi="Calibri Light" w:cs="Calibri Light"/>
          <w:lang w:val="es-ES"/>
        </w:rPr>
        <w:t>e competenze nel mercato</w:t>
      </w:r>
      <w:r w:rsidRPr="00977AC4">
        <w:rPr>
          <w:rFonts w:ascii="Calibri Light" w:eastAsia="Times New Roman" w:hAnsi="Calibri Light" w:cs="Calibri Light"/>
          <w:lang w:val="es-ES"/>
        </w:rPr>
        <w:t xml:space="preserve"> azionari</w:t>
      </w:r>
      <w:r w:rsidR="00C85C7A">
        <w:rPr>
          <w:rFonts w:ascii="Calibri Light" w:eastAsia="Times New Roman" w:hAnsi="Calibri Light" w:cs="Calibri Light"/>
          <w:lang w:val="es-ES"/>
        </w:rPr>
        <w:t>o</w:t>
      </w:r>
      <w:r w:rsidRPr="00977AC4">
        <w:rPr>
          <w:rFonts w:ascii="Calibri Light" w:eastAsia="Times New Roman" w:hAnsi="Calibri Light" w:cs="Calibri Light"/>
          <w:lang w:val="es-ES"/>
        </w:rPr>
        <w:t xml:space="preserve"> e dei capitali</w:t>
      </w:r>
      <w:r w:rsidR="00C85C7A">
        <w:rPr>
          <w:rFonts w:ascii="Calibri Light" w:eastAsia="Times New Roman" w:hAnsi="Calibri Light" w:cs="Calibri Light"/>
          <w:lang w:val="es-ES"/>
        </w:rPr>
        <w:t xml:space="preserve">; il luogo </w:t>
      </w:r>
      <w:r w:rsidRPr="00977AC4">
        <w:rPr>
          <w:rFonts w:ascii="Calibri Light" w:eastAsia="Times New Roman" w:hAnsi="Calibri Light" w:cs="Calibri Light"/>
          <w:lang w:val="es-ES"/>
        </w:rPr>
        <w:t xml:space="preserve">di </w:t>
      </w:r>
      <w:r w:rsidRPr="00977AC4">
        <w:rPr>
          <w:rFonts w:ascii="Calibri Light" w:eastAsia="Times New Roman" w:hAnsi="Calibri Light" w:cs="Calibri Light"/>
          <w:lang w:val="es-ES"/>
        </w:rPr>
        <w:lastRenderedPageBreak/>
        <w:t>lavoro</w:t>
      </w:r>
      <w:r w:rsidR="00C85C7A">
        <w:rPr>
          <w:rFonts w:ascii="Calibri Light" w:eastAsia="Times New Roman" w:hAnsi="Calibri Light" w:cs="Calibri Light"/>
          <w:lang w:val="es-ES"/>
        </w:rPr>
        <w:t>, infatti,</w:t>
      </w:r>
      <w:r w:rsidRPr="00977AC4">
        <w:rPr>
          <w:rFonts w:ascii="Calibri Light" w:eastAsia="Times New Roman" w:hAnsi="Calibri Light" w:cs="Calibri Light"/>
          <w:lang w:val="es-ES"/>
        </w:rPr>
        <w:t xml:space="preserve"> è l'unico modo indipendente</w:t>
      </w:r>
      <w:r w:rsidR="00C85C7A">
        <w:rPr>
          <w:rFonts w:ascii="Calibri Light" w:eastAsia="Times New Roman" w:hAnsi="Calibri Light" w:cs="Calibri Light"/>
          <w:lang w:val="es-ES"/>
        </w:rPr>
        <w:t xml:space="preserve"> che hanno </w:t>
      </w:r>
      <w:r w:rsidRPr="00977AC4">
        <w:rPr>
          <w:rFonts w:ascii="Calibri Light" w:eastAsia="Times New Roman" w:hAnsi="Calibri Light" w:cs="Calibri Light"/>
          <w:lang w:val="es-ES"/>
        </w:rPr>
        <w:t xml:space="preserve">gli adulti </w:t>
      </w:r>
      <w:r w:rsidR="00C85C7A">
        <w:rPr>
          <w:rFonts w:ascii="Calibri Light" w:eastAsia="Times New Roman" w:hAnsi="Calibri Light" w:cs="Calibri Light"/>
          <w:lang w:val="es-ES"/>
        </w:rPr>
        <w:t xml:space="preserve">per istruirsi in materia di </w:t>
      </w:r>
      <w:r w:rsidRPr="00977AC4">
        <w:rPr>
          <w:rFonts w:ascii="Calibri Light" w:eastAsia="Times New Roman" w:hAnsi="Calibri Light" w:cs="Calibri Light"/>
          <w:lang w:val="es-ES"/>
        </w:rPr>
        <w:t>mercati dei capitali.</w:t>
      </w:r>
    </w:p>
    <w:p w14:paraId="110E2325" w14:textId="18BF6A5E" w:rsidR="0080152A" w:rsidRPr="00977AC4" w:rsidRDefault="00027CDB">
      <w:pPr>
        <w:spacing w:after="120"/>
        <w:jc w:val="both"/>
        <w:rPr>
          <w:lang w:val="es-ES"/>
        </w:rPr>
      </w:pPr>
      <w:r>
        <w:rPr>
          <w:rFonts w:ascii="Calibri Light" w:eastAsia="Times New Roman" w:hAnsi="Calibri Light" w:cs="Calibri Light"/>
          <w:lang w:val="es-ES"/>
        </w:rPr>
        <w:t xml:space="preserve">Di cruciale importanza, </w:t>
      </w:r>
      <w:r w:rsidR="00861741" w:rsidRPr="00977AC4">
        <w:rPr>
          <w:rFonts w:ascii="Calibri Light" w:eastAsia="Times New Roman" w:hAnsi="Calibri Light" w:cs="Calibri Light"/>
          <w:lang w:val="es-ES"/>
        </w:rPr>
        <w:t xml:space="preserve">l'ESO </w:t>
      </w:r>
      <w:r>
        <w:rPr>
          <w:rFonts w:ascii="Calibri Light" w:eastAsia="Times New Roman" w:hAnsi="Calibri Light" w:cs="Calibri Light"/>
          <w:lang w:val="es-ES"/>
        </w:rPr>
        <w:t xml:space="preserve">determina </w:t>
      </w:r>
      <w:r w:rsidR="00861741" w:rsidRPr="00977AC4">
        <w:rPr>
          <w:rFonts w:ascii="Calibri Light" w:eastAsia="Times New Roman" w:hAnsi="Calibri Light" w:cs="Calibri Light"/>
          <w:lang w:val="es-ES"/>
        </w:rPr>
        <w:t>un maggi</w:t>
      </w:r>
      <w:r>
        <w:rPr>
          <w:rFonts w:ascii="Calibri Light" w:eastAsia="Times New Roman" w:hAnsi="Calibri Light" w:cs="Calibri Light"/>
          <w:lang w:val="es-ES"/>
        </w:rPr>
        <w:t>ore impegno a lungo termine de</w:t>
      </w:r>
      <w:r w:rsidR="00861741" w:rsidRPr="00977AC4">
        <w:rPr>
          <w:rFonts w:ascii="Calibri Light" w:eastAsia="Times New Roman" w:hAnsi="Calibri Light" w:cs="Calibri Light"/>
          <w:lang w:val="es-ES"/>
        </w:rPr>
        <w:t xml:space="preserve">i </w:t>
      </w:r>
      <w:r>
        <w:rPr>
          <w:rFonts w:ascii="Calibri Light" w:eastAsia="Times New Roman" w:hAnsi="Calibri Light" w:cs="Calibri Light"/>
          <w:lang w:val="es-ES"/>
        </w:rPr>
        <w:t xml:space="preserve">lavoratori </w:t>
      </w:r>
      <w:r w:rsidR="00861741" w:rsidRPr="00977AC4">
        <w:rPr>
          <w:rFonts w:ascii="Calibri Light" w:eastAsia="Times New Roman" w:hAnsi="Calibri Light" w:cs="Calibri Light"/>
          <w:lang w:val="es-ES"/>
        </w:rPr>
        <w:t>azionisti</w:t>
      </w:r>
      <w:r>
        <w:rPr>
          <w:rFonts w:ascii="Calibri Light" w:eastAsia="Times New Roman" w:hAnsi="Calibri Light" w:cs="Calibri Light"/>
          <w:lang w:val="es-ES"/>
        </w:rPr>
        <w:t>, aumentando l’</w:t>
      </w:r>
      <w:r w:rsidR="00861741" w:rsidRPr="00977AC4">
        <w:rPr>
          <w:rFonts w:ascii="Calibri Light" w:eastAsia="Times New Roman" w:hAnsi="Calibri Light" w:cs="Calibri Light"/>
          <w:lang w:val="es-ES"/>
        </w:rPr>
        <w:t>attenzione alla sostenibilità e migliora</w:t>
      </w:r>
      <w:r>
        <w:rPr>
          <w:rFonts w:ascii="Calibri Light" w:eastAsia="Times New Roman" w:hAnsi="Calibri Light" w:cs="Calibri Light"/>
          <w:lang w:val="es-ES"/>
        </w:rPr>
        <w:t xml:space="preserve">ndo </w:t>
      </w:r>
      <w:r w:rsidR="00861741" w:rsidRPr="00977AC4">
        <w:rPr>
          <w:rFonts w:ascii="Calibri Light" w:eastAsia="Times New Roman" w:hAnsi="Calibri Light" w:cs="Calibri Light"/>
          <w:lang w:val="es-ES"/>
        </w:rPr>
        <w:t>la corporate governance delle aziende in cui investono, poiché le aziende di proprietà dei dipendenti tendono a</w:t>
      </w:r>
      <w:r>
        <w:rPr>
          <w:rFonts w:ascii="Calibri Light" w:eastAsia="Times New Roman" w:hAnsi="Calibri Light" w:cs="Calibri Light"/>
          <w:lang w:val="es-ES"/>
        </w:rPr>
        <w:t xml:space="preserve"> essere più </w:t>
      </w:r>
      <w:r w:rsidR="00861741" w:rsidRPr="00977AC4">
        <w:rPr>
          <w:rFonts w:ascii="Calibri Light" w:eastAsia="Times New Roman" w:hAnsi="Calibri Light" w:cs="Calibri Light"/>
          <w:lang w:val="es-ES"/>
        </w:rPr>
        <w:t>responsabili e tengono in maggiore considerazione</w:t>
      </w:r>
      <w:r>
        <w:rPr>
          <w:rFonts w:ascii="Calibri Light" w:eastAsia="Times New Roman" w:hAnsi="Calibri Light" w:cs="Calibri Light"/>
          <w:lang w:val="es-ES"/>
        </w:rPr>
        <w:t xml:space="preserve"> l’</w:t>
      </w:r>
      <w:r w:rsidR="00861741" w:rsidRPr="00977AC4">
        <w:rPr>
          <w:rFonts w:ascii="Calibri Light" w:eastAsia="Times New Roman" w:hAnsi="Calibri Light" w:cs="Calibri Light"/>
          <w:lang w:val="es-ES"/>
        </w:rPr>
        <w:t xml:space="preserve">ambiente </w:t>
      </w:r>
      <w:r>
        <w:rPr>
          <w:rFonts w:ascii="Calibri Light" w:eastAsia="Times New Roman" w:hAnsi="Calibri Light" w:cs="Calibri Light"/>
          <w:lang w:val="es-ES"/>
        </w:rPr>
        <w:t>circostante</w:t>
      </w:r>
      <w:r w:rsidR="00861741" w:rsidRPr="00977AC4">
        <w:rPr>
          <w:rFonts w:ascii="Calibri Light" w:eastAsia="Times New Roman" w:hAnsi="Calibri Light" w:cs="Calibri Light"/>
          <w:lang w:val="es-ES"/>
        </w:rPr>
        <w:t>, perché internalizzano le esternalità.</w:t>
      </w:r>
      <w:r w:rsidR="00861741">
        <w:rPr>
          <w:rStyle w:val="Rimandonotaapidipagina"/>
          <w:rFonts w:ascii="Calibri Light" w:eastAsia="Times New Roman" w:hAnsi="Calibri Light" w:cs="Calibri Light"/>
        </w:rPr>
        <w:footnoteReference w:id="2"/>
      </w:r>
    </w:p>
    <w:p w14:paraId="6666EAD3" w14:textId="58891D3A" w:rsidR="0080152A" w:rsidRPr="00977AC4" w:rsidRDefault="00861741">
      <w:pPr>
        <w:spacing w:after="120"/>
        <w:jc w:val="both"/>
        <w:rPr>
          <w:lang w:val="es-ES"/>
        </w:rPr>
      </w:pPr>
      <w:r w:rsidRPr="00977AC4">
        <w:rPr>
          <w:rFonts w:ascii="Calibri Light" w:eastAsia="Times New Roman" w:hAnsi="Calibri Light" w:cs="Calibri Light"/>
          <w:lang w:val="es-ES"/>
        </w:rPr>
        <w:t xml:space="preserve">L'ESO ha </w:t>
      </w:r>
      <w:r w:rsidR="00346F34">
        <w:rPr>
          <w:rFonts w:ascii="Calibri Light" w:eastAsia="Times New Roman" w:hAnsi="Calibri Light" w:cs="Calibri Light"/>
          <w:lang w:val="es-ES"/>
        </w:rPr>
        <w:t xml:space="preserve">altresì </w:t>
      </w:r>
      <w:r w:rsidRPr="00977AC4">
        <w:rPr>
          <w:rFonts w:ascii="Calibri Light" w:eastAsia="Times New Roman" w:hAnsi="Calibri Light" w:cs="Calibri Light"/>
          <w:lang w:val="es-ES"/>
        </w:rPr>
        <w:t xml:space="preserve">un ruolo centrale e positivo </w:t>
      </w:r>
      <w:r w:rsidR="00346F34">
        <w:rPr>
          <w:rFonts w:ascii="Calibri Light" w:eastAsia="Times New Roman" w:hAnsi="Calibri Light" w:cs="Calibri Light"/>
          <w:lang w:val="es-ES"/>
        </w:rPr>
        <w:t xml:space="preserve">nelle questioni di </w:t>
      </w:r>
      <w:r w:rsidRPr="00977AC4">
        <w:rPr>
          <w:rFonts w:ascii="Calibri Light" w:eastAsia="Times New Roman" w:hAnsi="Calibri Light" w:cs="Calibri Light"/>
          <w:lang w:val="es-ES"/>
        </w:rPr>
        <w:t xml:space="preserve">corporate governance, e dovrebbe </w:t>
      </w:r>
      <w:r w:rsidR="00346F34">
        <w:rPr>
          <w:rFonts w:ascii="Calibri Light" w:eastAsia="Times New Roman" w:hAnsi="Calibri Light" w:cs="Calibri Light"/>
          <w:lang w:val="es-ES"/>
        </w:rPr>
        <w:t xml:space="preserve">essere </w:t>
      </w:r>
      <w:r w:rsidRPr="00977AC4">
        <w:rPr>
          <w:rFonts w:ascii="Calibri Light" w:eastAsia="Times New Roman" w:hAnsi="Calibri Light" w:cs="Calibri Light"/>
          <w:lang w:val="es-ES"/>
        </w:rPr>
        <w:t xml:space="preserve">parte </w:t>
      </w:r>
      <w:r w:rsidR="00346F34">
        <w:rPr>
          <w:rFonts w:ascii="Calibri Light" w:eastAsia="Times New Roman" w:hAnsi="Calibri Light" w:cs="Calibri Light"/>
          <w:lang w:val="es-ES"/>
        </w:rPr>
        <w:t xml:space="preserve">integrante </w:t>
      </w:r>
      <w:r w:rsidRPr="00977AC4">
        <w:rPr>
          <w:rFonts w:ascii="Calibri Light" w:eastAsia="Times New Roman" w:hAnsi="Calibri Light" w:cs="Calibri Light"/>
          <w:lang w:val="es-ES"/>
        </w:rPr>
        <w:t xml:space="preserve">di </w:t>
      </w:r>
      <w:r w:rsidR="00346F34">
        <w:rPr>
          <w:rFonts w:ascii="Calibri Light" w:eastAsia="Times New Roman" w:hAnsi="Calibri Light" w:cs="Calibri Light"/>
          <w:lang w:val="es-ES"/>
        </w:rPr>
        <w:t xml:space="preserve">ogni eventuale impulso </w:t>
      </w:r>
      <w:r w:rsidRPr="00977AC4">
        <w:rPr>
          <w:rFonts w:ascii="Calibri Light" w:eastAsia="Times New Roman" w:hAnsi="Calibri Light" w:cs="Calibri Light"/>
          <w:lang w:val="es-ES"/>
        </w:rPr>
        <w:t>delle autorità dell'UE per integrare ulteriormente la sostenibilità "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 xml:space="preserve">nel quadro della corporate governance, dato che </w:t>
      </w:r>
      <w:r w:rsidR="00346F34">
        <w:rPr>
          <w:rFonts w:ascii="Calibri Light" w:eastAsia="Times New Roman" w:hAnsi="Calibri Light" w:cs="Calibri Light"/>
          <w:i/>
          <w:iCs/>
          <w:lang w:val="es-ES"/>
        </w:rPr>
        <w:t xml:space="preserve">ancora oggi 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 xml:space="preserve">molte aziende si concentrano troppo sulla performance finanziaria a breve termine </w:t>
      </w:r>
      <w:r w:rsidR="00346F34">
        <w:rPr>
          <w:rFonts w:ascii="Calibri Light" w:eastAsia="Times New Roman" w:hAnsi="Calibri Light" w:cs="Calibri Light"/>
          <w:i/>
          <w:iCs/>
          <w:lang w:val="es-ES"/>
        </w:rPr>
        <w:t xml:space="preserve">piuttosto che sugli 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>aspetti di sviluppo e sostenibilità a lungo termine</w:t>
      </w:r>
      <w:r w:rsidRPr="00977AC4">
        <w:rPr>
          <w:rFonts w:ascii="Calibri Light" w:eastAsia="Times New Roman" w:hAnsi="Calibri Light" w:cs="Calibri Light"/>
          <w:lang w:val="es-ES"/>
        </w:rPr>
        <w:t>".</w:t>
      </w:r>
      <w:r>
        <w:rPr>
          <w:rStyle w:val="Rimandonotaapidipagina"/>
          <w:rFonts w:ascii="Calibri Light" w:eastAsia="Times New Roman" w:hAnsi="Calibri Light" w:cs="Calibri Light"/>
        </w:rPr>
        <w:footnoteReference w:id="3"/>
      </w:r>
    </w:p>
    <w:p w14:paraId="154B9D30" w14:textId="7D007AEB" w:rsidR="0080152A" w:rsidRPr="00977AC4" w:rsidRDefault="00861741">
      <w:pPr>
        <w:spacing w:after="120"/>
        <w:jc w:val="both"/>
        <w:rPr>
          <w:lang w:val="es-ES"/>
        </w:rPr>
      </w:pPr>
      <w:r w:rsidRPr="00977AC4">
        <w:rPr>
          <w:rFonts w:ascii="Calibri Light" w:eastAsia="Times New Roman" w:hAnsi="Calibri Light" w:cs="Calibri Light"/>
          <w:i/>
          <w:iCs/>
          <w:lang w:val="es-ES"/>
        </w:rPr>
        <w:t xml:space="preserve">"La partecipazione azionaria dei dipendenti, sotto forma di un piano di </w:t>
      </w:r>
      <w:r w:rsidR="00346F34">
        <w:rPr>
          <w:rFonts w:ascii="Calibri Light" w:eastAsia="Times New Roman" w:hAnsi="Calibri Light" w:cs="Calibri Light"/>
          <w:i/>
          <w:iCs/>
          <w:lang w:val="es-ES"/>
        </w:rPr>
        <w:t xml:space="preserve">azionariato 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 xml:space="preserve">(ESOP) </w:t>
      </w:r>
      <w:r w:rsidR="00346F34">
        <w:rPr>
          <w:rFonts w:ascii="Calibri Light" w:eastAsia="Times New Roman" w:hAnsi="Calibri Light" w:cs="Calibri Light"/>
          <w:i/>
          <w:iCs/>
          <w:lang w:val="es-ES"/>
        </w:rPr>
        <w:t xml:space="preserve">specifico per 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 xml:space="preserve">l'UE, sarebbe una svolta </w:t>
      </w:r>
      <w:r w:rsidR="00346F34">
        <w:rPr>
          <w:rFonts w:ascii="Calibri Light" w:eastAsia="Times New Roman" w:hAnsi="Calibri Light" w:cs="Calibri Light"/>
          <w:i/>
          <w:iCs/>
          <w:lang w:val="es-ES"/>
        </w:rPr>
        <w:t xml:space="preserve">rivoluzionaria 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 xml:space="preserve">sia per far progredire la CMU sia per </w:t>
      </w:r>
      <w:r w:rsidR="00346F34">
        <w:rPr>
          <w:rFonts w:ascii="Calibri Light" w:eastAsia="Times New Roman" w:hAnsi="Calibri Light" w:cs="Calibri Light"/>
          <w:i/>
          <w:iCs/>
          <w:lang w:val="es-ES"/>
        </w:rPr>
        <w:t xml:space="preserve">gestire 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 xml:space="preserve">le principali questioni finanziarie che i cittadini dell'UE devono affrontare </w:t>
      </w:r>
      <w:r w:rsidR="00974AD6">
        <w:rPr>
          <w:rFonts w:ascii="Calibri Light" w:eastAsia="Times New Roman" w:hAnsi="Calibri Light" w:cs="Calibri Light"/>
          <w:i/>
          <w:iCs/>
          <w:lang w:val="es-ES"/>
        </w:rPr>
        <w:t xml:space="preserve">per le conseguenze del 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>Covid-19"</w:t>
      </w:r>
      <w:r w:rsidRPr="00977AC4">
        <w:rPr>
          <w:rFonts w:ascii="Calibri Light" w:eastAsia="Times New Roman" w:hAnsi="Calibri Light" w:cs="Calibri Light"/>
          <w:lang w:val="es-ES"/>
        </w:rPr>
        <w:t xml:space="preserve">, </w:t>
      </w:r>
      <w:r w:rsidRPr="005F26A7">
        <w:rPr>
          <w:rFonts w:ascii="Calibri Light" w:eastAsia="Times New Roman" w:hAnsi="Calibri Light" w:cs="Calibri Light"/>
          <w:lang w:val="es-ES"/>
        </w:rPr>
        <w:t>sottolinea</w:t>
      </w:r>
      <w:r w:rsidRPr="00977AC4">
        <w:rPr>
          <w:rFonts w:ascii="Calibri Light" w:eastAsia="Times New Roman" w:hAnsi="Calibri Light" w:cs="Calibri Light"/>
          <w:lang w:val="es-ES"/>
        </w:rPr>
        <w:t xml:space="preserve"> Guillaume Prache, amministratore delegato di BETTER FINANCE, "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 xml:space="preserve">soprattutto perché permetterebbe alle autorità dell'UE di rafforzare </w:t>
      </w:r>
      <w:r w:rsidR="00974AD6">
        <w:rPr>
          <w:rFonts w:ascii="Calibri Light" w:eastAsia="Times New Roman" w:hAnsi="Calibri Light" w:cs="Calibri Light"/>
          <w:i/>
          <w:iCs/>
          <w:lang w:val="es-ES"/>
        </w:rPr>
        <w:t xml:space="preserve">ancor più le sue iniziative strategiche, il 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 xml:space="preserve">Green Deal e l'Unione dei mercati dei capitali, e </w:t>
      </w:r>
      <w:r w:rsidR="00974AD6">
        <w:rPr>
          <w:rFonts w:ascii="Calibri Light" w:eastAsia="Times New Roman" w:hAnsi="Calibri Light" w:cs="Calibri Light"/>
          <w:i/>
          <w:iCs/>
          <w:lang w:val="es-ES"/>
        </w:rPr>
        <w:t xml:space="preserve">di 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 xml:space="preserve">mettere la sostenibilità al centro della strategia </w:t>
      </w:r>
      <w:r w:rsidR="00974AD6">
        <w:rPr>
          <w:rFonts w:ascii="Calibri Light" w:eastAsia="Times New Roman" w:hAnsi="Calibri Light" w:cs="Calibri Light"/>
          <w:i/>
          <w:iCs/>
          <w:lang w:val="es-ES"/>
        </w:rPr>
        <w:t>di</w:t>
      </w:r>
      <w:r w:rsidRPr="00977AC4">
        <w:rPr>
          <w:rFonts w:ascii="Calibri Light" w:eastAsia="Times New Roman" w:hAnsi="Calibri Light" w:cs="Calibri Light"/>
          <w:i/>
          <w:iCs/>
          <w:lang w:val="es-ES"/>
        </w:rPr>
        <w:t xml:space="preserve"> lotta contro il Coronavirus".</w:t>
      </w:r>
    </w:p>
    <w:p w14:paraId="10D9E992" w14:textId="77777777" w:rsidR="0080152A" w:rsidRDefault="00861741">
      <w:pPr>
        <w:spacing w:after="0" w:line="264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***</w:t>
      </w:r>
    </w:p>
    <w:p w14:paraId="12E2432F" w14:textId="77777777" w:rsidR="0080152A" w:rsidRDefault="00861741">
      <w:pPr>
        <w:pStyle w:val="Corpotesto"/>
        <w:spacing w:before="120" w:after="0" w:line="30" w:lineRule="atLeast"/>
        <w:jc w:val="center"/>
      </w:pPr>
      <w:proofErr w:type="spellStart"/>
      <w:r>
        <w:rPr>
          <w:rFonts w:ascii="Calibri Light" w:hAnsi="Calibri Light" w:cs="Calibri Light"/>
          <w:sz w:val="18"/>
          <w:szCs w:val="18"/>
          <w:u w:val="single"/>
          <w:lang w:val="en-GB"/>
        </w:rPr>
        <w:t>Contatto</w:t>
      </w:r>
      <w:proofErr w:type="spellEnd"/>
      <w:r>
        <w:rPr>
          <w:rFonts w:ascii="Calibri Light" w:hAnsi="Calibri Light" w:cs="Calibri Light"/>
          <w:sz w:val="18"/>
          <w:szCs w:val="18"/>
          <w:lang w:val="en-GB"/>
        </w:rPr>
        <w:t xml:space="preserve">: </w:t>
      </w:r>
      <w:proofErr w:type="spellStart"/>
      <w:r>
        <w:rPr>
          <w:rFonts w:ascii="Calibri Light" w:hAnsi="Calibri Light" w:cs="Calibri Light"/>
          <w:sz w:val="18"/>
          <w:szCs w:val="18"/>
          <w:lang w:val="en-GB"/>
        </w:rPr>
        <w:t>Direttore</w:t>
      </w:r>
      <w:proofErr w:type="spellEnd"/>
      <w:r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proofErr w:type="spellStart"/>
      <w:r>
        <w:rPr>
          <w:rFonts w:ascii="Calibri Light" w:hAnsi="Calibri Light" w:cs="Calibri Light"/>
          <w:sz w:val="18"/>
          <w:szCs w:val="18"/>
          <w:lang w:val="en-GB"/>
        </w:rPr>
        <w:t>delle</w:t>
      </w:r>
      <w:proofErr w:type="spellEnd"/>
      <w:r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proofErr w:type="spellStart"/>
      <w:r>
        <w:rPr>
          <w:rFonts w:ascii="Calibri Light" w:hAnsi="Calibri Light" w:cs="Calibri Light"/>
          <w:sz w:val="18"/>
          <w:szCs w:val="18"/>
          <w:lang w:val="en-GB"/>
        </w:rPr>
        <w:t>comunicazioni</w:t>
      </w:r>
      <w:proofErr w:type="spellEnd"/>
      <w:r>
        <w:rPr>
          <w:rFonts w:ascii="Calibri Light" w:hAnsi="Calibri Light" w:cs="Calibri Light"/>
          <w:sz w:val="18"/>
          <w:szCs w:val="18"/>
          <w:lang w:val="en-GB"/>
        </w:rPr>
        <w:t xml:space="preserve"> ǀ Arnaud Houdmont ǀ +32 (0)2 514 37 77 ǀ </w:t>
      </w:r>
      <w:hyperlink r:id="rId9" w:history="1">
        <w:r>
          <w:rPr>
            <w:rStyle w:val="Collegamentoipertestuale"/>
            <w:rFonts w:ascii="Calibri Light" w:hAnsi="Calibri Light" w:cs="Calibri Light"/>
            <w:sz w:val="18"/>
            <w:szCs w:val="18"/>
            <w:lang w:val="en-GB"/>
          </w:rPr>
          <w:t>houdmont@betterfinance.eu</w:t>
        </w:r>
      </w:hyperlink>
    </w:p>
    <w:sectPr w:rsidR="0080152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9EAD8" w14:textId="77777777" w:rsidR="008C102D" w:rsidRDefault="008C102D">
      <w:pPr>
        <w:spacing w:after="0" w:line="240" w:lineRule="auto"/>
      </w:pPr>
      <w:r>
        <w:separator/>
      </w:r>
    </w:p>
  </w:endnote>
  <w:endnote w:type="continuationSeparator" w:id="0">
    <w:p w14:paraId="049CFCB4" w14:textId="77777777" w:rsidR="008C102D" w:rsidRDefault="008C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FB3CE" w14:textId="77777777" w:rsidR="00A74C8E" w:rsidRPr="00977AC4" w:rsidRDefault="00861741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fr-BE"/>
      </w:rPr>
    </w:pPr>
    <w:r w:rsidRPr="00977AC4">
      <w:rPr>
        <w:b/>
        <w:color w:val="006FB4"/>
        <w:sz w:val="16"/>
        <w:szCs w:val="16"/>
        <w:lang w:val="fr-BE"/>
      </w:rPr>
      <w:t>La Federazione europea degli investitori e degli utenti dei servizi finanziari</w:t>
    </w:r>
  </w:p>
  <w:p w14:paraId="0D71DABA" w14:textId="77777777" w:rsidR="00A74C8E" w:rsidRDefault="00861741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 xml:space="preserve">44, Rue </w:t>
    </w:r>
    <w:proofErr w:type="spellStart"/>
    <w:r>
      <w:rPr>
        <w:color w:val="006FB4"/>
        <w:sz w:val="16"/>
        <w:szCs w:val="16"/>
        <w:lang w:val="de-DE"/>
      </w:rPr>
      <w:t>d'Arenberg</w:t>
    </w:r>
    <w:proofErr w:type="spellEnd"/>
    <w:r>
      <w:rPr>
        <w:color w:val="006FB4"/>
        <w:sz w:val="16"/>
        <w:szCs w:val="16"/>
        <w:lang w:val="de-DE"/>
      </w:rPr>
      <w:t xml:space="preserve">, 1000 Bruxelles - </w:t>
    </w:r>
    <w:proofErr w:type="spellStart"/>
    <w:r>
      <w:rPr>
        <w:color w:val="006FB4"/>
        <w:sz w:val="16"/>
        <w:szCs w:val="16"/>
        <w:lang w:val="de-DE"/>
      </w:rPr>
      <w:t>Belgio</w:t>
    </w:r>
    <w:proofErr w:type="spellEnd"/>
  </w:p>
  <w:p w14:paraId="63E0D2D5" w14:textId="77777777" w:rsidR="00A74C8E" w:rsidRDefault="00861741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de-DE"/>
      </w:rPr>
      <w:t xml:space="preserve">Tel.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4305173C" w14:textId="77777777" w:rsidR="00A74C8E" w:rsidRDefault="00861741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pt-PT"/>
      </w:rPr>
      <w:t xml:space="preserve">E-mail: info@betterfinance.eu - </w:t>
    </w:r>
    <w:bookmarkStart w:id="2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color w:val="006FB4"/>
        <w:sz w:val="16"/>
        <w:szCs w:val="16"/>
        <w:u w:val="single"/>
        <w:lang w:val="it-IT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C0A9B" w14:textId="77777777" w:rsidR="008C102D" w:rsidRDefault="008C10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C0BE7F" w14:textId="77777777" w:rsidR="008C102D" w:rsidRDefault="008C102D">
      <w:pPr>
        <w:spacing w:after="0" w:line="240" w:lineRule="auto"/>
      </w:pPr>
      <w:r>
        <w:continuationSeparator/>
      </w:r>
    </w:p>
  </w:footnote>
  <w:footnote w:id="1">
    <w:p w14:paraId="730622D6" w14:textId="72DD6942" w:rsidR="0080152A" w:rsidRPr="00A1431B" w:rsidRDefault="00861741">
      <w:pPr>
        <w:pStyle w:val="Testocommento"/>
        <w:spacing w:after="0"/>
        <w:rPr>
          <w:lang w:val="it-IT"/>
        </w:rPr>
      </w:pPr>
      <w:r w:rsidRPr="00A1431B">
        <w:rPr>
          <w:rStyle w:val="Rimandonotaapidipagina"/>
          <w:lang w:val="it-IT"/>
        </w:rPr>
        <w:footnoteRef/>
      </w:r>
      <w:hyperlink r:id="rId1" w:history="1">
        <w:r w:rsidRPr="00A1431B">
          <w:rPr>
            <w:rStyle w:val="Collegamentoipertestuale"/>
            <w:lang w:val="it-IT"/>
          </w:rPr>
          <w:t xml:space="preserve"> </w:t>
        </w:r>
      </w:hyperlink>
      <w:r w:rsidRPr="00A1431B">
        <w:rPr>
          <w:lang w:val="it-IT"/>
        </w:rPr>
        <w:t xml:space="preserve">David P. </w:t>
      </w:r>
      <w:proofErr w:type="spellStart"/>
      <w:r w:rsidRPr="00A1431B">
        <w:rPr>
          <w:lang w:val="it-IT"/>
        </w:rPr>
        <w:t>Ellerman</w:t>
      </w:r>
      <w:proofErr w:type="spellEnd"/>
      <w:r w:rsidRPr="00A1431B">
        <w:rPr>
          <w:lang w:val="it-IT"/>
        </w:rPr>
        <w:t xml:space="preserve"> </w:t>
      </w:r>
      <w:r w:rsidR="00A1431B">
        <w:rPr>
          <w:lang w:val="it-IT"/>
        </w:rPr>
        <w:t>e</w:t>
      </w:r>
      <w:r w:rsidRPr="00A1431B">
        <w:rPr>
          <w:lang w:val="it-IT"/>
        </w:rPr>
        <w:t xml:space="preserve"> </w:t>
      </w:r>
      <w:proofErr w:type="spellStart"/>
      <w:r w:rsidRPr="00A1431B">
        <w:rPr>
          <w:lang w:val="it-IT"/>
        </w:rPr>
        <w:t>Tej</w:t>
      </w:r>
      <w:proofErr w:type="spellEnd"/>
      <w:r w:rsidRPr="00A1431B">
        <w:rPr>
          <w:lang w:val="it-IT"/>
        </w:rPr>
        <w:t xml:space="preserve"> Gonza, "</w:t>
      </w:r>
      <w:hyperlink r:id="rId2" w:history="1">
        <w:r w:rsidR="00A1431B">
          <w:rPr>
            <w:rStyle w:val="Collegamentoipertestuale"/>
          </w:rPr>
          <w:t>COVID-19: Government Aid that also promotes Employee Ownership</w:t>
        </w:r>
      </w:hyperlink>
      <w:r w:rsidRPr="00A1431B">
        <w:rPr>
          <w:lang w:val="it-IT"/>
        </w:rPr>
        <w:t>", Istituto per la democrazia economica, Lubiana, Slovenia</w:t>
      </w:r>
    </w:p>
  </w:footnote>
  <w:footnote w:id="2">
    <w:p w14:paraId="4D73553E" w14:textId="77777777" w:rsidR="0080152A" w:rsidRDefault="00861741">
      <w:pPr>
        <w:pStyle w:val="Testonotaapidipagina"/>
      </w:pPr>
      <w:r>
        <w:rPr>
          <w:rStyle w:val="Rimandonotaapidipagina"/>
        </w:rPr>
        <w:footnoteRef/>
      </w:r>
      <w:r>
        <w:t xml:space="preserve"> Ibidem. </w:t>
      </w:r>
    </w:p>
  </w:footnote>
  <w:footnote w:id="3">
    <w:p w14:paraId="5C99FBC5" w14:textId="2B6074F9" w:rsidR="0080152A" w:rsidRPr="00974AD6" w:rsidRDefault="0086174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hyperlink r:id="rId3" w:history="1">
        <w:r>
          <w:rPr>
            <w:rStyle w:val="Collegamentoipertestuale"/>
          </w:rPr>
          <w:t>www.responsible-investor.com:</w:t>
        </w:r>
      </w:hyperlink>
      <w:r>
        <w:t xml:space="preserve"> "</w:t>
      </w:r>
      <w:r w:rsidRPr="00974AD6">
        <w:rPr>
          <w:lang w:val="it-IT"/>
        </w:rPr>
        <w:t xml:space="preserve">La Commissione Europea ha parlato: </w:t>
      </w:r>
      <w:r w:rsidR="00974AD6">
        <w:rPr>
          <w:lang w:val="it-IT"/>
        </w:rPr>
        <w:t>t</w:t>
      </w:r>
      <w:r w:rsidRPr="00974AD6">
        <w:rPr>
          <w:lang w:val="it-IT"/>
        </w:rPr>
        <w:t>utte le politiche dell'UE devono ora essere in linea con le ambizioni ecologiche".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50158" w14:textId="77777777" w:rsidR="00A74C8E" w:rsidRDefault="0086174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537CD64" wp14:editId="68CF47E6">
          <wp:simplePos x="0" y="0"/>
          <wp:positionH relativeFrom="margin">
            <wp:posOffset>2564133</wp:posOffset>
          </wp:positionH>
          <wp:positionV relativeFrom="paragraph">
            <wp:posOffset>-265432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A416EC0" w14:textId="77777777" w:rsidR="00A74C8E" w:rsidRDefault="008C102D">
    <w:pPr>
      <w:pStyle w:val="Intestazione"/>
    </w:pPr>
  </w:p>
  <w:p w14:paraId="4B42972A" w14:textId="77777777" w:rsidR="00A74C8E" w:rsidRDefault="008C102D">
    <w:pPr>
      <w:pStyle w:val="Intestazione"/>
      <w:rPr>
        <w:sz w:val="12"/>
        <w:szCs w:val="12"/>
      </w:rPr>
    </w:pPr>
  </w:p>
  <w:p w14:paraId="54ADF0CF" w14:textId="77777777" w:rsidR="00A74C8E" w:rsidRDefault="008C102D">
    <w:pPr>
      <w:pStyle w:val="Intestazion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2A"/>
    <w:rsid w:val="00027CDB"/>
    <w:rsid w:val="00107D09"/>
    <w:rsid w:val="00181D6A"/>
    <w:rsid w:val="0020544B"/>
    <w:rsid w:val="002078AD"/>
    <w:rsid w:val="00346F34"/>
    <w:rsid w:val="00496B3A"/>
    <w:rsid w:val="005B4B1A"/>
    <w:rsid w:val="005F26A7"/>
    <w:rsid w:val="00761312"/>
    <w:rsid w:val="0080152A"/>
    <w:rsid w:val="008210BF"/>
    <w:rsid w:val="00861741"/>
    <w:rsid w:val="008C102D"/>
    <w:rsid w:val="00974AD6"/>
    <w:rsid w:val="00977AC4"/>
    <w:rsid w:val="00A1431B"/>
    <w:rsid w:val="00B722FB"/>
    <w:rsid w:val="00BB34D0"/>
    <w:rsid w:val="00C85C7A"/>
    <w:rsid w:val="00D44F7C"/>
    <w:rsid w:val="00D77868"/>
    <w:rsid w:val="00D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AB5"/>
  <w15:docId w15:val="{E2950756-1064-4615-B1F2-7809DB9A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Carpredefinitoparagrafo"/>
  </w:style>
  <w:style w:type="paragraph" w:styleId="Pidipagina">
    <w:name w:val="footer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Carpredefinitoparagrafo"/>
  </w:style>
  <w:style w:type="paragraph" w:styleId="Corpotesto">
    <w:name w:val="Body Text"/>
    <w:basedOn w:val="Normale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BodyTextChar">
    <w:name w:val="Body Text Char"/>
    <w:basedOn w:val="Carpredefinitoparagrafo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rFonts w:ascii="Cambria" w:eastAsia="SimSun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Carpredefinitoparagrafo"/>
    <w:rPr>
      <w:rFonts w:ascii="Cambria" w:eastAsia="SimSun" w:hAnsi="Cambria" w:cs="Times New Roman"/>
      <w:spacing w:val="-10"/>
      <w:kern w:val="3"/>
      <w:sz w:val="56"/>
      <w:szCs w:val="56"/>
    </w:rPr>
  </w:style>
  <w:style w:type="paragraph" w:styleId="Testofumetto">
    <w:name w:val="Balloon Text"/>
    <w:basedOn w:val="Normal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Carpredefinitoparagrafo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Heading2Char">
    <w:name w:val="Heading 2 Char"/>
    <w:basedOn w:val="Carpredefinitoparagrafo"/>
    <w:rPr>
      <w:rFonts w:ascii="Cambria" w:eastAsia="SimSun" w:hAnsi="Cambria" w:cs="Times New Roman"/>
      <w:color w:val="365F91"/>
      <w:sz w:val="26"/>
      <w:szCs w:val="26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Heading1Char">
    <w:name w:val="Heading 1 Char"/>
    <w:basedOn w:val="Carpredefinitoparagrafo"/>
    <w:rPr>
      <w:rFonts w:ascii="Cambria" w:eastAsia="SimSu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oudmont@betterfinance.e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sponsible-investor.com/articles/the-european-commission-has-spoken-all-eu-policies-must-now-fall-in-line-with-green-ambitions" TargetMode="External"/><Relationship Id="rId2" Type="http://schemas.openxmlformats.org/officeDocument/2006/relationships/hyperlink" Target="http://www.ellerman.org/wp-content/uploads/2020/04/COVID19-Gov-Aid-for-EO_working-paper_final_Intereconomics2.pdf" TargetMode="External"/><Relationship Id="rId1" Type="http://schemas.openxmlformats.org/officeDocument/2006/relationships/hyperlink" Target="http://www.ellerman.org/wp-content/uploads/2020/04/COVID19-Gov-Aid-for-EO_working-paper_final_Intereconomics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D2455-DCC3-4195-986A-C13FC355A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D7B34-48EB-4462-90D1-27DA854F9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F6D54-262D-477E-85CD-30D255F97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Houdmont</dc:creator>
  <dc:description/>
  <cp:lastModifiedBy>Angelo Veglia</cp:lastModifiedBy>
  <cp:revision>13</cp:revision>
  <cp:lastPrinted>2019-03-22T09:41:00Z</cp:lastPrinted>
  <dcterms:created xsi:type="dcterms:W3CDTF">2020-12-10T15:21:00Z</dcterms:created>
  <dcterms:modified xsi:type="dcterms:W3CDTF">2021-01-03T08:07:00Z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