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42FE" w14:textId="07D214E5" w:rsidR="00B04099" w:rsidRDefault="00B04099"/>
    <w:p w14:paraId="531C42FF" w14:textId="77777777" w:rsidR="00B04099" w:rsidRPr="00277A6C" w:rsidRDefault="00277A6C">
      <w:pPr>
        <w:pStyle w:val="BodyText"/>
        <w:spacing w:after="120" w:line="240" w:lineRule="auto"/>
        <w:jc w:val="both"/>
        <w:rPr>
          <w:lang w:val="fr-BE"/>
        </w:rPr>
      </w:pPr>
      <w:r w:rsidRPr="00277A6C">
        <w:rPr>
          <w:rStyle w:val="Strong"/>
          <w:sz w:val="18"/>
          <w:lang w:val="fr-BE"/>
        </w:rPr>
        <w:t>COMMUNIQUÉ DE PRESSE</w:t>
      </w:r>
    </w:p>
    <w:p w14:paraId="531C4300" w14:textId="66CE7DBD" w:rsidR="00B04099" w:rsidRPr="00277A6C" w:rsidRDefault="002079AE">
      <w:pPr>
        <w:pStyle w:val="Heading2"/>
        <w:jc w:val="both"/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fr-BE"/>
        </w:rPr>
      </w:pPr>
      <w:r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fr-BE"/>
        </w:rPr>
        <w:t xml:space="preserve">Faillite </w:t>
      </w:r>
      <w:r w:rsidR="00317AB9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fr-BE"/>
        </w:rPr>
        <w:t xml:space="preserve">de </w:t>
      </w:r>
      <w:r w:rsidR="00277A6C" w:rsidRPr="00277A6C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fr-BE"/>
        </w:rPr>
        <w:t xml:space="preserve">Wirecard AG : </w:t>
      </w:r>
      <w:r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fr-BE"/>
        </w:rPr>
        <w:t xml:space="preserve">un échec scandaleux </w:t>
      </w:r>
      <w:r w:rsidR="00317AB9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fr-BE"/>
        </w:rPr>
        <w:t xml:space="preserve">de la gouvernance d’entreprise, de l’audit externe et de la surveillance, </w:t>
      </w:r>
      <w:r w:rsidR="00277A6C" w:rsidRPr="00277A6C">
        <w:rPr>
          <w:rFonts w:ascii="Cambria" w:eastAsia="Calibri" w:hAnsi="Cambria"/>
          <w:b/>
          <w:color w:val="365F91"/>
          <w:spacing w:val="20"/>
          <w:kern w:val="3"/>
          <w:sz w:val="28"/>
          <w:szCs w:val="28"/>
          <w:lang w:val="fr-BE"/>
        </w:rPr>
        <w:t>une fois de plus au détriment des investisseurs et des épargnants</w:t>
      </w:r>
    </w:p>
    <w:p w14:paraId="531C4301" w14:textId="4DCBA4BB" w:rsidR="00B04099" w:rsidRPr="00277A6C" w:rsidRDefault="00277A6C">
      <w:pPr>
        <w:spacing w:before="120" w:after="120"/>
        <w:jc w:val="both"/>
        <w:rPr>
          <w:rFonts w:ascii="Calibri Light" w:hAnsi="Calibri Light" w:cs="Calibri Light"/>
          <w:color w:val="000000"/>
          <w:lang w:val="fr-BE"/>
        </w:rPr>
      </w:pPr>
      <w:r w:rsidRPr="00277A6C">
        <w:rPr>
          <w:rFonts w:ascii="Calibri Light" w:hAnsi="Calibri Light" w:cs="Calibri Light"/>
          <w:color w:val="000000"/>
          <w:lang w:val="fr-BE"/>
        </w:rPr>
        <w:t>C'est avec surprise que BETTER FINANCE et ses organisations membres représentant les u</w:t>
      </w:r>
      <w:r w:rsidR="00317AB9">
        <w:rPr>
          <w:rFonts w:ascii="Calibri Light" w:hAnsi="Calibri Light" w:cs="Calibri Light"/>
          <w:color w:val="000000"/>
          <w:lang w:val="fr-BE"/>
        </w:rPr>
        <w:t xml:space="preserve">sagers de services financiers ont appris en lisant les gros titres de la presse du </w:t>
      </w:r>
      <w:r w:rsidRPr="00277A6C">
        <w:rPr>
          <w:rFonts w:ascii="Calibri Light" w:hAnsi="Calibri Light" w:cs="Calibri Light"/>
          <w:color w:val="000000"/>
          <w:lang w:val="fr-BE"/>
        </w:rPr>
        <w:t>18 juin 2020</w:t>
      </w:r>
      <w:r w:rsidR="00317AB9">
        <w:rPr>
          <w:rFonts w:ascii="Calibri Light" w:hAnsi="Calibri Light" w:cs="Calibri Light"/>
          <w:color w:val="000000"/>
          <w:lang w:val="fr-BE"/>
        </w:rPr>
        <w:t xml:space="preserve"> que</w:t>
      </w:r>
      <w:r w:rsidR="00367462">
        <w:rPr>
          <w:rFonts w:ascii="Calibri Light" w:hAnsi="Calibri Light" w:cs="Calibri Light"/>
          <w:color w:val="000000"/>
          <w:lang w:val="fr-BE"/>
        </w:rPr>
        <w:t xml:space="preserve"> la somme de 1,9 milliard</w:t>
      </w:r>
      <w:r w:rsidR="00737E6D">
        <w:rPr>
          <w:rFonts w:ascii="Calibri Light" w:hAnsi="Calibri Light" w:cs="Calibri Light"/>
          <w:color w:val="000000"/>
          <w:lang w:val="fr-BE"/>
        </w:rPr>
        <w:t xml:space="preserve"> </w:t>
      </w:r>
      <w:r w:rsidR="00367462">
        <w:rPr>
          <w:rFonts w:ascii="Calibri Light" w:hAnsi="Calibri Light" w:cs="Calibri Light"/>
          <w:color w:val="000000"/>
          <w:lang w:val="fr-BE"/>
        </w:rPr>
        <w:t>d’euros inscrite au bilan de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Wirecard AG (</w:t>
      </w:r>
      <w:r w:rsidR="00317AB9">
        <w:rPr>
          <w:rFonts w:ascii="Calibri Light" w:hAnsi="Calibri Light" w:cs="Calibri Light"/>
          <w:color w:val="000000"/>
          <w:lang w:val="fr-BE"/>
        </w:rPr>
        <w:t>« </w:t>
      </w:r>
      <w:r w:rsidRPr="00277A6C">
        <w:rPr>
          <w:rFonts w:ascii="Calibri Light" w:hAnsi="Calibri Light" w:cs="Calibri Light"/>
          <w:color w:val="000000"/>
          <w:lang w:val="fr-BE"/>
        </w:rPr>
        <w:t>WD</w:t>
      </w:r>
      <w:r w:rsidR="00317AB9">
        <w:rPr>
          <w:rFonts w:ascii="Calibri Light" w:hAnsi="Calibri Light" w:cs="Calibri Light"/>
          <w:color w:val="000000"/>
          <w:lang w:val="fr-BE"/>
        </w:rPr>
        <w:t> »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), </w:t>
      </w:r>
      <w:r w:rsidR="00317AB9">
        <w:rPr>
          <w:rFonts w:ascii="Calibri Light" w:hAnsi="Calibri Light" w:cs="Calibri Light"/>
          <w:color w:val="000000"/>
          <w:lang w:val="fr-BE"/>
        </w:rPr>
        <w:t>un</w:t>
      </w:r>
      <w:r w:rsidR="00367462">
        <w:rPr>
          <w:rFonts w:ascii="Calibri Light" w:hAnsi="Calibri Light" w:cs="Calibri Light"/>
          <w:color w:val="000000"/>
          <w:lang w:val="fr-BE"/>
        </w:rPr>
        <w:t xml:space="preserve"> des fleurons européens de la </w:t>
      </w:r>
      <w:r w:rsidR="00317AB9">
        <w:rPr>
          <w:rFonts w:ascii="Calibri Light" w:hAnsi="Calibri Light" w:cs="Calibri Light"/>
          <w:color w:val="000000"/>
          <w:lang w:val="fr-BE"/>
        </w:rPr>
        <w:t>fintech</w:t>
      </w:r>
      <w:r w:rsidR="00367462">
        <w:rPr>
          <w:rFonts w:ascii="Calibri Light" w:hAnsi="Calibri Light" w:cs="Calibri Light"/>
          <w:color w:val="000000"/>
          <w:lang w:val="fr-BE"/>
        </w:rPr>
        <w:t xml:space="preserve">, </w:t>
      </w:r>
      <w:r w:rsidR="00317AB9">
        <w:rPr>
          <w:rFonts w:ascii="Calibri Light" w:hAnsi="Calibri Light" w:cs="Calibri Light"/>
          <w:color w:val="000000"/>
          <w:lang w:val="fr-BE"/>
        </w:rPr>
        <w:t>n’existait probablement pas</w:t>
      </w:r>
      <w:r w:rsidR="00A03F0F">
        <w:rPr>
          <w:rFonts w:ascii="Calibri Light" w:hAnsi="Calibri Light" w:cs="Calibri Light"/>
          <w:color w:val="000000"/>
          <w:lang w:val="fr-BE"/>
        </w:rPr>
        <w:t xml:space="preserve">. L’entreprise allait </w:t>
      </w:r>
      <w:r w:rsidR="00367462">
        <w:rPr>
          <w:rFonts w:ascii="Calibri Light" w:hAnsi="Calibri Light" w:cs="Calibri Light"/>
          <w:color w:val="000000"/>
          <w:lang w:val="fr-BE"/>
        </w:rPr>
        <w:t>demander sa mise en faillite q</w:t>
      </w:r>
      <w:r w:rsidR="00A03F0F">
        <w:rPr>
          <w:rFonts w:ascii="Calibri Light" w:hAnsi="Calibri Light" w:cs="Calibri Light"/>
          <w:color w:val="000000"/>
          <w:lang w:val="fr-BE"/>
        </w:rPr>
        <w:t xml:space="preserve">uelques jours plus tard. 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04099" w:rsidRPr="002079AE" w14:paraId="531C431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1C4302" w14:textId="396A927D" w:rsidR="00B04099" w:rsidRPr="002079AE" w:rsidRDefault="00277A6C">
            <w:pPr>
              <w:spacing w:after="120" w:line="240" w:lineRule="auto"/>
              <w:jc w:val="both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2079AE">
              <w:rPr>
                <w:rFonts w:asciiTheme="majorHAnsi" w:hAnsiTheme="majorHAnsi" w:cstheme="majorHAnsi"/>
                <w:b/>
                <w:bCs/>
                <w:lang w:val="fr-FR"/>
              </w:rPr>
              <w:t xml:space="preserve">UNE LONGUE </w:t>
            </w:r>
            <w:r w:rsidR="00A03F0F" w:rsidRPr="002079AE">
              <w:rPr>
                <w:rFonts w:asciiTheme="majorHAnsi" w:hAnsiTheme="majorHAnsi" w:cstheme="majorHAnsi"/>
                <w:b/>
                <w:bCs/>
                <w:lang w:val="fr-FR"/>
              </w:rPr>
              <w:t>S</w:t>
            </w:r>
            <w:r w:rsidRPr="002079AE">
              <w:rPr>
                <w:rFonts w:asciiTheme="majorHAnsi" w:hAnsiTheme="majorHAnsi" w:cstheme="majorHAnsi"/>
                <w:b/>
                <w:bCs/>
                <w:lang w:val="fr-FR"/>
              </w:rPr>
              <w:t>É</w:t>
            </w:r>
            <w:r w:rsidR="00A03F0F" w:rsidRPr="002079AE">
              <w:rPr>
                <w:rFonts w:asciiTheme="majorHAnsi" w:hAnsiTheme="majorHAnsi" w:cstheme="majorHAnsi"/>
                <w:b/>
                <w:bCs/>
                <w:lang w:val="fr-FR"/>
              </w:rPr>
              <w:t xml:space="preserve">RIE DE SIGNES AVANT-COUREURS </w:t>
            </w:r>
          </w:p>
          <w:p w14:paraId="531C4303" w14:textId="501306FC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En 2015, une société spécialisée dans la vente à découvert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>effectue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des recherches </w:t>
            </w:r>
            <w:hyperlink r:id="rId10" w:history="1">
              <w:r w:rsidR="00A03F0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reme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tt</w:t>
              </w:r>
              <w:r w:rsidR="00A03F0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ant 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en question</w:t>
              </w:r>
            </w:hyperlink>
            <w:r w:rsidRPr="002079AE">
              <w:rPr>
                <w:rStyle w:val="FootnoteReference"/>
                <w:rFonts w:asciiTheme="majorHAnsi" w:eastAsia="Times New Roman" w:hAnsiTheme="majorHAnsi" w:cstheme="majorHAnsi"/>
                <w:lang w:val="fr-FR"/>
              </w:rPr>
              <w:footnoteReference w:id="1"/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les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>comptes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des filiales de </w:t>
            </w:r>
            <w:r w:rsidR="00A03F0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WD 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dans la région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Asie-Pacifique, affirmant que les chiffres </w:t>
            </w:r>
            <w:r w:rsidR="00DC5AD9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étaient surévalués ; </w:t>
            </w:r>
          </w:p>
          <w:p w14:paraId="531C4304" w14:textId="48DDAF3F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La même année, le </w:t>
            </w:r>
            <w:r w:rsidR="00DC5AD9" w:rsidRPr="002079AE">
              <w:rPr>
                <w:rFonts w:asciiTheme="majorHAnsi" w:eastAsia="Times New Roman" w:hAnsiTheme="majorHAnsi" w:cstheme="majorHAnsi"/>
                <w:lang w:val="fr-FR"/>
              </w:rPr>
              <w:t>FT lan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>ce</w:t>
            </w:r>
            <w:r w:rsidR="00DC5AD9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sa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série </w:t>
            </w:r>
            <w:r w:rsidR="00DC5AD9" w:rsidRPr="002079AE">
              <w:rPr>
                <w:rFonts w:asciiTheme="majorHAnsi" w:eastAsia="Times New Roman" w:hAnsiTheme="majorHAnsi" w:cstheme="majorHAnsi"/>
                <w:lang w:val="fr-FR"/>
              </w:rPr>
              <w:t>« </w:t>
            </w:r>
            <w:hyperlink r:id="rId11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House of</w:t>
              </w:r>
              <w:r w:rsidR="00B85FF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Wirecard</w:t>
              </w:r>
            </w:hyperlink>
            <w:r w:rsidR="00DC5AD9" w:rsidRPr="002079AE">
              <w:rPr>
                <w:rFonts w:asciiTheme="majorHAnsi" w:hAnsiTheme="majorHAnsi" w:cstheme="majorHAnsi"/>
                <w:lang w:val="fr-FR"/>
              </w:rPr>
              <w:t> »</w:t>
            </w:r>
            <w:r w:rsidR="00771DFB" w:rsidRPr="002079AE">
              <w:rPr>
                <w:rFonts w:asciiTheme="majorHAnsi" w:hAnsiTheme="majorHAnsi" w:cstheme="majorHAnsi"/>
                <w:lang w:val="fr-FR"/>
              </w:rPr>
              <w:t xml:space="preserve">. </w:t>
            </w:r>
            <w:r w:rsidR="00771DFB" w:rsidRPr="002079AE">
              <w:rPr>
                <w:rFonts w:asciiTheme="majorHAnsi" w:eastAsia="Times New Roman" w:hAnsiTheme="majorHAnsi" w:cstheme="majorHAnsi"/>
                <w:lang w:val="fr-FR"/>
              </w:rPr>
              <w:t>Le FT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>divulgue ainsi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des </w:t>
            </w:r>
            <w:hyperlink r:id="rId12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documents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u w:val="none"/>
                  <w:lang w:val="fr-FR"/>
                </w:rPr>
                <w:t xml:space="preserve"> </w:t>
              </w:r>
            </w:hyperlink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internes 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qui avaient </w:t>
            </w:r>
            <w:hyperlink r:id="rId13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fuit</w:t>
              </w:r>
              <w:r w:rsidR="00B85FF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é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u w:val="none"/>
                  <w:lang w:val="fr-FR"/>
                </w:rPr>
                <w:t xml:space="preserve"> </w:t>
              </w:r>
            </w:hyperlink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>ainsi que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des </w:t>
            </w:r>
            <w:hyperlink r:id="rId14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échanges de courrie</w:t>
              </w:r>
              <w:r w:rsidR="00B85FF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l</w:t>
              </w:r>
              <w:r w:rsidR="00B85FFC" w:rsidRPr="002079AE">
                <w:rPr>
                  <w:rStyle w:val="Hyperlink"/>
                  <w:lang w:val="fr-FR"/>
                </w:rPr>
                <w:t>s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u w:val="none"/>
                  <w:lang w:val="fr-FR"/>
                </w:rPr>
                <w:t xml:space="preserve"> </w:t>
              </w:r>
            </w:hyperlink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>attesta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 xml:space="preserve">nt 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de la présence d’irrégularités, </w:t>
            </w:r>
            <w:r w:rsidR="00771DFB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et 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>m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 xml:space="preserve">et 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>en avant l’existence d’</w:t>
            </w:r>
            <w:r w:rsidR="00771DFB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éléments comptables et commerciaux discutables,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 xml:space="preserve">indiquant </w:t>
            </w:r>
            <w:r w:rsidR="00771DFB" w:rsidRPr="002079AE">
              <w:rPr>
                <w:rFonts w:asciiTheme="majorHAnsi" w:eastAsia="Times New Roman" w:hAnsiTheme="majorHAnsi" w:cstheme="majorHAnsi"/>
                <w:lang w:val="fr-FR"/>
              </w:rPr>
              <w:t>l’existence d’un </w:t>
            </w:r>
            <w:r w:rsidR="00771DFB" w:rsidRPr="002079AE">
              <w:rPr>
                <w:rFonts w:asciiTheme="majorHAnsi" w:eastAsia="Times New Roman" w:hAnsiTheme="majorHAnsi" w:cstheme="majorHAnsi"/>
                <w:i/>
                <w:iCs/>
                <w:lang w:val="fr-FR"/>
              </w:rPr>
              <w:t>«</w:t>
            </w:r>
            <w:r w:rsidR="00771DFB" w:rsidRPr="002079AE">
              <w:rPr>
                <w:rFonts w:asciiTheme="majorHAnsi" w:eastAsia="Times New Roman" w:hAnsiTheme="majorHAnsi" w:cstheme="majorHAnsi"/>
                <w:lang w:val="fr-FR"/>
              </w:rPr>
              <w:t> </w:t>
            </w:r>
            <w:hyperlink r:id="rId15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i/>
                  <w:iCs/>
                  <w:lang w:val="fr-FR"/>
                </w:rPr>
                <w:t xml:space="preserve">trou de 250 millions d'euros </w:t>
              </w:r>
              <w:r w:rsidR="00771DFB" w:rsidRPr="002079AE">
                <w:rPr>
                  <w:rStyle w:val="Hyperlink"/>
                  <w:rFonts w:asciiTheme="majorHAnsi" w:eastAsia="Times New Roman" w:hAnsiTheme="majorHAnsi" w:cstheme="majorHAnsi"/>
                  <w:i/>
                  <w:iCs/>
                  <w:lang w:val="fr-FR"/>
                </w:rPr>
                <w:t>dans le</w:t>
              </w:r>
              <w:r w:rsidR="00C51243">
                <w:rPr>
                  <w:rStyle w:val="Hyperlink"/>
                  <w:rFonts w:asciiTheme="majorHAnsi" w:eastAsia="Times New Roman" w:hAnsiTheme="majorHAnsi" w:cstheme="majorHAnsi"/>
                  <w:i/>
                  <w:iCs/>
                  <w:lang w:val="fr-FR"/>
                </w:rPr>
                <w:t>s</w:t>
              </w:r>
              <w:r w:rsidR="00771DFB" w:rsidRPr="002079AE">
                <w:rPr>
                  <w:rStyle w:val="Hyperlink"/>
                  <w:rFonts w:asciiTheme="majorHAnsi" w:eastAsia="Times New Roman" w:hAnsiTheme="majorHAnsi" w:cstheme="majorHAnsi"/>
                  <w:i/>
                  <w:iCs/>
                  <w:lang w:val="fr-FR"/>
                </w:rPr>
                <w:t xml:space="preserve"> bilan</w:t>
              </w:r>
              <w:r w:rsidR="00C51243">
                <w:rPr>
                  <w:rStyle w:val="Hyperlink"/>
                  <w:rFonts w:asciiTheme="majorHAnsi" w:eastAsia="Times New Roman" w:hAnsiTheme="majorHAnsi" w:cstheme="majorHAnsi"/>
                  <w:i/>
                  <w:iCs/>
                  <w:lang w:val="fr-FR"/>
                </w:rPr>
                <w:t>s</w:t>
              </w:r>
              <w:r w:rsidR="00771DFB" w:rsidRPr="002079AE">
                <w:rPr>
                  <w:rStyle w:val="Hyperlink"/>
                  <w:rFonts w:asciiTheme="majorHAnsi" w:eastAsia="Times New Roman" w:hAnsiTheme="majorHAnsi" w:cstheme="majorHAnsi"/>
                  <w:i/>
                  <w:iCs/>
                  <w:lang w:val="fr-FR"/>
                </w:rPr>
                <w:t xml:space="preserve"> du groupe</w:t>
              </w:r>
            </w:hyperlink>
            <w:r w:rsidR="00771DFB" w:rsidRPr="002079AE">
              <w:rPr>
                <w:rFonts w:asciiTheme="majorHAnsi" w:hAnsiTheme="majorHAnsi" w:cstheme="majorHAnsi"/>
                <w:lang w:val="fr-FR"/>
              </w:rPr>
              <w:t> »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;</w:t>
            </w:r>
          </w:p>
          <w:p w14:paraId="531C4305" w14:textId="6FF0BDF5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En 2016, un groupe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 xml:space="preserve">anonyme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de vendeurs </w:t>
            </w:r>
            <w:hyperlink r:id="rId16" w:history="1">
              <w:r w:rsidR="00C51243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publie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u w:val="none"/>
                  <w:lang w:val="fr-FR"/>
                </w:rPr>
                <w:t xml:space="preserve"> </w:t>
              </w:r>
            </w:hyperlink>
            <w:r w:rsidR="00737E6D">
              <w:rPr>
                <w:rFonts w:asciiTheme="majorHAnsi" w:eastAsia="Times New Roman" w:hAnsiTheme="majorHAnsi" w:cstheme="majorHAnsi"/>
                <w:lang w:val="fr-FR"/>
              </w:rPr>
              <w:t xml:space="preserve">sous le pseudonyme de Zattara une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>enquête indiquant que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WD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>est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impliqué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>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, entre autres, dans 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des opérations de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blanchiment d'argent ; la BaFin </w:t>
            </w:r>
            <w:r w:rsidR="00C51243">
              <w:rPr>
                <w:rFonts w:asciiTheme="majorHAnsi" w:eastAsia="Times New Roman" w:hAnsiTheme="majorHAnsi" w:cstheme="majorHAnsi"/>
                <w:lang w:val="fr-FR"/>
              </w:rPr>
              <w:t>ouvre alors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une enquête contre Zattara pour manipulation d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>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marché</w:t>
            </w:r>
            <w:r w:rsidR="00784757" w:rsidRPr="002079AE">
              <w:rPr>
                <w:rStyle w:val="FootnoteReference"/>
                <w:rFonts w:asciiTheme="majorHAnsi" w:eastAsia="Times New Roman" w:hAnsiTheme="majorHAnsi" w:cstheme="majorHAnsi"/>
                <w:lang w:val="fr-FR"/>
              </w:rPr>
              <w:footnoteReference w:id="2"/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;</w:t>
            </w:r>
          </w:p>
          <w:p w14:paraId="531C4306" w14:textId="6A217F55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En 2018, suite à une dénonciation interne, un cabinet d'avocats 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singapourien </w:t>
            </w:r>
            <w:hyperlink r:id="rId17" w:history="1">
              <w:r w:rsidR="00B85FF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effectu</w:t>
              </w:r>
              <w:r w:rsidR="00784757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</w:t>
              </w:r>
              <w:r w:rsidR="00B85FF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une</w:t>
              </w:r>
              <w:r w:rsidR="00784757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enquête interne</w:t>
              </w:r>
            </w:hyperlink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au siège de WD dans la région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Asie-Pacifique, 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>et m</w:t>
            </w:r>
            <w:r w:rsidR="00784757">
              <w:rPr>
                <w:rFonts w:asciiTheme="majorHAnsi" w:eastAsia="Times New Roman" w:hAnsiTheme="majorHAnsi" w:cstheme="majorHAnsi"/>
                <w:lang w:val="fr-FR"/>
              </w:rPr>
              <w:t>et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au jour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des preuves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indiquant </w:t>
            </w:r>
            <w:r w:rsidR="008A4CFF" w:rsidRPr="002079AE">
              <w:rPr>
                <w:rFonts w:asciiTheme="majorHAnsi" w:eastAsia="Times New Roman" w:hAnsiTheme="majorHAnsi" w:cstheme="majorHAnsi"/>
                <w:i/>
                <w:iCs/>
                <w:lang w:val="fr-FR"/>
              </w:rPr>
              <w:t>«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> </w:t>
            </w:r>
            <w:r w:rsidR="00B85FF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des </w:t>
            </w:r>
            <w:r w:rsidRPr="002079AE">
              <w:rPr>
                <w:rFonts w:asciiTheme="majorHAnsi" w:hAnsiTheme="majorHAnsi" w:cstheme="majorHAnsi"/>
                <w:i/>
                <w:iCs/>
                <w:lang w:val="fr-FR"/>
              </w:rPr>
              <w:t>fa</w:t>
            </w:r>
            <w:r w:rsidR="008A4CFF" w:rsidRPr="002079AE">
              <w:rPr>
                <w:rFonts w:asciiTheme="majorHAnsi" w:hAnsiTheme="majorHAnsi" w:cstheme="majorHAnsi"/>
                <w:i/>
                <w:iCs/>
                <w:lang w:val="fr-FR"/>
              </w:rPr>
              <w:t>ux</w:t>
            </w:r>
            <w:r w:rsidR="00B85FFC" w:rsidRPr="002079AE">
              <w:rPr>
                <w:rFonts w:asciiTheme="majorHAnsi" w:hAnsiTheme="majorHAnsi" w:cstheme="majorHAnsi"/>
                <w:i/>
                <w:iCs/>
                <w:lang w:val="fr-FR"/>
              </w:rPr>
              <w:t xml:space="preserve"> </w:t>
            </w:r>
            <w:r w:rsidR="00B85FFC" w:rsidRPr="002079AE">
              <w:rPr>
                <w:rFonts w:ascii="Calibri Light" w:hAnsi="Calibri Light" w:cs="Calibri Light"/>
                <w:i/>
                <w:iCs/>
                <w:lang w:val="fr-FR"/>
              </w:rPr>
              <w:t>en écriture</w:t>
            </w:r>
            <w:r w:rsidR="008A4CFF" w:rsidRPr="002079AE">
              <w:rPr>
                <w:rFonts w:asciiTheme="majorHAnsi" w:hAnsiTheme="majorHAnsi" w:cstheme="majorHAnsi"/>
                <w:i/>
                <w:iCs/>
                <w:lang w:val="fr-FR"/>
              </w:rPr>
              <w:t xml:space="preserve"> et/ou</w:t>
            </w:r>
            <w:r w:rsidR="00B85FFC" w:rsidRPr="002079AE">
              <w:rPr>
                <w:rFonts w:asciiTheme="majorHAnsi" w:hAnsiTheme="majorHAnsi" w:cstheme="majorHAnsi"/>
                <w:i/>
                <w:iCs/>
                <w:lang w:val="fr-FR"/>
              </w:rPr>
              <w:t xml:space="preserve"> </w:t>
            </w:r>
            <w:r w:rsidR="008A4CFF" w:rsidRPr="002079AE">
              <w:rPr>
                <w:rFonts w:asciiTheme="majorHAnsi" w:hAnsiTheme="majorHAnsi" w:cstheme="majorHAnsi"/>
                <w:i/>
                <w:iCs/>
                <w:lang w:val="fr-FR"/>
              </w:rPr>
              <w:t>falsification</w:t>
            </w:r>
            <w:r w:rsidR="00784757">
              <w:rPr>
                <w:rFonts w:asciiTheme="majorHAnsi" w:hAnsiTheme="majorHAnsi" w:cstheme="majorHAnsi"/>
                <w:i/>
                <w:iCs/>
                <w:lang w:val="fr-FR"/>
              </w:rPr>
              <w:t>s</w:t>
            </w:r>
            <w:r w:rsidR="008A4CFF" w:rsidRPr="002079AE">
              <w:rPr>
                <w:rFonts w:asciiTheme="majorHAnsi" w:hAnsiTheme="majorHAnsi" w:cstheme="majorHAnsi"/>
                <w:i/>
                <w:iCs/>
                <w:lang w:val="fr-FR"/>
              </w:rPr>
              <w:t xml:space="preserve"> de </w:t>
            </w:r>
            <w:r w:rsidRPr="002079AE">
              <w:rPr>
                <w:rFonts w:asciiTheme="majorHAnsi" w:hAnsiTheme="majorHAnsi" w:cstheme="majorHAnsi"/>
                <w:i/>
                <w:iCs/>
                <w:lang w:val="fr-FR"/>
              </w:rPr>
              <w:t>comptes</w:t>
            </w:r>
            <w:r w:rsidR="008A4CFF" w:rsidRPr="002079AE">
              <w:rPr>
                <w:rFonts w:asciiTheme="majorHAnsi" w:hAnsiTheme="majorHAnsi" w:cstheme="majorHAnsi"/>
                <w:lang w:val="fr-FR"/>
              </w:rPr>
              <w:t> »</w:t>
            </w:r>
            <w:r w:rsidRPr="002079AE">
              <w:rPr>
                <w:rFonts w:asciiTheme="majorHAnsi" w:hAnsiTheme="majorHAnsi" w:cstheme="majorHAnsi"/>
                <w:lang w:val="fr-FR"/>
              </w:rPr>
              <w:t xml:space="preserve"> ;</w:t>
            </w:r>
          </w:p>
          <w:p w14:paraId="531C4307" w14:textId="6D30945A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eastAsia="Times New Roman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En janvier 2019, le FT </w:t>
            </w:r>
            <w:r w:rsidR="00784757">
              <w:rPr>
                <w:rFonts w:asciiTheme="majorHAnsi" w:eastAsia="Times New Roman" w:hAnsiTheme="majorHAnsi" w:cstheme="majorHAnsi"/>
                <w:lang w:val="fr-FR"/>
              </w:rPr>
              <w:t>publie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une nouvelle série d'enquêtes sur les fraudes et les falsifications de WD Asia :</w:t>
            </w:r>
          </w:p>
          <w:p w14:paraId="531C4308" w14:textId="11DFDB1B" w:rsidR="00B04099" w:rsidRPr="002079AE" w:rsidRDefault="00277A6C">
            <w:pPr>
              <w:pStyle w:val="ListParagraph"/>
              <w:numPr>
                <w:ilvl w:val="1"/>
                <w:numId w:val="1"/>
              </w:numPr>
              <w:ind w:left="589" w:hanging="283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>Premièrement, le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>s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hyperlink r:id="rId18" w:history="1">
              <w:r w:rsidR="008A4CF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jou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rnalist</w:t>
              </w:r>
              <w:r w:rsidR="008A4CF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s</w:t>
              </w:r>
              <w:r w:rsidR="008A4CF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du FT rapport</w:t>
              </w:r>
              <w:r w:rsidR="00784757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ent</w:t>
              </w:r>
            </w:hyperlink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q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ue les dirigeants de 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WD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Asi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>a</w:t>
            </w:r>
            <w:r w:rsidR="00784757">
              <w:rPr>
                <w:rFonts w:asciiTheme="majorHAnsi" w:eastAsia="Times New Roman" w:hAnsiTheme="majorHAnsi" w:cstheme="majorHAnsi"/>
                <w:lang w:val="fr-FR"/>
              </w:rPr>
              <w:t xml:space="preserve"> ont mis </w:t>
            </w:r>
            <w:r w:rsidR="008A4CF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au point un système de faux contrats pour gonfler 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>le</w:t>
            </w:r>
            <w:r w:rsidR="002079AE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urs chiffres ; 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 </w:t>
            </w:r>
          </w:p>
          <w:p w14:paraId="531C4309" w14:textId="5C3874F0" w:rsidR="00B04099" w:rsidRPr="002079AE" w:rsidRDefault="00277A6C">
            <w:pPr>
              <w:pStyle w:val="ListParagraph"/>
              <w:numPr>
                <w:ilvl w:val="1"/>
                <w:numId w:val="1"/>
              </w:numPr>
              <w:ind w:left="589" w:hanging="283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Deuxièmement, le FT 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>affirm</w:t>
            </w:r>
            <w:r w:rsidR="00784757">
              <w:rPr>
                <w:rFonts w:asciiTheme="majorHAnsi" w:eastAsia="Times New Roman" w:hAnsiTheme="majorHAnsi" w:cstheme="majorHAnsi"/>
                <w:lang w:val="fr-FR"/>
              </w:rPr>
              <w:t>e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que la 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maison-mère </w:t>
            </w:r>
            <w:r w:rsidR="002079AE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allemande </w:t>
            </w:r>
            <w:hyperlink r:id="rId19" w:history="1">
              <w:r w:rsidR="00784757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est au courant</w:t>
              </w:r>
            </w:hyperlink>
            <w:r w:rsidR="002079AE" w:rsidRPr="002079AE">
              <w:rPr>
                <w:rStyle w:val="Hyperlink"/>
                <w:rFonts w:asciiTheme="majorHAnsi" w:eastAsia="Times New Roman" w:hAnsiTheme="majorHAnsi" w:cstheme="majorHAnsi"/>
                <w:u w:val="none"/>
                <w:lang w:val="fr-FR"/>
              </w:rPr>
              <w:t xml:space="preserve">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de</w:t>
            </w:r>
            <w:r w:rsidR="00D95575">
              <w:rPr>
                <w:rFonts w:asciiTheme="majorHAnsi" w:eastAsia="Times New Roman" w:hAnsiTheme="majorHAnsi" w:cstheme="majorHAnsi"/>
                <w:lang w:val="fr-FR"/>
              </w:rPr>
              <w:t xml:space="preserve"> ce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s activités </w:t>
            </w:r>
            <w:r w:rsidR="00784757">
              <w:rPr>
                <w:rFonts w:asciiTheme="majorHAnsi" w:eastAsia="Times New Roman" w:hAnsiTheme="majorHAnsi" w:cstheme="majorHAnsi"/>
                <w:lang w:val="fr-FR"/>
              </w:rPr>
              <w:t xml:space="preserve">probablement 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illicites – </w:t>
            </w:r>
            <w:r w:rsidR="002079AE">
              <w:rPr>
                <w:rFonts w:asciiTheme="majorHAnsi" w:eastAsia="Times New Roman" w:hAnsiTheme="majorHAnsi" w:cstheme="majorHAnsi"/>
                <w:lang w:val="fr-FR"/>
              </w:rPr>
              <w:t>Dans le même temps, la p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olice singapourienne </w:t>
            </w:r>
            <w:hyperlink r:id="rId20" w:history="1">
              <w:r w:rsidR="007766BF" w:rsidRPr="002079AE">
                <w:rPr>
                  <w:rStyle w:val="Hyperlink"/>
                  <w:rFonts w:asciiTheme="majorHAnsi" w:hAnsiTheme="majorHAnsi" w:cstheme="majorHAnsi"/>
                  <w:lang w:val="fr-FR"/>
                </w:rPr>
                <w:t>ouv</w:t>
              </w:r>
              <w:r w:rsidR="002079AE">
                <w:rPr>
                  <w:rStyle w:val="Hyperlink"/>
                  <w:rFonts w:asciiTheme="majorHAnsi" w:hAnsiTheme="majorHAnsi" w:cstheme="majorHAnsi"/>
                  <w:lang w:val="fr-FR"/>
                </w:rPr>
                <w:t>r</w:t>
              </w:r>
              <w:r w:rsidR="00784757">
                <w:rPr>
                  <w:rStyle w:val="Hyperlink"/>
                  <w:rFonts w:asciiTheme="majorHAnsi" w:hAnsiTheme="majorHAnsi" w:cstheme="majorHAnsi"/>
                  <w:lang w:val="fr-FR"/>
                </w:rPr>
                <w:t>e</w:t>
              </w:r>
              <w:r w:rsidR="002079AE">
                <w:rPr>
                  <w:rStyle w:val="Hyperlink"/>
                  <w:rFonts w:asciiTheme="majorHAnsi" w:hAnsiTheme="majorHAnsi" w:cstheme="majorHAnsi"/>
                  <w:lang w:val="fr-FR"/>
                </w:rPr>
                <w:t xml:space="preserve"> </w:t>
              </w:r>
              <w:r w:rsidR="007766BF" w:rsidRPr="002079AE">
                <w:rPr>
                  <w:rStyle w:val="Hyperlink"/>
                  <w:rFonts w:asciiTheme="majorHAnsi" w:hAnsiTheme="majorHAnsi" w:cstheme="majorHAnsi"/>
                  <w:lang w:val="fr-FR"/>
                </w:rPr>
                <w:t>u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ne enquête</w:t>
              </w:r>
            </w:hyperlink>
            <w:r w:rsidRPr="002079AE">
              <w:rPr>
                <w:rStyle w:val="FootnoteReference"/>
                <w:rFonts w:asciiTheme="majorHAnsi" w:eastAsia="Times New Roman" w:hAnsiTheme="majorHAnsi" w:cstheme="majorHAnsi"/>
                <w:lang w:val="fr-FR"/>
              </w:rPr>
              <w:footnoteReference w:id="3"/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t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andis que </w:t>
            </w:r>
            <w:hyperlink r:id="rId21" w:history="1">
              <w:r w:rsidR="007766B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l</w:t>
              </w:r>
              <w:r w:rsidR="007766BF" w:rsidRPr="002079AE">
                <w:rPr>
                  <w:rStyle w:val="Hyperlink"/>
                  <w:rFonts w:asciiTheme="majorHAnsi" w:hAnsiTheme="majorHAnsi" w:cstheme="majorHAnsi"/>
                  <w:lang w:val="fr-FR"/>
                </w:rPr>
                <w:t>a B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aFin</w:t>
              </w:r>
              <w:r w:rsidR="007766B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ouvr</w:t>
              </w:r>
              <w:r w:rsidR="00784757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</w:t>
              </w:r>
              <w:r w:rsid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elle aussi</w:t>
              </w:r>
              <w:r w:rsidR="007766B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une enquête</w:t>
              </w:r>
              <w:r w:rsid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, </w:t>
              </w:r>
              <w:r w:rsidR="007766B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contre les journalistes du FT</w:t>
              </w:r>
            </w:hyperlink>
            <w:r w:rsidR="002079AE">
              <w:rPr>
                <w:rStyle w:val="Hyperlink"/>
                <w:rFonts w:asciiTheme="majorHAnsi" w:eastAsia="Times New Roman" w:hAnsiTheme="majorHAnsi" w:cstheme="majorHAnsi"/>
                <w:lang w:val="fr-FR"/>
              </w:rPr>
              <w:t>,</w:t>
            </w:r>
            <w:r w:rsidR="007766BF" w:rsidRPr="002079AE">
              <w:rPr>
                <w:rStyle w:val="Hyperlink"/>
                <w:rFonts w:asciiTheme="majorHAnsi" w:eastAsia="Times New Roman" w:hAnsiTheme="majorHAnsi" w:cstheme="majorHAnsi"/>
                <w:u w:val="none"/>
                <w:lang w:val="fr-FR"/>
              </w:rPr>
              <w:t xml:space="preserve">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pour manipulation 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>d</w:t>
            </w:r>
            <w:r w:rsidR="007766BF" w:rsidRPr="002079AE">
              <w:rPr>
                <w:rFonts w:asciiTheme="majorHAnsi" w:hAnsiTheme="majorHAnsi" w:cstheme="majorHAnsi"/>
                <w:lang w:val="fr-FR"/>
              </w:rPr>
              <w:t>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marché; </w:t>
            </w:r>
            <w:r w:rsidRPr="002079AE">
              <w:rPr>
                <w:rStyle w:val="FootnoteReference"/>
                <w:rFonts w:asciiTheme="majorHAnsi" w:eastAsia="Times New Roman" w:hAnsiTheme="majorHAnsi" w:cstheme="majorHAnsi"/>
                <w:lang w:val="fr-FR"/>
              </w:rPr>
              <w:footnoteReference w:id="4"/>
            </w:r>
          </w:p>
          <w:p w14:paraId="531C430A" w14:textId="647D1331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Février 2019 : </w:t>
            </w:r>
            <w:hyperlink r:id="rId22" w:history="1">
              <w:r w:rsidR="007766B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l’AEMF </w:t>
              </w:r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appro</w:t>
              </w:r>
              <w:r w:rsidR="007766BF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uve l’interdiction temporaire de la vente à découvert</w:t>
              </w:r>
            </w:hyperlink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>des a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ctions de WD</w:t>
            </w:r>
            <w:r w:rsidR="007766BF" w:rsidRPr="002079AE">
              <w:rPr>
                <w:rFonts w:asciiTheme="majorHAnsi" w:eastAsia="Times New Roman" w:hAnsiTheme="majorHAnsi" w:cstheme="majorHAnsi"/>
                <w:lang w:val="fr-FR"/>
              </w:rPr>
              <w:t>, imposée par la BaFin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;</w:t>
            </w:r>
          </w:p>
          <w:p w14:paraId="531C430B" w14:textId="6C490310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Début 2019 : </w:t>
            </w:r>
            <w:r w:rsidR="008533EC" w:rsidRPr="002079AE">
              <w:rPr>
                <w:rFonts w:asciiTheme="majorHAnsi" w:eastAsia="Times New Roman" w:hAnsiTheme="majorHAnsi" w:cstheme="majorHAnsi"/>
                <w:lang w:val="fr-FR"/>
              </w:rPr>
              <w:t>La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hyperlink r:id="rId23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BaFin</w:t>
              </w:r>
              <w:r w:rsidR="008533E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 </w:t>
              </w:r>
              <w:r w:rsidR="008533EC" w:rsidRPr="002079AE">
                <w:rPr>
                  <w:rStyle w:val="Hyperlink"/>
                  <w:rFonts w:asciiTheme="majorHAnsi" w:hAnsiTheme="majorHAnsi" w:cstheme="majorHAnsi"/>
                  <w:lang w:val="fr-FR"/>
                </w:rPr>
                <w:t>demande à la DAP</w:t>
              </w:r>
            </w:hyperlink>
            <w:r w:rsidR="008533EC" w:rsidRPr="002079AE">
              <w:rPr>
                <w:rStyle w:val="Hyperlink"/>
                <w:rFonts w:asciiTheme="majorHAnsi" w:eastAsia="Times New Roman" w:hAnsiTheme="majorHAnsi" w:cstheme="majorHAnsi"/>
                <w:lang w:val="fr-FR"/>
              </w:rPr>
              <w:t xml:space="preserve">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(</w:t>
            </w:r>
            <w:hyperlink r:id="rId24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FREP</w:t>
              </w:r>
            </w:hyperlink>
            <w:r w:rsidR="008533EC" w:rsidRPr="002079AE">
              <w:rPr>
                <w:rStyle w:val="Hyperlink"/>
                <w:rFonts w:asciiTheme="majorHAnsi" w:eastAsia="Times New Roman" w:hAnsiTheme="majorHAnsi" w:cstheme="majorHAnsi"/>
                <w:lang w:val="fr-FR"/>
              </w:rPr>
              <w:t>, groupe de l’application des normes d’information financière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) </w:t>
            </w:r>
            <w:r w:rsidR="008533E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d’ouvrir une enquête sur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WD </w:t>
            </w:r>
            <w:r w:rsidR="008533E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à la suite des reportages du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FT</w:t>
            </w:r>
            <w:r w:rsidR="008533EC" w:rsidRPr="002079AE">
              <w:rPr>
                <w:rFonts w:asciiTheme="majorHAnsi" w:eastAsia="Times New Roman" w:hAnsiTheme="majorHAnsi" w:cstheme="majorHAnsi"/>
                <w:lang w:val="fr-FR"/>
              </w:rPr>
              <w:t>.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hyperlink r:id="rId25" w:history="1">
              <w:r w:rsidR="008533E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Une seule personne </w:t>
              </w:r>
            </w:hyperlink>
            <w:r w:rsidR="008533EC" w:rsidRPr="002079AE">
              <w:rPr>
                <w:rStyle w:val="Hyperlink"/>
                <w:rFonts w:asciiTheme="majorHAnsi" w:eastAsia="Times New Roman" w:hAnsiTheme="majorHAnsi" w:cstheme="majorHAnsi"/>
                <w:lang w:val="fr-FR"/>
              </w:rPr>
              <w:t xml:space="preserve">sera </w:t>
            </w:r>
            <w:r w:rsidR="008533EC" w:rsidRPr="002079AE">
              <w:rPr>
                <w:rStyle w:val="Hyperlink"/>
                <w:rFonts w:asciiTheme="majorHAnsi" w:eastAsia="Times New Roman" w:hAnsiTheme="majorHAnsi" w:cstheme="majorHAnsi"/>
                <w:lang w:val="fr-FR"/>
              </w:rPr>
              <w:lastRenderedPageBreak/>
              <w:t>chargée</w:t>
            </w:r>
            <w:r w:rsidRPr="002079AE">
              <w:rPr>
                <w:rStyle w:val="Hyperlink"/>
                <w:rFonts w:asciiTheme="majorHAnsi" w:hAnsiTheme="majorHAnsi" w:cstheme="majorHAnsi"/>
                <w:u w:val="none"/>
                <w:lang w:val="fr-FR"/>
              </w:rPr>
              <w:t xml:space="preserve"> </w:t>
            </w:r>
            <w:r w:rsidR="008533E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d’examiner les comptes de l’entreprise et à notre connaissance, l’enquête </w:t>
            </w:r>
            <w:r w:rsidR="002079AE" w:rsidRPr="00784757">
              <w:rPr>
                <w:rFonts w:asciiTheme="majorHAnsi" w:eastAsia="Times New Roman" w:hAnsiTheme="majorHAnsi" w:cstheme="majorHAnsi"/>
                <w:lang w:val="fr-FR"/>
              </w:rPr>
              <w:t>é</w:t>
            </w:r>
            <w:r w:rsidR="002079AE" w:rsidRPr="00784757">
              <w:rPr>
                <w:rFonts w:asciiTheme="majorHAnsi" w:hAnsiTheme="majorHAnsi" w:cstheme="majorHAnsi"/>
              </w:rPr>
              <w:t xml:space="preserve">tait </w:t>
            </w:r>
            <w:r w:rsidR="008533E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toujours en cours </w:t>
            </w:r>
            <w:hyperlink r:id="rId26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15 mois plus tard </w:t>
              </w:r>
            </w:hyperlink>
            <w:r w:rsidRPr="002079AE">
              <w:rPr>
                <w:rFonts w:asciiTheme="majorHAnsi" w:eastAsia="Times New Roman" w:hAnsiTheme="majorHAnsi" w:cstheme="majorHAnsi"/>
                <w:lang w:val="fr-FR"/>
              </w:rPr>
              <w:t>;</w:t>
            </w:r>
          </w:p>
          <w:p w14:paraId="531C430C" w14:textId="4BC8BDB6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Octobre 2019 : </w:t>
            </w:r>
            <w:r w:rsidR="008533EC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WD Deutschland </w:t>
            </w:r>
            <w:hyperlink r:id="rId27" w:history="1">
              <w:r w:rsidR="008533EC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c</w:t>
              </w:r>
              <w:r w:rsidR="008533EC" w:rsidRPr="002079AE">
                <w:rPr>
                  <w:rStyle w:val="Hyperlink"/>
                  <w:rFonts w:asciiTheme="majorHAnsi" w:hAnsiTheme="majorHAnsi" w:cstheme="majorHAnsi"/>
                  <w:lang w:val="fr-FR"/>
                </w:rPr>
                <w:t xml:space="preserve">harge un autre grand cabinet d’audit </w:t>
              </w:r>
            </w:hyperlink>
            <w:r w:rsidR="008533EC" w:rsidRPr="002079AE">
              <w:rPr>
                <w:rFonts w:asciiTheme="majorHAnsi" w:hAnsiTheme="majorHAnsi" w:cstheme="majorHAnsi"/>
                <w:lang w:val="fr-FR"/>
              </w:rPr>
              <w:t xml:space="preserve">d’effectuer un audit spécial qui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conclut en avril 2020 que l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>’existence d’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hyperlink r:id="rId28" w:history="1">
              <w:r w:rsidR="009352A2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 xml:space="preserve">« avantages </w:t>
              </w:r>
              <w:r w:rsidR="00784757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reçus d</w:t>
              </w:r>
              <w:r w:rsidR="009352A2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e tiers »</w:t>
              </w:r>
            </w:hyperlink>
            <w:r w:rsidR="009352A2" w:rsidRPr="002079AE">
              <w:rPr>
                <w:rFonts w:asciiTheme="majorHAnsi" w:hAnsiTheme="majorHAnsi" w:cstheme="majorHAnsi"/>
                <w:lang w:val="fr-FR"/>
              </w:rPr>
              <w:t xml:space="preserve"> n’a pas pu être vérifiée</w:t>
            </w:r>
            <w:r w:rsidR="00784757" w:rsidRPr="002079AE">
              <w:rPr>
                <w:rStyle w:val="FootnoteReference"/>
                <w:rFonts w:asciiTheme="majorHAnsi" w:eastAsia="Times New Roman" w:hAnsiTheme="majorHAnsi" w:cstheme="majorHAnsi"/>
                <w:lang w:val="fr-FR"/>
              </w:rPr>
              <w:footnoteReference w:id="5"/>
            </w:r>
            <w:r w:rsidR="009352A2" w:rsidRPr="002079AE">
              <w:rPr>
                <w:rFonts w:asciiTheme="majorHAnsi" w:hAnsiTheme="majorHAnsi" w:cstheme="majorHAnsi"/>
                <w:lang w:val="fr-FR"/>
              </w:rPr>
              <w:t>;</w:t>
            </w:r>
          </w:p>
          <w:p w14:paraId="531C430D" w14:textId="18F331D7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>18 juin 2020 : l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>e</w:t>
            </w:r>
            <w:r w:rsidR="009352A2" w:rsidRPr="002079AE">
              <w:rPr>
                <w:rFonts w:asciiTheme="majorHAnsi" w:hAnsiTheme="majorHAnsi" w:cstheme="majorHAnsi"/>
                <w:lang w:val="fr-FR"/>
              </w:rPr>
              <w:t xml:space="preserve"> cabinet d’audit </w:t>
            </w:r>
            <w:hyperlink r:id="rId29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refuse</w:t>
              </w:r>
            </w:hyperlink>
            <w:r w:rsidR="009352A2" w:rsidRPr="002079AE">
              <w:rPr>
                <w:rStyle w:val="Hyperlink"/>
                <w:rFonts w:asciiTheme="majorHAnsi" w:eastAsia="Times New Roman" w:hAnsiTheme="majorHAnsi" w:cstheme="majorHAnsi"/>
                <w:u w:val="none"/>
                <w:lang w:val="fr-FR"/>
              </w:rPr>
              <w:t xml:space="preserve"> 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d’approuver les comptes de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2019 en raison d'un 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« trou » de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1,9 milliard d'euros ;</w:t>
            </w:r>
          </w:p>
          <w:p w14:paraId="531C430E" w14:textId="1D988EBC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22 juin 2020 : Wirecard </w:t>
            </w:r>
            <w:hyperlink r:id="rId30" w:anchor=":~:text=FRANKFURT%2FMANILA%20(Reuters)%20%2D,avert%20a%20looming%20cash%20crunch.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a</w:t>
              </w:r>
              <w:r w:rsidR="009352A2"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d</w:t>
              </w:r>
              <w:r w:rsidR="009352A2" w:rsidRPr="002079AE">
                <w:rPr>
                  <w:rStyle w:val="Hyperlink"/>
                  <w:rFonts w:asciiTheme="majorHAnsi" w:hAnsiTheme="majorHAnsi" w:cstheme="majorHAnsi"/>
                  <w:lang w:val="fr-FR"/>
                </w:rPr>
                <w:t>met</w:t>
              </w:r>
            </w:hyperlink>
            <w:r w:rsidR="009352A2" w:rsidRPr="002079AE">
              <w:rPr>
                <w:rStyle w:val="Hyperlink"/>
                <w:rFonts w:asciiTheme="majorHAnsi" w:eastAsia="Times New Roman" w:hAnsiTheme="majorHAnsi" w:cstheme="majorHAnsi"/>
                <w:u w:val="none"/>
                <w:lang w:val="fr-FR"/>
              </w:rPr>
              <w:t xml:space="preserve"> 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>que l</w:t>
            </w:r>
            <w:r w:rsidR="00D95575">
              <w:rPr>
                <w:rFonts w:asciiTheme="majorHAnsi" w:eastAsia="Times New Roman" w:hAnsiTheme="majorHAnsi" w:cstheme="majorHAnsi"/>
                <w:lang w:val="fr-FR"/>
              </w:rPr>
              <w:t>a somme de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</w:t>
            </w:r>
            <w:r w:rsidRPr="002079AE">
              <w:rPr>
                <w:rFonts w:asciiTheme="majorHAnsi" w:eastAsia="Times New Roman" w:hAnsiTheme="majorHAnsi" w:cstheme="majorHAnsi"/>
                <w:lang w:val="fr-FR"/>
              </w:rPr>
              <w:t>1,9 milliard d'euros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 inscrit</w:t>
            </w:r>
            <w:r w:rsidR="00D95575">
              <w:rPr>
                <w:rFonts w:asciiTheme="majorHAnsi" w:eastAsia="Times New Roman" w:hAnsiTheme="majorHAnsi" w:cstheme="majorHAnsi"/>
                <w:lang w:val="fr-FR"/>
              </w:rPr>
              <w:t xml:space="preserve">e 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à son bilan n’existe très probablement pas ; </w:t>
            </w:r>
          </w:p>
          <w:p w14:paraId="531C430F" w14:textId="43E931E1" w:rsidR="00B04099" w:rsidRPr="002079AE" w:rsidRDefault="00277A6C">
            <w:pPr>
              <w:pStyle w:val="ListParagraph"/>
              <w:numPr>
                <w:ilvl w:val="0"/>
                <w:numId w:val="1"/>
              </w:numPr>
              <w:ind w:left="306" w:hanging="284"/>
              <w:jc w:val="both"/>
              <w:rPr>
                <w:rFonts w:asciiTheme="majorHAnsi" w:hAnsiTheme="majorHAnsi" w:cstheme="majorHAnsi"/>
                <w:lang w:val="fr-FR"/>
              </w:rPr>
            </w:pPr>
            <w:r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25 juin : Wirecard </w:t>
            </w:r>
            <w:hyperlink r:id="rId31" w:history="1">
              <w:r w:rsidRPr="002079AE">
                <w:rPr>
                  <w:rStyle w:val="Hyperlink"/>
                  <w:rFonts w:asciiTheme="majorHAnsi" w:eastAsia="Times New Roman" w:hAnsiTheme="majorHAnsi" w:cstheme="majorHAnsi"/>
                  <w:lang w:val="fr-FR"/>
                </w:rPr>
                <w:t>annonce</w:t>
              </w:r>
            </w:hyperlink>
            <w:r w:rsidR="002079AE">
              <w:rPr>
                <w:rFonts w:asciiTheme="majorHAnsi" w:eastAsia="Times New Roman" w:hAnsiTheme="majorHAnsi" w:cstheme="majorHAnsi"/>
                <w:lang w:val="fr-FR"/>
              </w:rPr>
              <w:t xml:space="preserve"> qu’elle demande </w:t>
            </w:r>
            <w:r w:rsidR="009352A2" w:rsidRPr="002079AE">
              <w:rPr>
                <w:rFonts w:asciiTheme="majorHAnsi" w:eastAsia="Times New Roman" w:hAnsiTheme="majorHAnsi" w:cstheme="majorHAnsi"/>
                <w:lang w:val="fr-FR"/>
              </w:rPr>
              <w:t xml:space="preserve">l’ouverture d’une procédure d’insolvabilité. </w:t>
            </w:r>
          </w:p>
        </w:tc>
      </w:tr>
    </w:tbl>
    <w:p w14:paraId="531C4311" w14:textId="747508F6" w:rsidR="00B04099" w:rsidRPr="002079AE" w:rsidRDefault="00277A6C">
      <w:pPr>
        <w:spacing w:before="240"/>
        <w:jc w:val="both"/>
        <w:rPr>
          <w:rFonts w:ascii="Calibri Light" w:hAnsi="Calibri Light" w:cs="Calibri Light"/>
          <w:color w:val="000000"/>
          <w:lang w:val="fr-FR"/>
        </w:rPr>
      </w:pPr>
      <w:r w:rsidRPr="002079AE">
        <w:rPr>
          <w:rFonts w:ascii="Calibri Light" w:hAnsi="Calibri Light" w:cs="Calibri Light"/>
          <w:color w:val="000000"/>
          <w:lang w:val="fr-FR"/>
        </w:rPr>
        <w:lastRenderedPageBreak/>
        <w:t xml:space="preserve">BETTER FINANCE propose plusieurs recommandations </w:t>
      </w:r>
      <w:r w:rsidR="002079AE">
        <w:rPr>
          <w:rFonts w:ascii="Calibri Light" w:hAnsi="Calibri Light" w:cs="Calibri Light"/>
          <w:color w:val="000000"/>
          <w:lang w:val="fr-FR"/>
        </w:rPr>
        <w:t xml:space="preserve">de </w:t>
      </w:r>
      <w:r w:rsidRPr="002079AE">
        <w:rPr>
          <w:rFonts w:ascii="Calibri Light" w:hAnsi="Calibri Light" w:cs="Calibri Light"/>
          <w:color w:val="000000"/>
          <w:lang w:val="fr-FR"/>
        </w:rPr>
        <w:t xml:space="preserve">politique aux autorités de l'UE afin de tirer les leçons de </w:t>
      </w:r>
      <w:r w:rsidR="002079AE">
        <w:rPr>
          <w:rFonts w:ascii="Calibri Light" w:hAnsi="Calibri Light" w:cs="Calibri Light"/>
          <w:color w:val="000000"/>
          <w:lang w:val="fr-FR"/>
        </w:rPr>
        <w:t xml:space="preserve">ce scandale : </w:t>
      </w:r>
    </w:p>
    <w:p w14:paraId="531C4312" w14:textId="786B6769" w:rsidR="00B04099" w:rsidRPr="002079AE" w:rsidRDefault="00277A6C">
      <w:pPr>
        <w:shd w:val="clear" w:color="auto" w:fill="0070C0"/>
        <w:ind w:left="709"/>
        <w:jc w:val="both"/>
        <w:rPr>
          <w:lang w:val="fr-FR"/>
        </w:rPr>
      </w:pPr>
      <w:r w:rsidRPr="002079AE">
        <w:rPr>
          <w:rFonts w:ascii="Calibri Light" w:hAnsi="Calibri Light" w:cs="Calibri Light"/>
          <w:noProof/>
          <w:color w:val="000000"/>
          <w:lang w:val="fr-FR"/>
        </w:rPr>
        <w:drawing>
          <wp:anchor distT="0" distB="0" distL="114300" distR="114300" simplePos="0" relativeHeight="251654656" behindDoc="0" locked="0" layoutInCell="1" allowOverlap="1" wp14:anchorId="531C4305" wp14:editId="531C4306">
            <wp:simplePos x="0" y="0"/>
            <wp:positionH relativeFrom="margin">
              <wp:posOffset>-630</wp:posOffset>
            </wp:positionH>
            <wp:positionV relativeFrom="paragraph">
              <wp:posOffset>45089</wp:posOffset>
            </wp:positionV>
            <wp:extent cx="255903" cy="255903"/>
            <wp:effectExtent l="0" t="0" r="0" b="0"/>
            <wp:wrapThrough wrapText="bothSides">
              <wp:wrapPolygon edited="0">
                <wp:start x="3224" y="0"/>
                <wp:lineTo x="0" y="6448"/>
                <wp:lineTo x="0" y="11284"/>
                <wp:lineTo x="3224" y="19343"/>
                <wp:lineTo x="16119" y="19343"/>
                <wp:lineTo x="19343" y="11284"/>
                <wp:lineTo x="19343" y="6448"/>
                <wp:lineTo x="16119" y="0"/>
                <wp:lineTo x="3224" y="0"/>
              </wp:wrapPolygon>
            </wp:wrapThrough>
            <wp:docPr id="5" name="Graphic 2" descr="Bad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3" cy="255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79AE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ab/>
        <w:t>ÉCHEC DE LA SU</w:t>
      </w:r>
      <w:r w:rsidR="002079AE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 xml:space="preserve">RVEILLANCE </w:t>
      </w:r>
      <w:r w:rsidRPr="002079AE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 xml:space="preserve">: LA NÉCESSITÉ D'UNE </w:t>
      </w:r>
      <w:r w:rsidR="00784757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 xml:space="preserve">HARMONISATION DE LA </w:t>
      </w:r>
      <w:r w:rsidRPr="002079AE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>RÉGLEMENTATION ET D</w:t>
      </w:r>
      <w:r w:rsidR="00784757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 xml:space="preserve">E LA </w:t>
      </w:r>
      <w:r w:rsidRPr="002079AE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 xml:space="preserve">SURVEILLANCE DES </w:t>
      </w:r>
      <w:r w:rsidR="00784757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>PRESTATAIRES</w:t>
      </w:r>
      <w:r w:rsidRPr="002079AE">
        <w:rPr>
          <w:rFonts w:ascii="Calibri Light" w:hAnsi="Calibri Light" w:cs="Calibri Light"/>
          <w:b/>
          <w:bCs/>
          <w:i/>
          <w:iCs/>
          <w:color w:val="FFFFFF"/>
          <w:lang w:val="fr-FR"/>
        </w:rPr>
        <w:t xml:space="preserve"> DE SERVICES FINANCIERS, QUELS QU'ILS SOIENT</w:t>
      </w:r>
    </w:p>
    <w:p w14:paraId="531C4313" w14:textId="6100C1F2" w:rsidR="00B04099" w:rsidRPr="00277A6C" w:rsidRDefault="00277A6C">
      <w:pPr>
        <w:spacing w:after="120"/>
        <w:jc w:val="both"/>
        <w:rPr>
          <w:lang w:val="fr-BE"/>
        </w:rPr>
      </w:pPr>
      <w:r w:rsidRPr="002079AE">
        <w:rPr>
          <w:rFonts w:ascii="Calibri Light" w:hAnsi="Calibri Light" w:cs="Calibri Light"/>
          <w:color w:val="000000"/>
          <w:lang w:val="fr-FR"/>
        </w:rPr>
        <w:t>Une recommandation clé de BETTER FINANCE depuis 2012 est</w:t>
      </w:r>
      <w:r w:rsidR="00007053">
        <w:rPr>
          <w:rFonts w:ascii="Calibri Light" w:hAnsi="Calibri Light" w:cs="Calibri Light"/>
          <w:color w:val="000000"/>
          <w:lang w:val="fr-FR"/>
        </w:rPr>
        <w:t xml:space="preserve"> </w:t>
      </w:r>
      <w:r w:rsidR="00007053" w:rsidRPr="00784757">
        <w:rPr>
          <w:rFonts w:ascii="Calibri Light" w:hAnsi="Calibri Light" w:cs="Calibri Light"/>
          <w:color w:val="000000"/>
          <w:lang w:val="fr-FR"/>
        </w:rPr>
        <w:t>d’</w:t>
      </w:r>
      <w:r w:rsidR="00171FDF" w:rsidRPr="00784757">
        <w:rPr>
          <w:rFonts w:ascii="Calibri Light" w:hAnsi="Calibri Light" w:cs="Calibri Light"/>
          <w:b/>
          <w:bCs/>
          <w:color w:val="000000"/>
          <w:u w:val="single"/>
          <w:lang w:val="fr-FR"/>
        </w:rPr>
        <w:t>uniformi</w:t>
      </w:r>
      <w:r w:rsidR="00784757" w:rsidRPr="00784757">
        <w:rPr>
          <w:rFonts w:ascii="Calibri Light" w:hAnsi="Calibri Light" w:cs="Calibri Light"/>
          <w:b/>
          <w:bCs/>
          <w:color w:val="000000"/>
          <w:u w:val="single"/>
          <w:lang w:val="fr-FR"/>
        </w:rPr>
        <w:t xml:space="preserve">ser la portée et l’application </w:t>
      </w:r>
      <w:r w:rsidR="00784757" w:rsidRPr="00784757">
        <w:rPr>
          <w:rFonts w:ascii="Calibri Light" w:hAnsi="Calibri Light" w:cs="Calibri Light"/>
          <w:color w:val="000000"/>
          <w:lang w:val="fr-FR"/>
        </w:rPr>
        <w:t xml:space="preserve">des </w:t>
      </w:r>
      <w:r w:rsidR="00007053" w:rsidRPr="00784757">
        <w:rPr>
          <w:rFonts w:ascii="Calibri Light" w:hAnsi="Calibri Light" w:cs="Calibri Light"/>
          <w:color w:val="000000"/>
          <w:lang w:val="fr-FR"/>
        </w:rPr>
        <w:t xml:space="preserve">cadres réglementaires financiers de l’UE et des </w:t>
      </w:r>
      <w:r w:rsidR="00784757" w:rsidRPr="00784757">
        <w:rPr>
          <w:rFonts w:ascii="Calibri Light" w:hAnsi="Calibri Light" w:cs="Calibri Light"/>
          <w:color w:val="000000"/>
          <w:lang w:val="fr-FR"/>
        </w:rPr>
        <w:t>É</w:t>
      </w:r>
      <w:r w:rsidR="00007053" w:rsidRPr="00784757">
        <w:rPr>
          <w:rFonts w:ascii="Calibri Light" w:hAnsi="Calibri Light" w:cs="Calibri Light"/>
          <w:color w:val="000000"/>
          <w:lang w:val="fr-FR"/>
        </w:rPr>
        <w:t>tats membres</w:t>
      </w:r>
      <w:r w:rsidRPr="00784757">
        <w:rPr>
          <w:rFonts w:ascii="Calibri Light" w:hAnsi="Calibri Light" w:cs="Calibri Light"/>
          <w:i/>
          <w:iCs/>
          <w:color w:val="000000"/>
          <w:lang w:val="fr-FR"/>
        </w:rPr>
        <w:t>,</w:t>
      </w:r>
      <w:r w:rsidRPr="002079AE">
        <w:rPr>
          <w:rFonts w:ascii="Calibri Light" w:hAnsi="Calibri Light" w:cs="Calibri Light"/>
          <w:color w:val="000000"/>
          <w:lang w:val="fr-FR"/>
        </w:rPr>
        <w:t xml:space="preserve"> </w:t>
      </w:r>
      <w:r w:rsidR="00007053">
        <w:rPr>
          <w:rFonts w:ascii="Calibri Light" w:hAnsi="Calibri Light" w:cs="Calibri Light"/>
          <w:color w:val="000000"/>
          <w:lang w:val="fr-FR"/>
        </w:rPr>
        <w:t>et ce</w:t>
      </w:r>
      <w:r w:rsidR="00784757">
        <w:rPr>
          <w:rFonts w:ascii="Calibri Light" w:hAnsi="Calibri Light" w:cs="Calibri Light"/>
          <w:color w:val="000000"/>
          <w:lang w:val="fr-FR"/>
        </w:rPr>
        <w:t xml:space="preserve"> pour tous les </w:t>
      </w:r>
      <w:r w:rsidR="00737E6D">
        <w:rPr>
          <w:rFonts w:ascii="Calibri Light" w:hAnsi="Calibri Light" w:cs="Calibri Light"/>
          <w:color w:val="000000"/>
          <w:lang w:val="fr-FR"/>
        </w:rPr>
        <w:t>prestataires, dans</w:t>
      </w:r>
      <w:r w:rsidRPr="002079AE">
        <w:rPr>
          <w:rFonts w:ascii="Calibri Light" w:hAnsi="Calibri Light" w:cs="Calibri Light"/>
          <w:color w:val="000000"/>
          <w:lang w:val="fr-FR"/>
        </w:rPr>
        <w:t xml:space="preserve"> la mesure où le </w:t>
      </w:r>
      <w:r w:rsidRPr="002079AE">
        <w:rPr>
          <w:rFonts w:ascii="Calibri Light" w:hAnsi="Calibri Light" w:cs="Calibri Light"/>
          <w:b/>
          <w:bCs/>
          <w:color w:val="000000"/>
          <w:lang w:val="fr-FR"/>
        </w:rPr>
        <w:t>serv</w:t>
      </w:r>
      <w:r w:rsidRPr="00277A6C">
        <w:rPr>
          <w:rFonts w:ascii="Calibri Light" w:hAnsi="Calibri Light" w:cs="Calibri Light"/>
          <w:b/>
          <w:bCs/>
          <w:color w:val="000000"/>
          <w:lang w:val="fr-BE"/>
        </w:rPr>
        <w:t xml:space="preserve">ice </w:t>
      </w:r>
      <w:r w:rsidR="00784757">
        <w:rPr>
          <w:rFonts w:ascii="Calibri Light" w:hAnsi="Calibri Light" w:cs="Calibri Light"/>
          <w:b/>
          <w:bCs/>
          <w:color w:val="000000"/>
          <w:lang w:val="fr-BE"/>
        </w:rPr>
        <w:t xml:space="preserve">principal </w:t>
      </w:r>
      <w:r w:rsidRPr="00277A6C">
        <w:rPr>
          <w:rFonts w:ascii="Calibri Light" w:hAnsi="Calibri Light" w:cs="Calibri Light"/>
          <w:color w:val="000000"/>
          <w:lang w:val="fr-BE"/>
        </w:rPr>
        <w:t>est un service financier.</w:t>
      </w:r>
    </w:p>
    <w:p w14:paraId="531C4314" w14:textId="2EF05190" w:rsidR="00B04099" w:rsidRPr="00277A6C" w:rsidRDefault="00007053">
      <w:pPr>
        <w:jc w:val="both"/>
        <w:rPr>
          <w:rFonts w:ascii="Calibri Light" w:hAnsi="Calibri Light" w:cs="Calibri Light"/>
          <w:color w:val="000000"/>
          <w:lang w:val="fr-BE"/>
        </w:rPr>
      </w:pPr>
      <w:r>
        <w:rPr>
          <w:rFonts w:ascii="Calibri Light" w:hAnsi="Calibri Light" w:cs="Calibri Light"/>
          <w:color w:val="000000"/>
          <w:lang w:val="fr-BE"/>
        </w:rPr>
        <w:t>Sur la base de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 notre compréhension des faits, l'un des problèmes</w:t>
      </w:r>
      <w:r w:rsidR="005103F3">
        <w:rPr>
          <w:rFonts w:ascii="Calibri Light" w:hAnsi="Calibri Light" w:cs="Calibri Light"/>
          <w:color w:val="000000"/>
          <w:lang w:val="fr-BE"/>
        </w:rPr>
        <w:t xml:space="preserve"> </w:t>
      </w:r>
      <w:r w:rsidR="00D95575">
        <w:rPr>
          <w:rFonts w:ascii="Calibri Light" w:hAnsi="Calibri Light" w:cs="Calibri Light"/>
          <w:color w:val="000000"/>
          <w:lang w:val="fr-BE"/>
        </w:rPr>
        <w:t>était</w:t>
      </w:r>
      <w:r>
        <w:rPr>
          <w:rFonts w:ascii="Calibri Light" w:hAnsi="Calibri Light" w:cs="Calibri Light"/>
          <w:color w:val="000000"/>
          <w:lang w:val="fr-BE"/>
        </w:rPr>
        <w:t xml:space="preserve"> que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l'</w:t>
      </w:r>
      <w:r>
        <w:rPr>
          <w:rFonts w:ascii="Calibri Light" w:hAnsi="Calibri Light" w:cs="Calibri Light"/>
          <w:color w:val="000000"/>
          <w:lang w:val="fr-BE"/>
        </w:rPr>
        <w:t>A</w:t>
      </w:r>
      <w:r w:rsidR="00277A6C" w:rsidRPr="00277A6C">
        <w:rPr>
          <w:rFonts w:ascii="Calibri Light" w:hAnsi="Calibri Light" w:cs="Calibri Light"/>
          <w:color w:val="000000"/>
          <w:lang w:val="fr-BE"/>
        </w:rPr>
        <w:t>utorité allemande de surveillance financière (</w:t>
      </w:r>
      <w:r w:rsidR="00277A6C" w:rsidRPr="00007053">
        <w:rPr>
          <w:rFonts w:ascii="Calibri Light" w:hAnsi="Calibri Light" w:cs="Calibri Light"/>
          <w:i/>
          <w:iCs/>
          <w:color w:val="000000"/>
          <w:lang w:val="fr-BE"/>
        </w:rPr>
        <w:t>Bundesanstalt für Finanzdienstleistungsuafsicht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 - BaFin) </w:t>
      </w:r>
      <w:r>
        <w:rPr>
          <w:rFonts w:ascii="Calibri Light" w:hAnsi="Calibri Light" w:cs="Calibri Light"/>
          <w:color w:val="000000"/>
          <w:lang w:val="fr-BE"/>
        </w:rPr>
        <w:t>n’</w:t>
      </w:r>
      <w:r w:rsidR="005103F3">
        <w:rPr>
          <w:rFonts w:ascii="Calibri Light" w:hAnsi="Calibri Light" w:cs="Calibri Light"/>
          <w:color w:val="000000"/>
          <w:lang w:val="fr-BE"/>
        </w:rPr>
        <w:t xml:space="preserve">était pas entièrement compétente pour </w:t>
      </w:r>
      <w:r>
        <w:rPr>
          <w:rFonts w:ascii="Calibri Light" w:hAnsi="Calibri Light" w:cs="Calibri Light"/>
          <w:color w:val="000000"/>
          <w:lang w:val="fr-BE"/>
        </w:rPr>
        <w:t>la s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urveillance directe de Wirecard AG </w:t>
      </w:r>
      <w:r>
        <w:rPr>
          <w:rFonts w:ascii="Calibri Light" w:hAnsi="Calibri Light" w:cs="Calibri Light"/>
          <w:color w:val="000000"/>
          <w:lang w:val="fr-BE"/>
        </w:rPr>
        <w:t xml:space="preserve">– alors qu’elle était pleinement compétente pour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Wirecard Bank AG </w:t>
      </w:r>
      <w:r>
        <w:rPr>
          <w:rFonts w:ascii="Calibri Light" w:hAnsi="Calibri Light" w:cs="Calibri Light"/>
          <w:color w:val="000000"/>
          <w:lang w:val="fr-BE"/>
        </w:rPr>
        <w:t>–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 ce qui a pu retarder</w:t>
      </w:r>
      <w:r>
        <w:rPr>
          <w:rFonts w:ascii="Calibri Light" w:hAnsi="Calibri Light" w:cs="Calibri Light"/>
          <w:color w:val="000000"/>
          <w:lang w:val="fr-BE"/>
        </w:rPr>
        <w:t xml:space="preserve"> ici son action. </w:t>
      </w:r>
    </w:p>
    <w:p w14:paraId="531C4315" w14:textId="2EAF79B0" w:rsidR="00B04099" w:rsidRPr="00277A6C" w:rsidRDefault="00171FDF">
      <w:pPr>
        <w:spacing w:after="120"/>
        <w:jc w:val="both"/>
        <w:rPr>
          <w:lang w:val="fr-BE"/>
        </w:rPr>
      </w:pPr>
      <w:r>
        <w:rPr>
          <w:rFonts w:ascii="Calibri Light" w:hAnsi="Calibri Light" w:cs="Calibri Light"/>
          <w:color w:val="000000"/>
          <w:lang w:val="fr-BE"/>
        </w:rPr>
        <w:t xml:space="preserve">Les données de recherche de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BETTER FINANCE</w:t>
      </w:r>
      <w:r w:rsidR="00277A6C">
        <w:rPr>
          <w:rStyle w:val="FootnoteReference"/>
          <w:rFonts w:ascii="Calibri Light" w:hAnsi="Calibri Light" w:cs="Calibri Light"/>
          <w:color w:val="000000"/>
        </w:rPr>
        <w:footnoteReference w:id="6"/>
      </w:r>
      <w:r>
        <w:rPr>
          <w:rFonts w:ascii="Calibri Light" w:hAnsi="Calibri Light" w:cs="Calibri Light"/>
          <w:color w:val="000000"/>
          <w:lang w:val="fr-BE"/>
        </w:rPr>
        <w:t xml:space="preserve">montrent que dans bien des cas,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les entreprises européennes de </w:t>
      </w:r>
      <w:r>
        <w:rPr>
          <w:rFonts w:ascii="Calibri Light" w:hAnsi="Calibri Light" w:cs="Calibri Light"/>
          <w:color w:val="000000"/>
          <w:lang w:val="fr-BE"/>
        </w:rPr>
        <w:t xml:space="preserve">la fintech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sont </w:t>
      </w:r>
      <w:r>
        <w:rPr>
          <w:rFonts w:ascii="Calibri Light" w:hAnsi="Calibri Light" w:cs="Calibri Light"/>
          <w:color w:val="000000"/>
          <w:lang w:val="fr-BE"/>
        </w:rPr>
        <w:t>considérées et traitées comme des en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treprises </w:t>
      </w:r>
      <w:r>
        <w:rPr>
          <w:rFonts w:ascii="Calibri Light" w:hAnsi="Calibri Light" w:cs="Calibri Light"/>
          <w:color w:val="000000"/>
          <w:lang w:val="fr-BE"/>
        </w:rPr>
        <w:t>« </w:t>
      </w:r>
      <w:r w:rsidR="00277A6C" w:rsidRPr="00277A6C">
        <w:rPr>
          <w:rFonts w:ascii="Calibri Light" w:hAnsi="Calibri Light" w:cs="Calibri Light"/>
          <w:color w:val="000000"/>
          <w:lang w:val="fr-BE"/>
        </w:rPr>
        <w:t>technologiques</w:t>
      </w:r>
      <w:r>
        <w:rPr>
          <w:rFonts w:ascii="Calibri Light" w:hAnsi="Calibri Light" w:cs="Calibri Light"/>
          <w:color w:val="000000"/>
          <w:lang w:val="fr-BE"/>
        </w:rPr>
        <w:t xml:space="preserve"> » et non comme des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prestataires de services financiers, </w:t>
      </w:r>
      <w:r>
        <w:rPr>
          <w:rFonts w:ascii="Calibri Light" w:hAnsi="Calibri Light" w:cs="Calibri Light"/>
          <w:color w:val="000000"/>
          <w:lang w:val="fr-BE"/>
        </w:rPr>
        <w:t xml:space="preserve">et ce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même lorsqu'elles sont </w:t>
      </w:r>
      <w:r>
        <w:rPr>
          <w:rFonts w:ascii="Calibri Light" w:hAnsi="Calibri Light" w:cs="Calibri Light"/>
          <w:color w:val="000000"/>
          <w:lang w:val="fr-BE"/>
        </w:rPr>
        <w:t>d</w:t>
      </w:r>
      <w:r w:rsidR="00277A6C" w:rsidRPr="00277A6C">
        <w:rPr>
          <w:rFonts w:ascii="Calibri Light" w:hAnsi="Calibri Light" w:cs="Calibri Light"/>
          <w:color w:val="000000"/>
          <w:lang w:val="fr-BE"/>
        </w:rPr>
        <w:t>ûment enregistrées en tant qu'intermédiaires financiers (par exemple, conseillers, entreprises d'investissement) auprès des autorités de surveillance compétentes.</w:t>
      </w:r>
    </w:p>
    <w:p w14:paraId="531C4316" w14:textId="35B75BA9" w:rsidR="00B04099" w:rsidRPr="00277A6C" w:rsidRDefault="00277A6C">
      <w:pPr>
        <w:jc w:val="both"/>
        <w:rPr>
          <w:rFonts w:ascii="Calibri Light" w:hAnsi="Calibri Light" w:cs="Calibri Light"/>
          <w:color w:val="000000"/>
          <w:lang w:val="fr-BE"/>
        </w:rPr>
      </w:pPr>
      <w:r w:rsidRPr="00277A6C">
        <w:rPr>
          <w:rFonts w:ascii="Calibri Light" w:hAnsi="Calibri Light" w:cs="Calibri Light"/>
          <w:color w:val="000000"/>
          <w:lang w:val="fr-BE"/>
        </w:rPr>
        <w:t>L</w:t>
      </w:r>
      <w:r w:rsidR="00171FDF">
        <w:rPr>
          <w:rFonts w:ascii="Calibri Light" w:hAnsi="Calibri Light" w:cs="Calibri Light"/>
          <w:color w:val="000000"/>
          <w:lang w:val="fr-BE"/>
        </w:rPr>
        <w:t>a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réglementation et la surveillance de l'UE et des États membres doivent s'appliquer de manière </w:t>
      </w:r>
      <w:r w:rsidR="00171FDF">
        <w:rPr>
          <w:rFonts w:ascii="Calibri Light" w:hAnsi="Calibri Light" w:cs="Calibri Light"/>
          <w:color w:val="000000"/>
          <w:lang w:val="fr-BE"/>
        </w:rPr>
        <w:t xml:space="preserve">uniforme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à tous les prestataires </w:t>
      </w:r>
      <w:r w:rsidR="00171FDF">
        <w:rPr>
          <w:rFonts w:ascii="Calibri Light" w:hAnsi="Calibri Light" w:cs="Calibri Light"/>
          <w:color w:val="000000"/>
          <w:lang w:val="fr-BE"/>
        </w:rPr>
        <w:t xml:space="preserve">actifs sur un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marché spécifique (les services de paiement en l'occurrence), </w:t>
      </w:r>
      <w:r w:rsidR="00171FDF">
        <w:rPr>
          <w:rFonts w:ascii="Calibri Light" w:hAnsi="Calibri Light" w:cs="Calibri Light"/>
          <w:color w:val="000000"/>
          <w:lang w:val="fr-BE"/>
        </w:rPr>
        <w:t xml:space="preserve">et ce </w:t>
      </w:r>
      <w:r w:rsidRPr="00277A6C">
        <w:rPr>
          <w:rFonts w:ascii="Calibri Light" w:hAnsi="Calibri Light" w:cs="Calibri Light"/>
          <w:color w:val="000000"/>
          <w:lang w:val="fr-BE"/>
        </w:rPr>
        <w:t>quel que soit l</w:t>
      </w:r>
      <w:r w:rsidR="005103F3">
        <w:rPr>
          <w:rFonts w:ascii="Calibri Light" w:hAnsi="Calibri Light" w:cs="Calibri Light"/>
          <w:color w:val="000000"/>
          <w:lang w:val="fr-BE"/>
        </w:rPr>
        <w:t xml:space="preserve">e type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de prestataire (banque ou organisme non bancaire </w:t>
      </w:r>
      <w:r w:rsidR="00171FDF">
        <w:rPr>
          <w:rFonts w:ascii="Calibri Light" w:hAnsi="Calibri Light" w:cs="Calibri Light"/>
          <w:color w:val="000000"/>
          <w:lang w:val="fr-BE"/>
        </w:rPr>
        <w:t>dans l’affaire Wirecard</w:t>
      </w:r>
      <w:r w:rsidRPr="00277A6C">
        <w:rPr>
          <w:rFonts w:ascii="Calibri Light" w:hAnsi="Calibri Light" w:cs="Calibri Light"/>
          <w:color w:val="000000"/>
          <w:lang w:val="fr-BE"/>
        </w:rPr>
        <w:t>), afin de garantir que</w:t>
      </w:r>
      <w:r w:rsidR="00171FDF">
        <w:rPr>
          <w:rFonts w:ascii="Calibri Light" w:hAnsi="Calibri Light" w:cs="Calibri Light"/>
          <w:color w:val="000000"/>
          <w:lang w:val="fr-BE"/>
        </w:rPr>
        <w:t xml:space="preserve"> </w:t>
      </w:r>
      <w:r w:rsidR="005103F3">
        <w:rPr>
          <w:rFonts w:ascii="Calibri Light" w:hAnsi="Calibri Light" w:cs="Calibri Light"/>
          <w:color w:val="000000"/>
          <w:lang w:val="fr-BE"/>
        </w:rPr>
        <w:t>c</w:t>
      </w:r>
      <w:r w:rsidR="00171FDF">
        <w:rPr>
          <w:rFonts w:ascii="Calibri Light" w:hAnsi="Calibri Light" w:cs="Calibri Light"/>
          <w:color w:val="000000"/>
          <w:lang w:val="fr-BE"/>
        </w:rPr>
        <w:t xml:space="preserve">e cadre de réglementation financière </w:t>
      </w:r>
      <w:r w:rsidR="00D95575">
        <w:rPr>
          <w:rFonts w:ascii="Calibri Light" w:hAnsi="Calibri Light" w:cs="Calibri Light"/>
          <w:color w:val="000000"/>
          <w:lang w:val="fr-BE"/>
        </w:rPr>
        <w:t>laborieusement</w:t>
      </w:r>
      <w:r w:rsidR="00171FDF">
        <w:rPr>
          <w:rFonts w:ascii="Calibri Light" w:hAnsi="Calibri Light" w:cs="Calibri Light"/>
          <w:color w:val="000000"/>
          <w:lang w:val="fr-BE"/>
        </w:rPr>
        <w:t xml:space="preserve"> mis en </w:t>
      </w:r>
      <w:r w:rsidR="005103F3">
        <w:rPr>
          <w:rFonts w:ascii="Calibri Light" w:hAnsi="Calibri Light" w:cs="Calibri Light"/>
          <w:color w:val="000000"/>
          <w:lang w:val="fr-BE"/>
        </w:rPr>
        <w:t xml:space="preserve">place </w:t>
      </w:r>
      <w:r w:rsidR="005103F3" w:rsidRPr="00277A6C">
        <w:rPr>
          <w:rFonts w:ascii="Calibri Light" w:hAnsi="Calibri Light" w:cs="Calibri Light"/>
          <w:color w:val="000000"/>
          <w:lang w:val="fr-BE"/>
        </w:rPr>
        <w:t>produise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les effets escomptés. L'AEMF doit veiller à l'application</w:t>
      </w:r>
      <w:r w:rsidR="00171FDF">
        <w:rPr>
          <w:rFonts w:ascii="Calibri Light" w:hAnsi="Calibri Light" w:cs="Calibri Light"/>
          <w:color w:val="000000"/>
          <w:lang w:val="fr-BE"/>
        </w:rPr>
        <w:t xml:space="preserve"> uniforme </w:t>
      </w:r>
      <w:r w:rsidRPr="00277A6C">
        <w:rPr>
          <w:rFonts w:ascii="Calibri Light" w:hAnsi="Calibri Light" w:cs="Calibri Light"/>
          <w:color w:val="000000"/>
          <w:lang w:val="fr-BE"/>
        </w:rPr>
        <w:t>des règles de l'UE dans tous les États membres.</w:t>
      </w:r>
    </w:p>
    <w:p w14:paraId="531C4317" w14:textId="243B48B6" w:rsidR="00B04099" w:rsidRPr="00277A6C" w:rsidRDefault="00277A6C">
      <w:pPr>
        <w:shd w:val="clear" w:color="auto" w:fill="0070C0"/>
        <w:ind w:left="709"/>
        <w:jc w:val="both"/>
        <w:rPr>
          <w:lang w:val="fr-BE"/>
        </w:rPr>
      </w:pP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ab/>
        <w:t>ÉCHEC DE LA SURVEILLANCE :</w:t>
      </w:r>
      <w:r>
        <w:rPr>
          <w:rFonts w:ascii="Calibri Light" w:hAnsi="Calibri Light" w:cs="Calibri Light"/>
          <w:noProof/>
          <w:color w:val="FFFFFF"/>
        </w:rPr>
        <w:drawing>
          <wp:anchor distT="0" distB="0" distL="114300" distR="114300" simplePos="0" relativeHeight="251655680" behindDoc="0" locked="0" layoutInCell="1" allowOverlap="1" wp14:anchorId="531C4307" wp14:editId="531C4308">
            <wp:simplePos x="0" y="0"/>
            <wp:positionH relativeFrom="margin">
              <wp:posOffset>0</wp:posOffset>
            </wp:positionH>
            <wp:positionV relativeFrom="paragraph">
              <wp:posOffset>48892</wp:posOffset>
            </wp:positionV>
            <wp:extent cx="276221" cy="276221"/>
            <wp:effectExtent l="0" t="0" r="0" b="0"/>
            <wp:wrapThrough wrapText="bothSides">
              <wp:wrapPolygon edited="0">
                <wp:start x="2986" y="0"/>
                <wp:lineTo x="0" y="5972"/>
                <wp:lineTo x="0" y="11945"/>
                <wp:lineTo x="4479" y="19410"/>
                <wp:lineTo x="16424" y="19410"/>
                <wp:lineTo x="19410" y="11945"/>
                <wp:lineTo x="19410" y="5972"/>
                <wp:lineTo x="14931" y="0"/>
                <wp:lineTo x="2986" y="0"/>
              </wp:wrapPolygon>
            </wp:wrapThrough>
            <wp:docPr id="6" name="Graphic 3" descr="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1" cy="276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ab/>
      </w:r>
      <w:r w:rsidR="00171FDF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ANALYSER LE 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FONCTIONNEMENT ET LES OBJECTIFS DES AUTORITÉS PUBLIQUES DE SURVEILLANCE DANS CE</w:t>
      </w:r>
      <w:r w:rsidR="00171FDF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TTE AFFAIRE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 </w:t>
      </w:r>
    </w:p>
    <w:p w14:paraId="531C4318" w14:textId="6550B7A4" w:rsidR="00B04099" w:rsidRPr="00277A6C" w:rsidRDefault="00277A6C">
      <w:pPr>
        <w:spacing w:after="120"/>
        <w:jc w:val="both"/>
        <w:rPr>
          <w:rFonts w:ascii="Calibri Light" w:eastAsia="Times New Roman" w:hAnsi="Calibri Light" w:cs="Calibri Light"/>
          <w:lang w:val="fr-BE"/>
        </w:rPr>
      </w:pPr>
      <w:r w:rsidRPr="00277A6C">
        <w:rPr>
          <w:rFonts w:ascii="Calibri Light" w:eastAsia="Times New Roman" w:hAnsi="Calibri Light" w:cs="Calibri Light"/>
          <w:lang w:val="fr-BE"/>
        </w:rPr>
        <w:t>L'</w:t>
      </w:r>
      <w:r w:rsidR="005103F3">
        <w:rPr>
          <w:rFonts w:ascii="Calibri Light" w:eastAsia="Times New Roman" w:hAnsi="Calibri Light" w:cs="Calibri Light"/>
          <w:lang w:val="fr-BE"/>
        </w:rPr>
        <w:t xml:space="preserve">autorité allemande </w:t>
      </w:r>
      <w:r w:rsidRPr="00277A6C">
        <w:rPr>
          <w:rFonts w:ascii="Calibri Light" w:eastAsia="Times New Roman" w:hAnsi="Calibri Light" w:cs="Calibri Light"/>
          <w:lang w:val="fr-BE"/>
        </w:rPr>
        <w:t>de surveillance financière dispose-t-</w:t>
      </w:r>
      <w:r w:rsidR="005103F3">
        <w:rPr>
          <w:rFonts w:ascii="Calibri Light" w:eastAsia="Times New Roman" w:hAnsi="Calibri Light" w:cs="Calibri Light"/>
          <w:lang w:val="fr-BE"/>
        </w:rPr>
        <w:t>elle</w:t>
      </w:r>
      <w:r w:rsidRPr="00277A6C">
        <w:rPr>
          <w:rFonts w:ascii="Calibri Light" w:eastAsia="Times New Roman" w:hAnsi="Calibri Light" w:cs="Calibri Light"/>
          <w:lang w:val="fr-BE"/>
        </w:rPr>
        <w:t xml:space="preserve"> des</w:t>
      </w:r>
      <w:r w:rsidR="00F33AFB">
        <w:rPr>
          <w:rFonts w:ascii="Calibri Light" w:eastAsia="Times New Roman" w:hAnsi="Calibri Light" w:cs="Calibri Light"/>
          <w:lang w:val="fr-BE"/>
        </w:rPr>
        <w:t xml:space="preserve"> compétences et d’objectifs statutaires et de gouvernance pour </w:t>
      </w:r>
      <w:r w:rsidRPr="00277A6C">
        <w:rPr>
          <w:rFonts w:ascii="Calibri Light" w:eastAsia="Times New Roman" w:hAnsi="Calibri Light" w:cs="Calibri Light"/>
          <w:lang w:val="fr-BE"/>
        </w:rPr>
        <w:t xml:space="preserve">prévenir des défaillances du marché </w:t>
      </w:r>
      <w:r w:rsidR="00F33AFB">
        <w:rPr>
          <w:rFonts w:ascii="Calibri Light" w:eastAsia="Times New Roman" w:hAnsi="Calibri Light" w:cs="Calibri Light"/>
          <w:lang w:val="fr-BE"/>
        </w:rPr>
        <w:t xml:space="preserve">d’une telle ampleur </w:t>
      </w:r>
      <w:r w:rsidRPr="00277A6C">
        <w:rPr>
          <w:rFonts w:ascii="Calibri Light" w:eastAsia="Times New Roman" w:hAnsi="Calibri Light" w:cs="Calibri Light"/>
          <w:lang w:val="fr-BE"/>
        </w:rPr>
        <w:t>?</w:t>
      </w:r>
    </w:p>
    <w:p w14:paraId="531C4319" w14:textId="7FE98391" w:rsidR="00B04099" w:rsidRPr="00277A6C" w:rsidRDefault="00277A6C">
      <w:pPr>
        <w:spacing w:after="120"/>
        <w:jc w:val="both"/>
        <w:rPr>
          <w:lang w:val="fr-BE"/>
        </w:rPr>
      </w:pPr>
      <w:r w:rsidRPr="00277A6C">
        <w:rPr>
          <w:rFonts w:ascii="Calibri Light" w:eastAsia="Times New Roman" w:hAnsi="Calibri Light" w:cs="Calibri Light"/>
          <w:lang w:val="fr-BE"/>
        </w:rPr>
        <w:t xml:space="preserve">BETTER FINANCE félicite la Commission européenne d'avoir rapidement demandé </w:t>
      </w:r>
      <w:r w:rsidRPr="00277A6C">
        <w:rPr>
          <w:rFonts w:ascii="Calibri Light" w:hAnsi="Calibri Light" w:cs="Calibri Light"/>
          <w:lang w:val="fr-BE"/>
        </w:rPr>
        <w:t xml:space="preserve">une analyse qui </w:t>
      </w:r>
      <w:r w:rsidR="00F33AFB">
        <w:rPr>
          <w:rFonts w:ascii="Calibri Light" w:hAnsi="Calibri Light" w:cs="Calibri Light"/>
          <w:i/>
          <w:iCs/>
          <w:color w:val="0A0A0A"/>
          <w:lang w:val="fr-BE"/>
        </w:rPr>
        <w:t>« </w:t>
      </w:r>
      <w:r w:rsidRPr="00277A6C">
        <w:rPr>
          <w:rFonts w:ascii="Calibri Light" w:hAnsi="Calibri Light" w:cs="Calibri Light"/>
          <w:i/>
          <w:iCs/>
          <w:color w:val="0A0A0A"/>
          <w:lang w:val="fr-BE"/>
        </w:rPr>
        <w:t xml:space="preserve">devrait chercher à établir une description et une évaluation complètes des événements, </w:t>
      </w:r>
      <w:r w:rsidR="00F33AFB">
        <w:rPr>
          <w:rFonts w:ascii="Calibri Light" w:hAnsi="Calibri Light" w:cs="Calibri Light"/>
          <w:i/>
          <w:iCs/>
          <w:color w:val="0A0A0A"/>
          <w:lang w:val="fr-BE"/>
        </w:rPr>
        <w:t xml:space="preserve">et notamment </w:t>
      </w:r>
      <w:r w:rsidR="00F33AFB">
        <w:rPr>
          <w:rFonts w:ascii="Calibri Light" w:hAnsi="Calibri Light" w:cs="Calibri Light"/>
          <w:i/>
          <w:iCs/>
          <w:color w:val="0A0A0A"/>
          <w:lang w:val="fr-BE"/>
        </w:rPr>
        <w:lastRenderedPageBreak/>
        <w:t>la pertinence de la ré</w:t>
      </w:r>
      <w:r w:rsidR="005103F3">
        <w:rPr>
          <w:rFonts w:ascii="Calibri Light" w:hAnsi="Calibri Light" w:cs="Calibri Light"/>
          <w:i/>
          <w:iCs/>
          <w:color w:val="0A0A0A"/>
          <w:lang w:val="fr-BE"/>
        </w:rPr>
        <w:t xml:space="preserve">action </w:t>
      </w:r>
      <w:r w:rsidR="00F33AFB">
        <w:rPr>
          <w:rFonts w:ascii="Calibri Light" w:hAnsi="Calibri Light" w:cs="Calibri Light"/>
          <w:i/>
          <w:iCs/>
          <w:color w:val="0A0A0A"/>
          <w:lang w:val="fr-BE"/>
        </w:rPr>
        <w:t xml:space="preserve">de surveillance à </w:t>
      </w:r>
      <w:r w:rsidRPr="00277A6C">
        <w:rPr>
          <w:rFonts w:ascii="Calibri Light" w:hAnsi="Calibri Light" w:cs="Calibri Light"/>
          <w:i/>
          <w:iCs/>
          <w:color w:val="0A0A0A"/>
          <w:lang w:val="fr-BE"/>
        </w:rPr>
        <w:t>ces événements</w:t>
      </w:r>
      <w:r w:rsidR="00F33AFB">
        <w:rPr>
          <w:rFonts w:ascii="Calibri Light" w:hAnsi="Calibri Light" w:cs="Calibri Light"/>
          <w:i/>
          <w:iCs/>
          <w:color w:val="0A0A0A"/>
          <w:lang w:val="fr-BE"/>
        </w:rPr>
        <w:t> »</w:t>
      </w:r>
      <w:r w:rsidRPr="00277A6C">
        <w:rPr>
          <w:rFonts w:ascii="Calibri Light" w:hAnsi="Calibri Light" w:cs="Calibri Light"/>
          <w:i/>
          <w:iCs/>
          <w:color w:val="0A0A0A"/>
          <w:lang w:val="fr-BE"/>
        </w:rPr>
        <w:t xml:space="preserve">, </w:t>
      </w:r>
      <w:r w:rsidRPr="00277A6C">
        <w:rPr>
          <w:rFonts w:ascii="Calibri Light" w:hAnsi="Calibri Light" w:cs="Calibri Light"/>
          <w:color w:val="0A0A0A"/>
          <w:lang w:val="fr-BE"/>
        </w:rPr>
        <w:t xml:space="preserve">et espère qu'elle </w:t>
      </w:r>
      <w:r w:rsidR="00F33AFB">
        <w:rPr>
          <w:rFonts w:ascii="Calibri Light" w:hAnsi="Calibri Light" w:cs="Calibri Light"/>
          <w:color w:val="0A0A0A"/>
          <w:lang w:val="fr-BE"/>
        </w:rPr>
        <w:t xml:space="preserve">apportera </w:t>
      </w:r>
      <w:r w:rsidRPr="00277A6C">
        <w:rPr>
          <w:rFonts w:ascii="Calibri Light" w:hAnsi="Calibri Light" w:cs="Calibri Light"/>
          <w:color w:val="0A0A0A"/>
          <w:lang w:val="fr-BE"/>
        </w:rPr>
        <w:t xml:space="preserve">des réponses. </w:t>
      </w:r>
    </w:p>
    <w:p w14:paraId="531C431A" w14:textId="03764ACF" w:rsidR="00B04099" w:rsidRPr="00277A6C" w:rsidRDefault="00277A6C">
      <w:pPr>
        <w:shd w:val="clear" w:color="auto" w:fill="0070C0"/>
        <w:jc w:val="both"/>
        <w:rPr>
          <w:lang w:val="fr-BE"/>
        </w:rPr>
      </w:pPr>
      <w:r>
        <w:rPr>
          <w:rFonts w:ascii="Calibri Light" w:hAnsi="Calibri Light" w:cs="Calibri Light"/>
          <w:b/>
          <w:bCs/>
          <w:i/>
          <w:iCs/>
          <w:noProof/>
          <w:color w:val="FFFFFF"/>
        </w:rPr>
        <w:drawing>
          <wp:anchor distT="0" distB="0" distL="114300" distR="114300" simplePos="0" relativeHeight="251656704" behindDoc="0" locked="0" layoutInCell="1" allowOverlap="1" wp14:anchorId="531C4309" wp14:editId="531C430A">
            <wp:simplePos x="0" y="0"/>
            <wp:positionH relativeFrom="margin">
              <wp:align>left</wp:align>
            </wp:positionH>
            <wp:positionV relativeFrom="paragraph">
              <wp:posOffset>43177</wp:posOffset>
            </wp:positionV>
            <wp:extent cx="271147" cy="271147"/>
            <wp:effectExtent l="0" t="0" r="0" b="0"/>
            <wp:wrapThrough wrapText="bothSides">
              <wp:wrapPolygon edited="0">
                <wp:start x="3035" y="0"/>
                <wp:lineTo x="0" y="6070"/>
                <wp:lineTo x="0" y="12141"/>
                <wp:lineTo x="4553" y="19728"/>
                <wp:lineTo x="16693" y="19728"/>
                <wp:lineTo x="19728" y="12141"/>
                <wp:lineTo x="19728" y="6070"/>
                <wp:lineTo x="15176" y="0"/>
                <wp:lineTo x="3035" y="0"/>
              </wp:wrapPolygon>
            </wp:wrapThrough>
            <wp:docPr id="7" name="Graphic 4" descr="Bad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" cy="271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ÉCHEC DE L'AUDIT EXTERNE : </w:t>
      </w:r>
      <w:r w:rsidR="008D6D6B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ANALYSER LES RAISONS DE 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L'ÉCHEC DU CABINET D'AUDIT </w:t>
      </w:r>
      <w:r w:rsidR="000C3807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NOTAMMENT 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L'IMPACT DES </w:t>
      </w:r>
      <w:r w:rsidR="008D6D6B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« 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RELATIONS À LONG TERME</w:t>
      </w:r>
      <w:r w:rsidR="008D6D6B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 »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 </w:t>
      </w:r>
      <w:r w:rsidR="005103F3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ENTRE LES </w:t>
      </w:r>
      <w:r w:rsidR="000C3807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CABINETS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 D'AUDIT </w:t>
      </w:r>
      <w:r w:rsidR="005103F3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ET 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LES SOCIÉTÉS COTÉES EN BOURSE </w:t>
      </w:r>
    </w:p>
    <w:p w14:paraId="531C431B" w14:textId="564431BE" w:rsidR="00B04099" w:rsidRPr="00277A6C" w:rsidRDefault="00277A6C">
      <w:pPr>
        <w:spacing w:after="120"/>
        <w:jc w:val="both"/>
        <w:rPr>
          <w:rFonts w:ascii="Calibri Light" w:hAnsi="Calibri Light" w:cs="Calibri Light"/>
          <w:color w:val="000000"/>
          <w:lang w:val="fr-BE"/>
        </w:rPr>
      </w:pPr>
      <w:r w:rsidRPr="00277A6C">
        <w:rPr>
          <w:rFonts w:ascii="Calibri Light" w:hAnsi="Calibri Light" w:cs="Calibri Light"/>
          <w:color w:val="000000"/>
          <w:lang w:val="fr-BE"/>
        </w:rPr>
        <w:t xml:space="preserve">L'Autorité européenne des marchés financiers (AEMF) devrait coordonner un exercice de surveillance avec les autorités nationales de surveillance (ANS) </w:t>
      </w:r>
      <w:r w:rsidR="008D6D6B">
        <w:rPr>
          <w:rFonts w:ascii="Calibri Light" w:hAnsi="Calibri Light" w:cs="Calibri Light"/>
          <w:color w:val="000000"/>
          <w:lang w:val="fr-BE"/>
        </w:rPr>
        <w:t xml:space="preserve">portant sur les liens étroits existant souvent depuis trop longtemps entre les </w:t>
      </w:r>
      <w:r w:rsidR="000C3807">
        <w:rPr>
          <w:rFonts w:ascii="Calibri Light" w:hAnsi="Calibri Light" w:cs="Calibri Light"/>
          <w:color w:val="000000"/>
          <w:lang w:val="fr-BE"/>
        </w:rPr>
        <w:t>cabinets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d'audit </w:t>
      </w:r>
      <w:r w:rsidR="005103F3">
        <w:rPr>
          <w:rFonts w:ascii="Calibri Light" w:hAnsi="Calibri Light" w:cs="Calibri Light"/>
          <w:color w:val="000000"/>
          <w:lang w:val="fr-BE"/>
        </w:rPr>
        <w:t xml:space="preserve">et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leurs </w:t>
      </w:r>
      <w:r w:rsidR="008D6D6B">
        <w:rPr>
          <w:rFonts w:ascii="Calibri Light" w:hAnsi="Calibri Light" w:cs="Calibri Light"/>
          <w:color w:val="000000"/>
          <w:lang w:val="fr-BE"/>
        </w:rPr>
        <w:t>« </w:t>
      </w:r>
      <w:r w:rsidRPr="00277A6C">
        <w:rPr>
          <w:rFonts w:ascii="Calibri Light" w:hAnsi="Calibri Light" w:cs="Calibri Light"/>
          <w:color w:val="000000"/>
          <w:lang w:val="fr-BE"/>
        </w:rPr>
        <w:t>clients</w:t>
      </w:r>
      <w:r w:rsidR="008D6D6B">
        <w:rPr>
          <w:rFonts w:ascii="Calibri Light" w:hAnsi="Calibri Light" w:cs="Calibri Light"/>
          <w:color w:val="000000"/>
          <w:lang w:val="fr-BE"/>
        </w:rPr>
        <w:t> »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, c'est-à-dire les sociétés cotées en bourse </w:t>
      </w:r>
      <w:r w:rsidR="005103F3">
        <w:rPr>
          <w:rFonts w:ascii="Calibri Light" w:hAnsi="Calibri Light" w:cs="Calibri Light"/>
          <w:color w:val="000000"/>
          <w:lang w:val="fr-BE"/>
        </w:rPr>
        <w:t xml:space="preserve">devant faire l’objet de contrôles par le biais </w:t>
      </w:r>
      <w:r w:rsidR="008D6D6B">
        <w:rPr>
          <w:rFonts w:ascii="Calibri Light" w:hAnsi="Calibri Light" w:cs="Calibri Light"/>
          <w:color w:val="000000"/>
          <w:lang w:val="fr-BE"/>
        </w:rPr>
        <w:t xml:space="preserve">d’audits </w:t>
      </w:r>
      <w:r w:rsidRPr="00277A6C">
        <w:rPr>
          <w:rFonts w:ascii="Calibri Light" w:hAnsi="Calibri Light" w:cs="Calibri Light"/>
          <w:color w:val="000000"/>
          <w:lang w:val="fr-BE"/>
        </w:rPr>
        <w:t>financiers.</w:t>
      </w:r>
    </w:p>
    <w:p w14:paraId="531C431C" w14:textId="5A34D624" w:rsidR="00B04099" w:rsidRPr="00277A6C" w:rsidRDefault="00277A6C">
      <w:pPr>
        <w:jc w:val="both"/>
        <w:rPr>
          <w:lang w:val="fr-BE"/>
        </w:rPr>
      </w:pPr>
      <w:r>
        <w:rPr>
          <w:rFonts w:ascii="Calibri Light" w:hAnsi="Calibri Light" w:cs="Calibri Light"/>
          <w:noProof/>
          <w:color w:val="0070C0"/>
        </w:rPr>
        <w:drawing>
          <wp:anchor distT="0" distB="0" distL="114300" distR="114300" simplePos="0" relativeHeight="251657728" behindDoc="0" locked="0" layoutInCell="1" allowOverlap="1" wp14:anchorId="531C430B" wp14:editId="531C430C">
            <wp:simplePos x="0" y="0"/>
            <wp:positionH relativeFrom="margin">
              <wp:posOffset>0</wp:posOffset>
            </wp:positionH>
            <wp:positionV relativeFrom="paragraph">
              <wp:posOffset>617220</wp:posOffset>
            </wp:positionV>
            <wp:extent cx="271147" cy="271147"/>
            <wp:effectExtent l="0" t="0" r="0" b="0"/>
            <wp:wrapThrough wrapText="bothSides">
              <wp:wrapPolygon edited="0">
                <wp:start x="3035" y="0"/>
                <wp:lineTo x="0" y="6070"/>
                <wp:lineTo x="0" y="12141"/>
                <wp:lineTo x="4553" y="19728"/>
                <wp:lineTo x="16693" y="19728"/>
                <wp:lineTo x="19728" y="12141"/>
                <wp:lineTo x="19728" y="6070"/>
                <wp:lineTo x="15176" y="0"/>
                <wp:lineTo x="3035" y="0"/>
              </wp:wrapPolygon>
            </wp:wrapThrough>
            <wp:docPr id="8" name="Graphic 5" descr="Bad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" cy="271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D6D6B">
        <w:rPr>
          <w:rFonts w:ascii="Calibri Light" w:hAnsi="Calibri Light" w:cs="Calibri Light"/>
          <w:color w:val="000000"/>
          <w:lang w:val="fr-BE"/>
        </w:rPr>
        <w:t xml:space="preserve">Même si les </w:t>
      </w:r>
      <w:r w:rsidRPr="00277A6C">
        <w:rPr>
          <w:rFonts w:ascii="Calibri Light" w:hAnsi="Calibri Light" w:cs="Calibri Light"/>
          <w:color w:val="000000"/>
          <w:lang w:val="fr-BE"/>
        </w:rPr>
        <w:t>informations disponibles ne</w:t>
      </w:r>
      <w:r w:rsidR="005103F3">
        <w:rPr>
          <w:rFonts w:ascii="Calibri Light" w:hAnsi="Calibri Light" w:cs="Calibri Light"/>
          <w:color w:val="000000"/>
          <w:lang w:val="fr-BE"/>
        </w:rPr>
        <w:t xml:space="preserve"> sont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pas suffisantes pour </w:t>
      </w:r>
      <w:r w:rsidR="005103F3">
        <w:rPr>
          <w:rFonts w:ascii="Calibri Light" w:hAnsi="Calibri Light" w:cs="Calibri Light"/>
          <w:color w:val="000000"/>
          <w:lang w:val="fr-BE"/>
        </w:rPr>
        <w:t xml:space="preserve">établir </w:t>
      </w:r>
      <w:r w:rsidRPr="00277A6C">
        <w:rPr>
          <w:rFonts w:ascii="Calibri Light" w:hAnsi="Calibri Light" w:cs="Calibri Light"/>
          <w:color w:val="000000"/>
          <w:lang w:val="fr-BE"/>
        </w:rPr>
        <w:t>l</w:t>
      </w:r>
      <w:r w:rsidR="0004781E">
        <w:rPr>
          <w:rFonts w:ascii="Calibri Light" w:hAnsi="Calibri Light" w:cs="Calibri Light"/>
          <w:color w:val="000000"/>
          <w:lang w:val="fr-BE"/>
        </w:rPr>
        <w:t>a</w:t>
      </w:r>
      <w:r w:rsidR="008D6D6B">
        <w:rPr>
          <w:rFonts w:ascii="Calibri Light" w:hAnsi="Calibri Light" w:cs="Calibri Light"/>
          <w:color w:val="000000"/>
          <w:lang w:val="fr-BE"/>
        </w:rPr>
        <w:t xml:space="preserve"> responsabilité d</w:t>
      </w:r>
      <w:r w:rsidR="005103F3">
        <w:rPr>
          <w:rFonts w:ascii="Calibri Light" w:hAnsi="Calibri Light" w:cs="Calibri Light"/>
          <w:color w:val="000000"/>
          <w:lang w:val="fr-BE"/>
        </w:rPr>
        <w:t xml:space="preserve">e </w:t>
      </w:r>
      <w:r w:rsidR="000C3807">
        <w:rPr>
          <w:rFonts w:ascii="Calibri Light" w:hAnsi="Calibri Light" w:cs="Calibri Light"/>
          <w:color w:val="000000"/>
          <w:lang w:val="fr-BE"/>
        </w:rPr>
        <w:t>l’auditeur qui</w:t>
      </w:r>
      <w:r w:rsidR="0004781E">
        <w:rPr>
          <w:rFonts w:ascii="Calibri Light" w:hAnsi="Calibri Light" w:cs="Calibri Light"/>
          <w:color w:val="000000"/>
          <w:lang w:val="fr-BE"/>
        </w:rPr>
        <w:t xml:space="preserve"> officiait depuis </w:t>
      </w:r>
      <w:r w:rsidRPr="00277A6C">
        <w:rPr>
          <w:rFonts w:ascii="Calibri Light" w:hAnsi="Calibri Light" w:cs="Calibri Light"/>
          <w:color w:val="000000"/>
          <w:lang w:val="fr-BE"/>
        </w:rPr>
        <w:t>12 ans, BETTER FINANCE</w:t>
      </w:r>
      <w:r w:rsidR="0004781E">
        <w:rPr>
          <w:rFonts w:ascii="Calibri Light" w:hAnsi="Calibri Light" w:cs="Calibri Light"/>
          <w:color w:val="000000"/>
          <w:lang w:val="fr-BE"/>
        </w:rPr>
        <w:t xml:space="preserve"> met en avant</w:t>
      </w:r>
      <w:r w:rsidR="005103F3">
        <w:rPr>
          <w:rFonts w:ascii="Calibri Light" w:hAnsi="Calibri Light" w:cs="Calibri Light"/>
          <w:color w:val="000000"/>
          <w:lang w:val="fr-BE"/>
        </w:rPr>
        <w:t>,</w:t>
      </w:r>
      <w:r w:rsidR="0004781E">
        <w:rPr>
          <w:rFonts w:ascii="Calibri Light" w:hAnsi="Calibri Light" w:cs="Calibri Light"/>
          <w:color w:val="000000"/>
          <w:lang w:val="fr-BE"/>
        </w:rPr>
        <w:t xml:space="preserve"> depuis la réforme européenne de l’audit de </w:t>
      </w:r>
      <w:r w:rsidRPr="00277A6C">
        <w:rPr>
          <w:rFonts w:ascii="Calibri Light" w:hAnsi="Calibri Light" w:cs="Calibri Light"/>
          <w:color w:val="000000"/>
          <w:lang w:val="fr-BE"/>
        </w:rPr>
        <w:t>2012</w:t>
      </w:r>
      <w:r w:rsidR="005103F3">
        <w:rPr>
          <w:rFonts w:ascii="Calibri Light" w:hAnsi="Calibri Light" w:cs="Calibri Light"/>
          <w:color w:val="000000"/>
          <w:lang w:val="fr-BE"/>
        </w:rPr>
        <w:t>,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la nécessité de garantir que l'audit, en particulier l'audit financier, reste réellement impartial et indépendant de la société contrôlée.</w:t>
      </w:r>
    </w:p>
    <w:p w14:paraId="531C431D" w14:textId="77777777" w:rsidR="00B04099" w:rsidRPr="00277A6C" w:rsidRDefault="00277A6C">
      <w:pPr>
        <w:shd w:val="clear" w:color="auto" w:fill="0070C0"/>
        <w:ind w:left="709"/>
        <w:jc w:val="both"/>
        <w:rPr>
          <w:rFonts w:ascii="Calibri Light" w:hAnsi="Calibri Light" w:cs="Calibri Light"/>
          <w:b/>
          <w:bCs/>
          <w:i/>
          <w:iCs/>
          <w:color w:val="FFFFFF"/>
          <w:lang w:val="fr-BE"/>
        </w:rPr>
      </w:pP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ÉCHEC DE LA GOUVERNANCE D'ENTREPRISE : REVOIR LES RÈGLES DE GOUVERNANCE D'ENTREPRISE</w:t>
      </w:r>
    </w:p>
    <w:p w14:paraId="531C431E" w14:textId="252B38CC" w:rsidR="00B04099" w:rsidRDefault="00277A6C">
      <w:pPr>
        <w:jc w:val="both"/>
        <w:rPr>
          <w:rFonts w:ascii="Calibri Light" w:hAnsi="Calibri Light" w:cs="Calibri Light"/>
          <w:color w:val="000000"/>
          <w:lang w:val="fr-BE"/>
        </w:rPr>
      </w:pPr>
      <w:r w:rsidRPr="00277A6C">
        <w:rPr>
          <w:rFonts w:ascii="Calibri Light" w:hAnsi="Calibri Light" w:cs="Calibri Light"/>
          <w:color w:val="000000"/>
          <w:lang w:val="fr-BE"/>
        </w:rPr>
        <w:t xml:space="preserve">Bien que la responsabilité des dirigeants de Wirecard AG n'ait pas été démontrée à ce jour, et </w:t>
      </w:r>
      <w:r w:rsidR="00064C13">
        <w:rPr>
          <w:rFonts w:ascii="Calibri Light" w:hAnsi="Calibri Light" w:cs="Calibri Light"/>
          <w:color w:val="000000"/>
          <w:lang w:val="fr-BE"/>
        </w:rPr>
        <w:t>qu’il n’y a</w:t>
      </w:r>
      <w:r w:rsidR="000C3807">
        <w:rPr>
          <w:rFonts w:ascii="Calibri Light" w:hAnsi="Calibri Light" w:cs="Calibri Light"/>
          <w:color w:val="000000"/>
          <w:lang w:val="fr-BE"/>
        </w:rPr>
        <w:t>it</w:t>
      </w:r>
      <w:r w:rsidR="00064C13">
        <w:rPr>
          <w:rFonts w:ascii="Calibri Light" w:hAnsi="Calibri Light" w:cs="Calibri Light"/>
          <w:color w:val="000000"/>
          <w:lang w:val="fr-BE"/>
        </w:rPr>
        <w:t xml:space="preserve"> pas suffisamment d’informations permettant raisonnablement de déduire leur implication, </w:t>
      </w:r>
      <w:r w:rsidRPr="00277A6C">
        <w:rPr>
          <w:rFonts w:ascii="Calibri Light" w:hAnsi="Calibri Light" w:cs="Calibri Light"/>
          <w:color w:val="000000"/>
          <w:lang w:val="fr-BE"/>
        </w:rPr>
        <w:t>le fait que près d'un quart d</w:t>
      </w:r>
      <w:r w:rsidR="0004781E">
        <w:rPr>
          <w:rFonts w:ascii="Calibri Light" w:hAnsi="Calibri Light" w:cs="Calibri Light"/>
          <w:color w:val="000000"/>
          <w:lang w:val="fr-BE"/>
        </w:rPr>
        <w:t xml:space="preserve">u total des avoirs </w:t>
      </w:r>
      <w:r w:rsidR="00064C13">
        <w:rPr>
          <w:rFonts w:ascii="Calibri Light" w:hAnsi="Calibri Light" w:cs="Calibri Light"/>
          <w:color w:val="000000"/>
          <w:lang w:val="fr-BE"/>
        </w:rPr>
        <w:t xml:space="preserve">au bilan </w:t>
      </w:r>
      <w:r w:rsidR="0004781E">
        <w:rPr>
          <w:rFonts w:ascii="Calibri Light" w:hAnsi="Calibri Light" w:cs="Calibri Light"/>
          <w:color w:val="000000"/>
          <w:lang w:val="fr-BE"/>
        </w:rPr>
        <w:t xml:space="preserve">étaient </w:t>
      </w:r>
      <w:r w:rsidR="00064C13">
        <w:rPr>
          <w:rFonts w:ascii="Calibri Light" w:hAnsi="Calibri Light" w:cs="Calibri Light"/>
          <w:color w:val="000000"/>
          <w:lang w:val="fr-BE"/>
        </w:rPr>
        <w:t xml:space="preserve">détenus </w:t>
      </w:r>
      <w:r w:rsidR="0004781E">
        <w:rPr>
          <w:rFonts w:ascii="Calibri Light" w:hAnsi="Calibri Light" w:cs="Calibri Light"/>
          <w:color w:val="000000"/>
          <w:lang w:val="fr-BE"/>
        </w:rPr>
        <w:t>sur des comptes en fiducie opaques</w:t>
      </w:r>
      <w:r w:rsidR="00064C13">
        <w:rPr>
          <w:rFonts w:ascii="Calibri Light" w:hAnsi="Calibri Light" w:cs="Calibri Light"/>
          <w:color w:val="000000"/>
          <w:lang w:val="fr-BE"/>
        </w:rPr>
        <w:t xml:space="preserve"> de la </w:t>
      </w:r>
      <w:r w:rsidRPr="00277A6C">
        <w:rPr>
          <w:rFonts w:ascii="Calibri Light" w:hAnsi="Calibri Light" w:cs="Calibri Light"/>
          <w:color w:val="000000"/>
          <w:lang w:val="fr-BE"/>
        </w:rPr>
        <w:t>région Asie-Pacifique aurait dû éveiller des soupçons</w:t>
      </w:r>
      <w:r w:rsidR="00064C13">
        <w:rPr>
          <w:rFonts w:ascii="Calibri Light" w:hAnsi="Calibri Light" w:cs="Calibri Light"/>
          <w:color w:val="000000"/>
          <w:lang w:val="fr-BE"/>
        </w:rPr>
        <w:t>,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au </w:t>
      </w:r>
      <w:r w:rsidR="0004781E">
        <w:rPr>
          <w:rFonts w:ascii="Calibri Light" w:hAnsi="Calibri Light" w:cs="Calibri Light"/>
          <w:color w:val="000000"/>
          <w:lang w:val="fr-BE"/>
        </w:rPr>
        <w:t xml:space="preserve">minimum du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conseil d'administration de ladite société, notamment compte tenu de ses </w:t>
      </w:r>
      <w:r w:rsidR="00064C13">
        <w:rPr>
          <w:rFonts w:ascii="Calibri Light" w:hAnsi="Calibri Light" w:cs="Calibri Light"/>
          <w:color w:val="000000"/>
          <w:lang w:val="fr-BE"/>
        </w:rPr>
        <w:t xml:space="preserve">obligations </w:t>
      </w:r>
      <w:r w:rsidRPr="00277A6C">
        <w:rPr>
          <w:rFonts w:ascii="Calibri Light" w:hAnsi="Calibri Light" w:cs="Calibri Light"/>
          <w:color w:val="000000"/>
          <w:lang w:val="fr-BE"/>
        </w:rPr>
        <w:t>en matière de gestion des risques.</w:t>
      </w:r>
    </w:p>
    <w:p w14:paraId="531C431F" w14:textId="26BF6643" w:rsidR="00B04099" w:rsidRPr="00277A6C" w:rsidRDefault="00277A6C">
      <w:pPr>
        <w:jc w:val="both"/>
        <w:rPr>
          <w:lang w:val="fr-BE"/>
        </w:rPr>
      </w:pPr>
      <w:r>
        <w:rPr>
          <w:rFonts w:ascii="Calibri Light" w:hAnsi="Calibri Light" w:cs="Calibri Light"/>
          <w:b/>
          <w:bCs/>
          <w:i/>
          <w:iCs/>
          <w:noProof/>
          <w:color w:val="FFFFFF"/>
        </w:rPr>
        <w:drawing>
          <wp:anchor distT="0" distB="0" distL="114300" distR="114300" simplePos="0" relativeHeight="251658752" behindDoc="0" locked="0" layoutInCell="1" allowOverlap="1" wp14:anchorId="531C430D" wp14:editId="531C430E">
            <wp:simplePos x="0" y="0"/>
            <wp:positionH relativeFrom="margin">
              <wp:posOffset>-5715</wp:posOffset>
            </wp:positionH>
            <wp:positionV relativeFrom="paragraph">
              <wp:posOffset>6986</wp:posOffset>
            </wp:positionV>
            <wp:extent cx="271147" cy="271147"/>
            <wp:effectExtent l="0" t="0" r="0" b="0"/>
            <wp:wrapThrough wrapText="bothSides">
              <wp:wrapPolygon edited="0">
                <wp:start x="3035" y="0"/>
                <wp:lineTo x="0" y="6070"/>
                <wp:lineTo x="0" y="12141"/>
                <wp:lineTo x="4553" y="19728"/>
                <wp:lineTo x="16693" y="19728"/>
                <wp:lineTo x="19728" y="12141"/>
                <wp:lineTo x="19728" y="6070"/>
                <wp:lineTo x="15176" y="0"/>
                <wp:lineTo x="3035" y="0"/>
              </wp:wrapPolygon>
            </wp:wrapThrough>
            <wp:docPr id="9" name="Graphic 6" descr="Bad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" cy="271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77A6C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fr-BE"/>
        </w:rPr>
        <w:t xml:space="preserve">INDEMNISATION DES VICTIMES : CESSER DE DISCRIMINER LES </w:t>
      </w:r>
      <w:r w:rsidR="00A93FF4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fr-BE"/>
        </w:rPr>
        <w:t>PARTICULIERS QUI INVESTISSENT DANS LES MARCH</w:t>
      </w:r>
      <w:r w:rsidR="00064C13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fr-BE"/>
        </w:rPr>
        <w:t>É</w:t>
      </w:r>
      <w:r w:rsidR="00A93FF4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fr-BE"/>
        </w:rPr>
        <w:t xml:space="preserve">S BOURSIERS ET METTRE EN PLACE UN DISPOSITIF DE RECOURS COLLECTIF </w:t>
      </w:r>
      <w:r w:rsidRPr="00277A6C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fr-BE"/>
        </w:rPr>
        <w:t xml:space="preserve"> </w:t>
      </w:r>
      <w:r w:rsidR="00A93FF4">
        <w:rPr>
          <w:rFonts w:ascii="Calibri Light" w:eastAsia="Times New Roman" w:hAnsi="Calibri Light" w:cs="Calibri Light"/>
          <w:b/>
          <w:bCs/>
          <w:i/>
          <w:iCs/>
          <w:color w:val="FFFFFF"/>
          <w:shd w:val="clear" w:color="auto" w:fill="0070C0"/>
          <w:lang w:val="fr-BE"/>
        </w:rPr>
        <w:t xml:space="preserve"> </w:t>
      </w:r>
    </w:p>
    <w:p w14:paraId="531C4320" w14:textId="7DBB6623" w:rsidR="00B04099" w:rsidRPr="00277A6C" w:rsidRDefault="00277A6C">
      <w:pPr>
        <w:jc w:val="both"/>
        <w:rPr>
          <w:lang w:val="fr-BE"/>
        </w:rPr>
      </w:pPr>
      <w:r>
        <w:rPr>
          <w:rFonts w:ascii="Calibri Light" w:hAnsi="Calibri Light" w:cs="Calibri Light"/>
          <w:b/>
          <w:bCs/>
          <w:i/>
          <w:iCs/>
          <w:noProof/>
          <w:color w:val="FFFFFF"/>
        </w:rPr>
        <w:drawing>
          <wp:anchor distT="0" distB="0" distL="114300" distR="114300" simplePos="0" relativeHeight="251659776" behindDoc="0" locked="0" layoutInCell="1" allowOverlap="1" wp14:anchorId="531C430F" wp14:editId="75CC3652">
            <wp:simplePos x="0" y="0"/>
            <wp:positionH relativeFrom="margin">
              <wp:posOffset>33655</wp:posOffset>
            </wp:positionH>
            <wp:positionV relativeFrom="paragraph">
              <wp:posOffset>2037715</wp:posOffset>
            </wp:positionV>
            <wp:extent cx="295275" cy="295275"/>
            <wp:effectExtent l="0" t="0" r="9522" b="9522"/>
            <wp:wrapSquare wrapText="bothSides"/>
            <wp:docPr id="10" name="Graphic 9" descr="Bad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77A6C">
        <w:rPr>
          <w:rFonts w:ascii="Calibri Light" w:hAnsi="Calibri Light" w:cs="Calibri Light"/>
          <w:color w:val="000000"/>
          <w:lang w:val="fr-BE"/>
        </w:rPr>
        <w:t>À l</w:t>
      </w:r>
      <w:r w:rsidRPr="00277A6C">
        <w:rPr>
          <w:rFonts w:ascii="Calibri Light" w:eastAsia="Times New Roman" w:hAnsi="Calibri Light" w:cs="Calibri Light"/>
          <w:lang w:val="fr-BE"/>
        </w:rPr>
        <w:t>'exception des Pays-Bas, l'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Europe a toujours fait preuve d'une </w:t>
      </w:r>
      <w:r w:rsidRPr="00277A6C">
        <w:rPr>
          <w:rFonts w:ascii="Calibri Light" w:eastAsia="Times New Roman" w:hAnsi="Calibri Light" w:cs="Calibri Light"/>
          <w:lang w:val="fr-BE"/>
        </w:rPr>
        <w:t>négligence</w:t>
      </w:r>
      <w:r w:rsidR="00064C13">
        <w:rPr>
          <w:rFonts w:ascii="Calibri Light" w:eastAsia="Times New Roman" w:hAnsi="Calibri Light" w:cs="Calibri Light"/>
          <w:lang w:val="fr-BE"/>
        </w:rPr>
        <w:t xml:space="preserve"> – non coupable – </w:t>
      </w:r>
      <w:r w:rsidRPr="00277A6C">
        <w:rPr>
          <w:rFonts w:ascii="Calibri Light" w:eastAsia="Times New Roman" w:hAnsi="Calibri Light" w:cs="Calibri Light"/>
          <w:lang w:val="fr-BE"/>
        </w:rPr>
        <w:t>envers les victimes de ces abus</w:t>
      </w:r>
      <w:r w:rsidR="00064C13">
        <w:rPr>
          <w:rFonts w:ascii="Calibri Light" w:eastAsia="Times New Roman" w:hAnsi="Calibri Light" w:cs="Calibri Light"/>
          <w:lang w:val="fr-BE"/>
        </w:rPr>
        <w:t xml:space="preserve">, à savoir les </w:t>
      </w:r>
      <w:r w:rsidRPr="00277A6C">
        <w:rPr>
          <w:rFonts w:ascii="Calibri Light" w:eastAsia="Times New Roman" w:hAnsi="Calibri Light" w:cs="Calibri Light"/>
          <w:lang w:val="fr-BE"/>
        </w:rPr>
        <w:t xml:space="preserve">investisseurs et les épargnants </w:t>
      </w:r>
      <w:r w:rsidR="00064C13">
        <w:rPr>
          <w:rFonts w:ascii="Calibri Light" w:eastAsia="Times New Roman" w:hAnsi="Calibri Light" w:cs="Calibri Light"/>
          <w:lang w:val="fr-BE"/>
        </w:rPr>
        <w:t xml:space="preserve">qui ont besoin de sa protection, </w:t>
      </w:r>
      <w:r w:rsidRPr="00277A6C">
        <w:rPr>
          <w:rFonts w:ascii="Calibri Light" w:eastAsia="Times New Roman" w:hAnsi="Calibri Light" w:cs="Calibri Light"/>
          <w:lang w:val="fr-BE"/>
        </w:rPr>
        <w:t xml:space="preserve">tout en se demandant </w:t>
      </w:r>
      <w:r w:rsidR="00A93FF4">
        <w:rPr>
          <w:rFonts w:ascii="Calibri Light" w:eastAsia="Times New Roman" w:hAnsi="Calibri Light" w:cs="Calibri Light"/>
          <w:lang w:val="fr-BE"/>
        </w:rPr>
        <w:t xml:space="preserve">en même temps </w:t>
      </w:r>
      <w:r w:rsidRPr="00277A6C">
        <w:rPr>
          <w:rFonts w:ascii="Calibri Light" w:eastAsia="Times New Roman" w:hAnsi="Calibri Light" w:cs="Calibri Light"/>
          <w:lang w:val="fr-BE"/>
        </w:rPr>
        <w:t xml:space="preserve">pourquoi ils ne font pas confiance aux marchés financiers. </w:t>
      </w:r>
      <w:r w:rsidRPr="00277A6C">
        <w:rPr>
          <w:rFonts w:ascii="Calibri Light" w:hAnsi="Calibri Light" w:cs="Calibri Light"/>
          <w:color w:val="000000"/>
          <w:lang w:val="fr-BE"/>
        </w:rPr>
        <w:t>L'actuel pro</w:t>
      </w:r>
      <w:r w:rsidR="00A93FF4">
        <w:rPr>
          <w:rFonts w:ascii="Calibri Light" w:hAnsi="Calibri Light" w:cs="Calibri Light"/>
          <w:color w:val="000000"/>
          <w:lang w:val="fr-BE"/>
        </w:rPr>
        <w:t xml:space="preserve">position </w:t>
      </w:r>
      <w:r w:rsidRPr="00277A6C">
        <w:rPr>
          <w:rFonts w:ascii="Calibri Light" w:hAnsi="Calibri Light" w:cs="Calibri Light"/>
          <w:color w:val="000000"/>
          <w:lang w:val="fr-BE"/>
        </w:rPr>
        <w:t>de</w:t>
      </w:r>
      <w:r w:rsidR="00064C13">
        <w:rPr>
          <w:rFonts w:ascii="Calibri Light" w:hAnsi="Calibri Light" w:cs="Calibri Light"/>
          <w:color w:val="000000"/>
          <w:lang w:val="fr-BE"/>
        </w:rPr>
        <w:t xml:space="preserve"> </w:t>
      </w:r>
      <w:r w:rsidR="00064C13">
        <w:rPr>
          <w:rFonts w:ascii="Calibri Light" w:hAnsi="Calibri Light" w:cs="Calibri Light"/>
          <w:i/>
          <w:iCs/>
          <w:color w:val="000000"/>
          <w:lang w:val="fr-BE"/>
        </w:rPr>
        <w:t>« </w:t>
      </w:r>
      <w:r w:rsidRPr="00277A6C">
        <w:rPr>
          <w:rFonts w:ascii="Calibri Light" w:hAnsi="Calibri Light" w:cs="Calibri Light"/>
          <w:i/>
          <w:iCs/>
          <w:lang w:val="fr-BE"/>
        </w:rPr>
        <w:t xml:space="preserve">directive sur les actions représentatives </w:t>
      </w:r>
      <w:r w:rsidR="00A93FF4">
        <w:rPr>
          <w:rFonts w:ascii="Calibri Light" w:hAnsi="Calibri Light" w:cs="Calibri Light"/>
          <w:i/>
          <w:iCs/>
          <w:lang w:val="fr-BE"/>
        </w:rPr>
        <w:t>dans le domaine de la p</w:t>
      </w:r>
      <w:r w:rsidRPr="00277A6C">
        <w:rPr>
          <w:rFonts w:ascii="Calibri Light" w:hAnsi="Calibri Light" w:cs="Calibri Light"/>
          <w:i/>
          <w:iCs/>
          <w:lang w:val="fr-BE"/>
        </w:rPr>
        <w:t>rotection des intérêts collectifs des consommateurs</w:t>
      </w:r>
      <w:r w:rsidR="00064C13">
        <w:rPr>
          <w:rFonts w:ascii="Calibri Light" w:hAnsi="Calibri Light" w:cs="Calibri Light"/>
          <w:lang w:val="fr-BE"/>
        </w:rPr>
        <w:t> </w:t>
      </w:r>
      <w:r w:rsidR="00064C13" w:rsidRPr="00064C13">
        <w:rPr>
          <w:rFonts w:ascii="Calibri Light" w:hAnsi="Calibri Light" w:cs="Calibri Light"/>
          <w:i/>
          <w:iCs/>
          <w:lang w:val="fr-BE"/>
        </w:rPr>
        <w:t>»</w:t>
      </w:r>
      <w:r w:rsidRPr="00277A6C">
        <w:rPr>
          <w:rFonts w:ascii="Calibri Light" w:hAnsi="Calibri Light" w:cs="Calibri Light"/>
          <w:lang w:val="fr-BE"/>
        </w:rPr>
        <w:t xml:space="preserve">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exclut à </w:t>
      </w:r>
      <w:r w:rsidRPr="00277A6C">
        <w:rPr>
          <w:rFonts w:ascii="Calibri Light" w:hAnsi="Calibri Light" w:cs="Calibri Light"/>
          <w:lang w:val="fr-BE"/>
        </w:rPr>
        <w:t xml:space="preserve">nouveau de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son champ d'application les </w:t>
      </w:r>
      <w:r w:rsidR="00A93FF4">
        <w:rPr>
          <w:rFonts w:ascii="Calibri Light" w:hAnsi="Calibri Light" w:cs="Calibri Light"/>
          <w:color w:val="000000"/>
          <w:lang w:val="fr-BE"/>
        </w:rPr>
        <w:t>particuliers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non professionnels </w:t>
      </w:r>
      <w:r w:rsidR="00A93FF4">
        <w:rPr>
          <w:rFonts w:ascii="Calibri Light" w:hAnsi="Calibri Light" w:cs="Calibri Light"/>
          <w:color w:val="000000"/>
          <w:lang w:val="fr-BE"/>
        </w:rPr>
        <w:t xml:space="preserve">qui investissent dans des actions, qui sont ainsi discriminés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par rapport à ceux qui investissent dans des produits d'investissement </w:t>
      </w:r>
      <w:r w:rsidR="00A93FF4">
        <w:rPr>
          <w:rFonts w:ascii="Calibri Light" w:hAnsi="Calibri Light" w:cs="Calibri Light"/>
          <w:color w:val="000000"/>
          <w:lang w:val="fr-BE"/>
        </w:rPr>
        <w:t xml:space="preserve">packagés </w:t>
      </w:r>
      <w:r w:rsidRPr="00277A6C">
        <w:rPr>
          <w:rFonts w:ascii="Calibri Light" w:hAnsi="Calibri Light" w:cs="Calibri Light"/>
          <w:color w:val="000000"/>
          <w:lang w:val="fr-BE"/>
        </w:rPr>
        <w:t>tels que les fonds et l</w:t>
      </w:r>
      <w:r w:rsidR="00064C13">
        <w:rPr>
          <w:rFonts w:ascii="Calibri Light" w:hAnsi="Calibri Light" w:cs="Calibri Light"/>
          <w:color w:val="000000"/>
          <w:lang w:val="fr-BE"/>
        </w:rPr>
        <w:t>es produits d</w:t>
      </w:r>
      <w:r w:rsidRPr="00277A6C">
        <w:rPr>
          <w:rFonts w:ascii="Calibri Light" w:hAnsi="Calibri Light" w:cs="Calibri Light"/>
          <w:color w:val="000000"/>
          <w:lang w:val="fr-BE"/>
        </w:rPr>
        <w:t>'assurance-vie. Le Forum de haut niveau sur l'Union des marchés</w:t>
      </w:r>
      <w:r w:rsidR="00A93FF4">
        <w:rPr>
          <w:rFonts w:ascii="Calibri Light" w:hAnsi="Calibri Light" w:cs="Calibri Light"/>
          <w:color w:val="000000"/>
          <w:lang w:val="fr-BE"/>
        </w:rPr>
        <w:t xml:space="preserve"> de capitaux </w:t>
      </w:r>
      <w:r w:rsidRPr="00277A6C">
        <w:rPr>
          <w:rFonts w:ascii="Calibri Light" w:hAnsi="Calibri Light" w:cs="Calibri Light"/>
          <w:color w:val="000000"/>
          <w:lang w:val="fr-BE"/>
        </w:rPr>
        <w:t>vient de recommander d</w:t>
      </w:r>
      <w:r w:rsidR="000210E4">
        <w:rPr>
          <w:rFonts w:ascii="Calibri Light" w:hAnsi="Calibri Light" w:cs="Calibri Light"/>
          <w:color w:val="000000"/>
          <w:lang w:val="fr-BE"/>
        </w:rPr>
        <w:t xml:space="preserve">’inclure les </w:t>
      </w:r>
      <w:r w:rsidR="000210E4" w:rsidRPr="00277A6C">
        <w:rPr>
          <w:rFonts w:ascii="Calibri Light" w:hAnsi="Calibri Light" w:cs="Calibri Light"/>
          <w:color w:val="000000"/>
          <w:lang w:val="fr-BE"/>
        </w:rPr>
        <w:t>investisseurs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en actions dans </w:t>
      </w:r>
      <w:r w:rsidR="000210E4">
        <w:rPr>
          <w:rFonts w:ascii="Calibri Light" w:hAnsi="Calibri Light" w:cs="Calibri Light"/>
          <w:color w:val="000000"/>
          <w:lang w:val="fr-BE"/>
        </w:rPr>
        <w:t xml:space="preserve">le champ d’application de cette directive. </w:t>
      </w:r>
      <w:r w:rsidRPr="00277A6C">
        <w:rPr>
          <w:rFonts w:ascii="Calibri Light" w:hAnsi="Calibri Light" w:cs="Calibri Light"/>
          <w:color w:val="000000"/>
          <w:lang w:val="fr-BE"/>
        </w:rPr>
        <w:t>L'affaire Wirecard est-elle un</w:t>
      </w:r>
      <w:r w:rsidR="000210E4">
        <w:rPr>
          <w:rFonts w:ascii="Calibri Light" w:hAnsi="Calibri Light" w:cs="Calibri Light"/>
          <w:color w:val="000000"/>
          <w:lang w:val="fr-BE"/>
        </w:rPr>
        <w:t xml:space="preserve">e piqure de rappel suffisante pour inciter les autorités de l’UE de suivre cette recommandation ?  </w:t>
      </w:r>
    </w:p>
    <w:p w14:paraId="531C4321" w14:textId="6A5D3026" w:rsidR="00B04099" w:rsidRPr="00277A6C" w:rsidRDefault="00277A6C">
      <w:pPr>
        <w:shd w:val="clear" w:color="auto" w:fill="0070C0"/>
        <w:jc w:val="both"/>
        <w:rPr>
          <w:rFonts w:ascii="Calibri Light" w:hAnsi="Calibri Light" w:cs="Calibri Light"/>
          <w:b/>
          <w:bCs/>
          <w:i/>
          <w:iCs/>
          <w:color w:val="FFFFFF"/>
          <w:lang w:val="fr-BE"/>
        </w:rPr>
      </w:pP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LES BOURS</w:t>
      </w:r>
      <w:r w:rsidR="000C3807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ES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 DOIVENT </w:t>
      </w:r>
      <w:r w:rsidR="000210E4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 xml:space="preserve">FAIRE PREUVE DE PLUS DE FLEXIBILITÉ EN </w:t>
      </w:r>
      <w:r w:rsidRPr="00277A6C">
        <w:rPr>
          <w:rFonts w:ascii="Calibri Light" w:hAnsi="Calibri Light" w:cs="Calibri Light"/>
          <w:b/>
          <w:bCs/>
          <w:i/>
          <w:iCs/>
          <w:color w:val="FFFFFF"/>
          <w:lang w:val="fr-BE"/>
        </w:rPr>
        <w:t>MATIÈRE D'INSCRIPTION ET DE RADIATION</w:t>
      </w:r>
    </w:p>
    <w:p w14:paraId="531C4322" w14:textId="7C496C62" w:rsidR="00B04099" w:rsidRPr="00277A6C" w:rsidRDefault="000210E4">
      <w:pPr>
        <w:spacing w:after="120"/>
        <w:jc w:val="both"/>
        <w:rPr>
          <w:rFonts w:ascii="Calibri Light" w:hAnsi="Calibri Light" w:cs="Calibri Light"/>
          <w:color w:val="000000"/>
          <w:lang w:val="fr-BE"/>
        </w:rPr>
      </w:pPr>
      <w:r>
        <w:rPr>
          <w:rFonts w:ascii="Calibri Light" w:hAnsi="Calibri Light" w:cs="Calibri Light"/>
          <w:color w:val="000000"/>
          <w:lang w:val="fr-BE"/>
        </w:rPr>
        <w:t xml:space="preserve">En 2018, </w:t>
      </w:r>
      <w:r w:rsidR="000C3807" w:rsidRPr="00277A6C">
        <w:rPr>
          <w:rFonts w:ascii="Calibri Light" w:hAnsi="Calibri Light" w:cs="Calibri Light"/>
          <w:color w:val="000000"/>
          <w:lang w:val="fr-BE"/>
        </w:rPr>
        <w:t>lorsqu</w:t>
      </w:r>
      <w:r w:rsidR="000C3807">
        <w:rPr>
          <w:rFonts w:ascii="Calibri Light" w:hAnsi="Calibri Light" w:cs="Calibri Light"/>
          <w:color w:val="000000"/>
          <w:lang w:val="fr-BE"/>
        </w:rPr>
        <w:t xml:space="preserve">e sa </w:t>
      </w:r>
      <w:r w:rsidR="000C3807" w:rsidRPr="00277A6C">
        <w:rPr>
          <w:rFonts w:ascii="Calibri Light" w:hAnsi="Calibri Light" w:cs="Calibri Light"/>
          <w:color w:val="000000"/>
          <w:lang w:val="fr-BE"/>
        </w:rPr>
        <w:t xml:space="preserve">capitalisation boursière </w:t>
      </w:r>
      <w:r w:rsidR="000C3807">
        <w:rPr>
          <w:rFonts w:ascii="Calibri Light" w:hAnsi="Calibri Light" w:cs="Calibri Light"/>
          <w:color w:val="000000"/>
          <w:lang w:val="fr-BE"/>
        </w:rPr>
        <w:t xml:space="preserve">a atteint </w:t>
      </w:r>
      <w:r w:rsidR="000C3807" w:rsidRPr="00277A6C">
        <w:rPr>
          <w:rFonts w:ascii="Calibri Light" w:hAnsi="Calibri Light" w:cs="Calibri Light"/>
          <w:color w:val="000000"/>
          <w:lang w:val="fr-BE"/>
        </w:rPr>
        <w:t>22,5 milliards d'euros</w:t>
      </w:r>
      <w:r w:rsidR="000C3807">
        <w:rPr>
          <w:rFonts w:ascii="Calibri Light" w:hAnsi="Calibri Light" w:cs="Calibri Light"/>
          <w:color w:val="000000"/>
          <w:lang w:val="fr-BE"/>
        </w:rPr>
        <w:t>,</w:t>
      </w:r>
      <w:r w:rsidR="000C3807" w:rsidRPr="00277A6C">
        <w:rPr>
          <w:rFonts w:ascii="Calibri Light" w:hAnsi="Calibri Light" w:cs="Calibri Light"/>
          <w:color w:val="000000"/>
          <w:lang w:val="fr-BE"/>
        </w:rPr>
        <w:t xml:space="preserve">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Wirecard AG a </w:t>
      </w:r>
      <w:r>
        <w:rPr>
          <w:rFonts w:ascii="Calibri Light" w:hAnsi="Calibri Light" w:cs="Calibri Light"/>
          <w:color w:val="000000"/>
          <w:lang w:val="fr-BE"/>
        </w:rPr>
        <w:t xml:space="preserve">évincé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un autre </w:t>
      </w:r>
      <w:r>
        <w:rPr>
          <w:rFonts w:ascii="Calibri Light" w:hAnsi="Calibri Light" w:cs="Calibri Light"/>
          <w:color w:val="000000"/>
          <w:lang w:val="fr-BE"/>
        </w:rPr>
        <w:t xml:space="preserve">poids lourd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de l'indice allemand des</w:t>
      </w:r>
      <w:r>
        <w:rPr>
          <w:rFonts w:ascii="Calibri Light" w:hAnsi="Calibri Light" w:cs="Calibri Light"/>
          <w:color w:val="000000"/>
          <w:lang w:val="fr-BE"/>
        </w:rPr>
        <w:t xml:space="preserve"> grandes valorisations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(DAX 30)</w:t>
      </w:r>
      <w:r>
        <w:rPr>
          <w:rFonts w:ascii="Calibri Light" w:hAnsi="Calibri Light" w:cs="Calibri Light"/>
          <w:color w:val="000000"/>
          <w:lang w:val="fr-BE"/>
        </w:rPr>
        <w:t xml:space="preserve">. Pourtant,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Wirecard AG </w:t>
      </w:r>
      <w:r>
        <w:rPr>
          <w:rFonts w:ascii="Calibri Light" w:hAnsi="Calibri Light" w:cs="Calibri Light"/>
          <w:color w:val="000000"/>
          <w:lang w:val="fr-BE"/>
        </w:rPr>
        <w:t xml:space="preserve">est toujours reprise dans cet indice, dans l’attente de </w:t>
      </w:r>
      <w:r w:rsidR="00D95575">
        <w:rPr>
          <w:rFonts w:ascii="Calibri Light" w:hAnsi="Calibri Light" w:cs="Calibri Light"/>
          <w:color w:val="000000"/>
          <w:lang w:val="fr-BE"/>
        </w:rPr>
        <w:t>s</w:t>
      </w:r>
      <w:r>
        <w:rPr>
          <w:rFonts w:ascii="Calibri Light" w:hAnsi="Calibri Light" w:cs="Calibri Light"/>
          <w:color w:val="000000"/>
          <w:lang w:val="fr-BE"/>
        </w:rPr>
        <w:t xml:space="preserve">a révision prévue en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2020.</w:t>
      </w:r>
    </w:p>
    <w:p w14:paraId="531C4323" w14:textId="0AB11A81" w:rsidR="00B04099" w:rsidRPr="00277A6C" w:rsidRDefault="000210E4">
      <w:pPr>
        <w:spacing w:after="120"/>
        <w:jc w:val="both"/>
        <w:rPr>
          <w:rFonts w:ascii="Calibri Light" w:hAnsi="Calibri Light" w:cs="Calibri Light"/>
          <w:color w:val="000000"/>
          <w:lang w:val="fr-BE"/>
        </w:rPr>
      </w:pPr>
      <w:r>
        <w:rPr>
          <w:rFonts w:ascii="Calibri Light" w:hAnsi="Calibri Light" w:cs="Calibri Light"/>
          <w:color w:val="000000"/>
          <w:lang w:val="fr-BE"/>
        </w:rPr>
        <w:t xml:space="preserve">Une telle situation a un </w:t>
      </w:r>
      <w:r w:rsidR="000C3807">
        <w:rPr>
          <w:rFonts w:ascii="Calibri Light" w:hAnsi="Calibri Light" w:cs="Calibri Light"/>
          <w:color w:val="000000"/>
          <w:lang w:val="fr-BE"/>
        </w:rPr>
        <w:t>sérieux</w:t>
      </w:r>
      <w:r>
        <w:rPr>
          <w:rFonts w:ascii="Calibri Light" w:hAnsi="Calibri Light" w:cs="Calibri Light"/>
          <w:color w:val="000000"/>
          <w:lang w:val="fr-BE"/>
        </w:rPr>
        <w:t xml:space="preserve"> impact sur les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investisseurs</w:t>
      </w:r>
      <w:r>
        <w:rPr>
          <w:rFonts w:ascii="Calibri Light" w:hAnsi="Calibri Light" w:cs="Calibri Light"/>
          <w:color w:val="000000"/>
          <w:lang w:val="fr-BE"/>
        </w:rPr>
        <w:t xml:space="preserve"> particuliers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non</w:t>
      </w:r>
      <w:r>
        <w:rPr>
          <w:rFonts w:ascii="Calibri Light" w:hAnsi="Calibri Light" w:cs="Calibri Light"/>
          <w:color w:val="000000"/>
          <w:lang w:val="fr-BE"/>
        </w:rPr>
        <w:t>-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professionnels, car de nombreux produits financiers </w:t>
      </w:r>
      <w:r>
        <w:rPr>
          <w:rFonts w:ascii="Calibri Light" w:hAnsi="Calibri Light" w:cs="Calibri Light"/>
          <w:color w:val="000000"/>
          <w:lang w:val="fr-BE"/>
        </w:rPr>
        <w:t>« </w:t>
      </w:r>
      <w:r w:rsidR="00277A6C" w:rsidRPr="00277A6C">
        <w:rPr>
          <w:rFonts w:ascii="Calibri Light" w:hAnsi="Calibri Light" w:cs="Calibri Light"/>
          <w:color w:val="000000"/>
          <w:lang w:val="fr-BE"/>
        </w:rPr>
        <w:t>de détail</w:t>
      </w:r>
      <w:r>
        <w:rPr>
          <w:rFonts w:ascii="Calibri Light" w:hAnsi="Calibri Light" w:cs="Calibri Light"/>
          <w:color w:val="000000"/>
          <w:lang w:val="fr-BE"/>
        </w:rPr>
        <w:t> »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, tels que les OPCVM, les </w:t>
      </w:r>
      <w:r>
        <w:rPr>
          <w:rFonts w:ascii="Calibri Light" w:hAnsi="Calibri Light" w:cs="Calibri Light"/>
          <w:color w:val="000000"/>
          <w:lang w:val="fr-BE"/>
        </w:rPr>
        <w:t xml:space="preserve">FNB 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d'OPCVM, les fonds de </w:t>
      </w:r>
      <w:r>
        <w:rPr>
          <w:rFonts w:ascii="Calibri Light" w:hAnsi="Calibri Light" w:cs="Calibri Light"/>
          <w:color w:val="000000"/>
          <w:lang w:val="fr-BE"/>
        </w:rPr>
        <w:t>retraite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 ou les produits </w:t>
      </w:r>
      <w:r w:rsidR="00A93FF4">
        <w:rPr>
          <w:rFonts w:ascii="Calibri Light" w:hAnsi="Calibri Light" w:cs="Calibri Light"/>
          <w:color w:val="000000"/>
          <w:lang w:val="fr-BE"/>
        </w:rPr>
        <w:t xml:space="preserve">d’investissement fondés sur l’assurance </w:t>
      </w:r>
      <w:r w:rsidR="004B441E">
        <w:rPr>
          <w:rFonts w:ascii="Calibri Light" w:hAnsi="Calibri Light" w:cs="Calibri Light"/>
          <w:color w:val="000000"/>
          <w:lang w:val="fr-BE"/>
        </w:rPr>
        <w:t>à options multiples (IB</w:t>
      </w:r>
      <w:r w:rsidR="00277A6C" w:rsidRPr="00277A6C">
        <w:rPr>
          <w:rFonts w:ascii="Calibri Light" w:hAnsi="Calibri Light" w:cs="Calibri Light"/>
          <w:color w:val="000000"/>
          <w:lang w:val="fr-BE"/>
        </w:rPr>
        <w:t xml:space="preserve">IP), suivent et </w:t>
      </w:r>
      <w:r w:rsidR="004B441E">
        <w:rPr>
          <w:rFonts w:ascii="Calibri Light" w:hAnsi="Calibri Light" w:cs="Calibri Light"/>
          <w:color w:val="000000"/>
          <w:lang w:val="fr-BE"/>
        </w:rPr>
        <w:t xml:space="preserve">cherchent à répliquer les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composantes des indices de</w:t>
      </w:r>
      <w:r w:rsidR="004B441E">
        <w:rPr>
          <w:rFonts w:ascii="Calibri Light" w:hAnsi="Calibri Light" w:cs="Calibri Light"/>
          <w:color w:val="000000"/>
          <w:lang w:val="fr-BE"/>
        </w:rPr>
        <w:t xml:space="preserve"> </w:t>
      </w:r>
      <w:r>
        <w:rPr>
          <w:rFonts w:ascii="Calibri Light" w:hAnsi="Calibri Light" w:cs="Calibri Light"/>
          <w:color w:val="000000"/>
          <w:lang w:val="fr-BE"/>
        </w:rPr>
        <w:t>grandes</w:t>
      </w:r>
      <w:r w:rsidR="004B441E">
        <w:rPr>
          <w:rFonts w:ascii="Calibri Light" w:hAnsi="Calibri Light" w:cs="Calibri Light"/>
          <w:color w:val="000000"/>
          <w:lang w:val="fr-BE"/>
        </w:rPr>
        <w:t xml:space="preserve"> capitalisations</w:t>
      </w:r>
      <w:r>
        <w:rPr>
          <w:rFonts w:ascii="Calibri Light" w:hAnsi="Calibri Light" w:cs="Calibri Light"/>
          <w:color w:val="000000"/>
          <w:lang w:val="fr-BE"/>
        </w:rPr>
        <w:t xml:space="preserve">. Ces investisseurs se retrouvent en effet aujourd’hui avec des </w:t>
      </w:r>
      <w:r w:rsidR="00277A6C" w:rsidRPr="00277A6C">
        <w:rPr>
          <w:rFonts w:ascii="Calibri Light" w:hAnsi="Calibri Light" w:cs="Calibri Light"/>
          <w:color w:val="000000"/>
          <w:lang w:val="fr-BE"/>
        </w:rPr>
        <w:t>pertes considérables.</w:t>
      </w:r>
    </w:p>
    <w:p w14:paraId="531C4324" w14:textId="636EEE0E" w:rsidR="00B04099" w:rsidRPr="00277A6C" w:rsidRDefault="00277A6C">
      <w:pPr>
        <w:jc w:val="both"/>
        <w:rPr>
          <w:rFonts w:ascii="Calibri Light" w:hAnsi="Calibri Light" w:cs="Calibri Light"/>
          <w:color w:val="000000"/>
          <w:lang w:val="fr-BE"/>
        </w:rPr>
      </w:pPr>
      <w:r w:rsidRPr="00277A6C">
        <w:rPr>
          <w:rFonts w:ascii="Calibri Light" w:hAnsi="Calibri Light" w:cs="Calibri Light"/>
          <w:color w:val="000000"/>
          <w:lang w:val="fr-BE"/>
        </w:rPr>
        <w:lastRenderedPageBreak/>
        <w:t>Bien que tou</w:t>
      </w:r>
      <w:r w:rsidR="000210E4">
        <w:rPr>
          <w:rFonts w:ascii="Calibri Light" w:hAnsi="Calibri Light" w:cs="Calibri Light"/>
          <w:color w:val="000000"/>
          <w:lang w:val="fr-BE"/>
        </w:rPr>
        <w:t xml:space="preserve">tes les bourses n’aient pas </w:t>
      </w:r>
      <w:r w:rsidRPr="00277A6C">
        <w:rPr>
          <w:rFonts w:ascii="Calibri Light" w:hAnsi="Calibri Light" w:cs="Calibri Light"/>
          <w:color w:val="000000"/>
          <w:lang w:val="fr-BE"/>
        </w:rPr>
        <w:t>mêmes règles, l</w:t>
      </w:r>
      <w:r w:rsidR="000210E4">
        <w:rPr>
          <w:rFonts w:ascii="Calibri Light" w:hAnsi="Calibri Light" w:cs="Calibri Light"/>
          <w:color w:val="000000"/>
          <w:lang w:val="fr-BE"/>
        </w:rPr>
        <w:t>e système de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 réglementation financière de l'UE devrait harmoniser l'obligation</w:t>
      </w:r>
      <w:r w:rsidR="000210E4">
        <w:rPr>
          <w:rFonts w:ascii="Calibri Light" w:hAnsi="Calibri Light" w:cs="Calibri Light"/>
          <w:color w:val="000000"/>
          <w:lang w:val="fr-BE"/>
        </w:rPr>
        <w:t xml:space="preserve"> imposée aux </w:t>
      </w:r>
      <w:r w:rsidR="004B441E">
        <w:rPr>
          <w:rFonts w:ascii="Calibri Light" w:hAnsi="Calibri Light" w:cs="Calibri Light"/>
          <w:color w:val="000000"/>
          <w:lang w:val="fr-BE"/>
        </w:rPr>
        <w:t xml:space="preserve">opérateurs </w:t>
      </w:r>
      <w:r w:rsidRPr="00277A6C">
        <w:rPr>
          <w:rFonts w:ascii="Calibri Light" w:hAnsi="Calibri Light" w:cs="Calibri Light"/>
          <w:color w:val="000000"/>
          <w:lang w:val="fr-BE"/>
        </w:rPr>
        <w:t xml:space="preserve">de systèmes de négociation </w:t>
      </w:r>
      <w:r w:rsidR="000C3807">
        <w:rPr>
          <w:rFonts w:ascii="Calibri Light" w:hAnsi="Calibri Light" w:cs="Calibri Light"/>
          <w:color w:val="000000"/>
          <w:lang w:val="fr-BE"/>
        </w:rPr>
        <w:t xml:space="preserve">d’exclure immédiatement une société d’un indice en cas de chute du cours de leur action, pour quelque raison que ce soit.   </w:t>
      </w:r>
    </w:p>
    <w:p w14:paraId="531C4325" w14:textId="77777777" w:rsidR="00B04099" w:rsidRPr="00277A6C" w:rsidRDefault="00B04099">
      <w:pPr>
        <w:jc w:val="both"/>
        <w:rPr>
          <w:rFonts w:ascii="Calibri Light" w:hAnsi="Calibri Light" w:cs="Calibri Light"/>
          <w:color w:val="000000"/>
          <w:lang w:val="fr-BE"/>
        </w:rPr>
      </w:pPr>
    </w:p>
    <w:p w14:paraId="531C4326" w14:textId="127E185E" w:rsidR="00B04099" w:rsidRPr="00277A6C" w:rsidRDefault="00277A6C">
      <w:pPr>
        <w:jc w:val="both"/>
        <w:rPr>
          <w:lang w:val="fr-BE"/>
        </w:rPr>
      </w:pPr>
      <w:r w:rsidRPr="00277A6C">
        <w:rPr>
          <w:rFonts w:ascii="Calibri Light" w:hAnsi="Calibri Light" w:cs="Calibri Light"/>
          <w:color w:val="000000"/>
          <w:lang w:val="fr-BE"/>
        </w:rPr>
        <w:t>Guillaume Prache, directeur général de BETTER FINANCE, a</w:t>
      </w:r>
      <w:r w:rsidR="000C3807">
        <w:rPr>
          <w:rFonts w:ascii="Calibri Light" w:hAnsi="Calibri Light" w:cs="Calibri Light"/>
          <w:color w:val="000000"/>
          <w:lang w:val="fr-BE"/>
        </w:rPr>
        <w:t xml:space="preserve"> mis en garde en ces termes : </w:t>
      </w:r>
      <w:r w:rsidR="004B441E" w:rsidRPr="000C3807">
        <w:rPr>
          <w:rFonts w:ascii="Calibri Light" w:hAnsi="Calibri Light" w:cs="Calibri Light"/>
          <w:i/>
          <w:iCs/>
          <w:color w:val="000000"/>
          <w:lang w:val="fr-BE"/>
        </w:rPr>
        <w:t>«</w:t>
      </w:r>
      <w:r w:rsidR="004B441E">
        <w:rPr>
          <w:rFonts w:ascii="Calibri Light" w:hAnsi="Calibri Light" w:cs="Calibri Light"/>
          <w:color w:val="000000"/>
          <w:lang w:val="fr-BE"/>
        </w:rPr>
        <w:t xml:space="preserve"> Wirecard </w:t>
      </w:r>
      <w:r w:rsidR="00D95575">
        <w:rPr>
          <w:rFonts w:ascii="Calibri Light" w:hAnsi="Calibri Light" w:cs="Calibri Light"/>
          <w:color w:val="000000"/>
          <w:lang w:val="fr-BE"/>
        </w:rPr>
        <w:t xml:space="preserve">est </w:t>
      </w:r>
      <w:r w:rsidR="00D95575" w:rsidRPr="00277A6C">
        <w:rPr>
          <w:rFonts w:ascii="Calibri Light" w:hAnsi="Calibri Light" w:cs="Calibri Light"/>
          <w:i/>
          <w:iCs/>
          <w:color w:val="000000"/>
          <w:lang w:val="fr-BE"/>
        </w:rPr>
        <w:t>un</w:t>
      </w:r>
      <w:r w:rsidRPr="00277A6C">
        <w:rPr>
          <w:rFonts w:ascii="Calibri Light" w:hAnsi="Calibri Light" w:cs="Calibri Light"/>
          <w:i/>
          <w:iCs/>
          <w:color w:val="000000"/>
          <w:lang w:val="fr-BE"/>
        </w:rPr>
        <w:t xml:space="preserve"> terrible </w:t>
      </w:r>
      <w:r w:rsidR="004B441E">
        <w:rPr>
          <w:rFonts w:ascii="Calibri Light" w:hAnsi="Calibri Light" w:cs="Calibri Light"/>
          <w:i/>
          <w:iCs/>
          <w:color w:val="000000"/>
          <w:lang w:val="fr-BE"/>
        </w:rPr>
        <w:t>exemple</w:t>
      </w:r>
      <w:r w:rsidR="000C3807">
        <w:rPr>
          <w:rFonts w:ascii="Calibri Light" w:hAnsi="Calibri Light" w:cs="Calibri Light"/>
          <w:i/>
          <w:iCs/>
          <w:color w:val="000000"/>
          <w:lang w:val="fr-BE"/>
        </w:rPr>
        <w:t xml:space="preserve"> illustrant comment une succession de défaillances – au niveau des superviseurs, des bureaux d’audit et des organes de gestion  – peut entraîner d’énormes préjudices pour les </w:t>
      </w:r>
      <w:r w:rsidRPr="00277A6C">
        <w:rPr>
          <w:rFonts w:ascii="Calibri Light" w:hAnsi="Calibri Light" w:cs="Calibri Light"/>
          <w:i/>
          <w:iCs/>
          <w:color w:val="000000"/>
          <w:lang w:val="fr-BE"/>
        </w:rPr>
        <w:t>investisseurs non</w:t>
      </w:r>
      <w:r w:rsidR="000C3807">
        <w:rPr>
          <w:rFonts w:ascii="Calibri Light" w:hAnsi="Calibri Light" w:cs="Calibri Light"/>
          <w:i/>
          <w:iCs/>
          <w:color w:val="000000"/>
          <w:lang w:val="fr-BE"/>
        </w:rPr>
        <w:t>-</w:t>
      </w:r>
      <w:r w:rsidRPr="00277A6C">
        <w:rPr>
          <w:rFonts w:ascii="Calibri Light" w:hAnsi="Calibri Light" w:cs="Calibri Light"/>
          <w:i/>
          <w:iCs/>
          <w:color w:val="000000"/>
          <w:lang w:val="fr-BE"/>
        </w:rPr>
        <w:t>initiés et les épargnants de retraite. Les responsables politiques de l'UE doivent en tirer les leçons et agir rapidement. Sinon, leur</w:t>
      </w:r>
      <w:r w:rsidR="000C3807">
        <w:rPr>
          <w:rFonts w:ascii="Calibri Light" w:hAnsi="Calibri Light" w:cs="Calibri Light"/>
          <w:i/>
          <w:iCs/>
          <w:color w:val="000000"/>
          <w:lang w:val="fr-BE"/>
        </w:rPr>
        <w:t>s</w:t>
      </w:r>
      <w:r w:rsidRPr="00277A6C">
        <w:rPr>
          <w:rFonts w:ascii="Calibri Light" w:hAnsi="Calibri Light" w:cs="Calibri Light"/>
          <w:i/>
          <w:iCs/>
          <w:color w:val="000000"/>
          <w:lang w:val="fr-BE"/>
        </w:rPr>
        <w:t xml:space="preserve"> objectif</w:t>
      </w:r>
      <w:r w:rsidR="000C3807">
        <w:rPr>
          <w:rFonts w:ascii="Calibri Light" w:hAnsi="Calibri Light" w:cs="Calibri Light"/>
          <w:i/>
          <w:iCs/>
          <w:color w:val="000000"/>
          <w:lang w:val="fr-BE"/>
        </w:rPr>
        <w:t>s de mettre en place</w:t>
      </w:r>
      <w:r w:rsidRPr="00277A6C">
        <w:rPr>
          <w:rFonts w:ascii="Calibri Light" w:hAnsi="Calibri Light" w:cs="Calibri Light"/>
          <w:i/>
          <w:iCs/>
          <w:color w:val="000000"/>
          <w:lang w:val="fr-BE"/>
        </w:rPr>
        <w:t xml:space="preserve"> une Union des marchés </w:t>
      </w:r>
      <w:r w:rsidR="000C3807">
        <w:rPr>
          <w:rFonts w:ascii="Calibri Light" w:hAnsi="Calibri Light" w:cs="Calibri Light"/>
          <w:i/>
          <w:iCs/>
          <w:color w:val="000000"/>
          <w:lang w:val="fr-BE"/>
        </w:rPr>
        <w:t xml:space="preserve">de capitaux </w:t>
      </w:r>
      <w:r w:rsidR="00B50B2A">
        <w:rPr>
          <w:rFonts w:ascii="Calibri Light" w:hAnsi="Calibri Light" w:cs="Calibri Light"/>
          <w:i/>
          <w:iCs/>
          <w:color w:val="000000"/>
          <w:lang w:val="fr-BE"/>
        </w:rPr>
        <w:t>‘</w:t>
      </w:r>
      <w:r w:rsidR="000C3807">
        <w:rPr>
          <w:rFonts w:ascii="Calibri Light" w:hAnsi="Calibri Light" w:cs="Calibri Light"/>
          <w:i/>
          <w:iCs/>
          <w:color w:val="000000"/>
          <w:lang w:val="fr-BE"/>
        </w:rPr>
        <w:t xml:space="preserve">au service des </w:t>
      </w:r>
      <w:r w:rsidR="00D95575">
        <w:rPr>
          <w:rFonts w:ascii="Calibri Light" w:hAnsi="Calibri Light" w:cs="Calibri Light"/>
          <w:i/>
          <w:iCs/>
          <w:color w:val="000000"/>
          <w:lang w:val="fr-BE"/>
        </w:rPr>
        <w:t>personnes</w:t>
      </w:r>
      <w:r w:rsidR="00B50B2A">
        <w:rPr>
          <w:rFonts w:ascii="Calibri Light" w:hAnsi="Calibri Light" w:cs="Calibri Light"/>
          <w:i/>
          <w:iCs/>
          <w:color w:val="000000"/>
          <w:lang w:val="fr-BE"/>
        </w:rPr>
        <w:t>’</w:t>
      </w:r>
      <w:r w:rsidRPr="00277A6C">
        <w:rPr>
          <w:rFonts w:ascii="Calibri Light" w:hAnsi="Calibri Light" w:cs="Calibri Light"/>
          <w:i/>
          <w:iCs/>
          <w:color w:val="000000"/>
          <w:lang w:val="fr-BE"/>
        </w:rPr>
        <w:t>et de rétablir la confiance des investisseurs resteront des vœux pieux</w:t>
      </w:r>
      <w:r w:rsidR="000C3807">
        <w:rPr>
          <w:rFonts w:ascii="Calibri Light" w:hAnsi="Calibri Light" w:cs="Calibri Light"/>
          <w:i/>
          <w:iCs/>
          <w:color w:val="000000"/>
          <w:lang w:val="fr-BE"/>
        </w:rPr>
        <w:t> »</w:t>
      </w:r>
      <w:r w:rsidRPr="00277A6C">
        <w:rPr>
          <w:rFonts w:ascii="Calibri Light" w:hAnsi="Calibri Light" w:cs="Calibri Light"/>
          <w:color w:val="000000"/>
          <w:lang w:val="fr-BE"/>
        </w:rPr>
        <w:t>.</w:t>
      </w:r>
    </w:p>
    <w:p w14:paraId="531C4327" w14:textId="77777777" w:rsidR="00B04099" w:rsidRPr="00277A6C" w:rsidRDefault="00B04099">
      <w:pPr>
        <w:jc w:val="both"/>
        <w:rPr>
          <w:rFonts w:ascii="Calibri Light" w:hAnsi="Calibri Light" w:cs="Calibri Light"/>
          <w:color w:val="000000"/>
          <w:lang w:val="fr-BE"/>
        </w:rPr>
      </w:pPr>
    </w:p>
    <w:p w14:paraId="531C4328" w14:textId="77777777" w:rsidR="00B04099" w:rsidRPr="00277A6C" w:rsidRDefault="00277A6C">
      <w:pPr>
        <w:spacing w:after="0" w:line="240" w:lineRule="auto"/>
        <w:jc w:val="center"/>
        <w:rPr>
          <w:rFonts w:ascii="Calibri Light" w:hAnsi="Calibri Light" w:cs="Calibri Light"/>
          <w:lang w:val="fr-BE"/>
        </w:rPr>
      </w:pPr>
      <w:r w:rsidRPr="00277A6C">
        <w:rPr>
          <w:rFonts w:ascii="Calibri Light" w:hAnsi="Calibri Light" w:cs="Calibri Light"/>
          <w:lang w:val="fr-BE"/>
        </w:rPr>
        <w:t>***</w:t>
      </w:r>
    </w:p>
    <w:p w14:paraId="531C4329" w14:textId="77777777" w:rsidR="00B04099" w:rsidRPr="00277A6C" w:rsidRDefault="00277A6C">
      <w:pPr>
        <w:pStyle w:val="BodyText"/>
        <w:spacing w:before="120" w:after="0" w:line="240" w:lineRule="auto"/>
        <w:jc w:val="center"/>
        <w:rPr>
          <w:lang w:val="fr-BE"/>
        </w:rPr>
      </w:pPr>
      <w:r w:rsidRPr="00277A6C">
        <w:rPr>
          <w:rFonts w:ascii="Calibri Light" w:hAnsi="Calibri Light" w:cs="Calibri Light"/>
          <w:sz w:val="20"/>
          <w:u w:val="single"/>
          <w:lang w:val="fr-BE"/>
        </w:rPr>
        <w:t xml:space="preserve">Contact </w:t>
      </w:r>
      <w:r w:rsidRPr="00277A6C">
        <w:rPr>
          <w:rFonts w:ascii="Calibri Light" w:hAnsi="Calibri Light" w:cs="Calibri Light"/>
          <w:sz w:val="20"/>
          <w:lang w:val="fr-BE"/>
        </w:rPr>
        <w:t xml:space="preserve">: Directeur de la communication ǀ Arnaud Houdmont ǀ +32 (0)2 514 37 77 ǀ </w:t>
      </w:r>
      <w:hyperlink r:id="rId44" w:history="1">
        <w:r w:rsidRPr="00277A6C">
          <w:rPr>
            <w:rStyle w:val="Hyperlink"/>
            <w:rFonts w:ascii="Calibri Light" w:hAnsi="Calibri Light" w:cs="Calibri Light"/>
            <w:sz w:val="20"/>
            <w:lang w:val="fr-BE"/>
          </w:rPr>
          <w:t>houdmont@betterfinance.eu</w:t>
        </w:r>
      </w:hyperlink>
    </w:p>
    <w:p w14:paraId="531C432A" w14:textId="77777777" w:rsidR="00B04099" w:rsidRPr="00277A6C" w:rsidRDefault="00B04099">
      <w:pPr>
        <w:jc w:val="both"/>
        <w:rPr>
          <w:rFonts w:ascii="Calibri Light" w:hAnsi="Calibri Light" w:cs="Calibri Light"/>
          <w:color w:val="000000"/>
          <w:lang w:val="fr-BE"/>
        </w:rPr>
      </w:pPr>
    </w:p>
    <w:sectPr w:rsidR="00B04099" w:rsidRPr="00277A6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4315" w14:textId="77777777" w:rsidR="006C3997" w:rsidRDefault="00277A6C">
      <w:pPr>
        <w:spacing w:after="0" w:line="240" w:lineRule="auto"/>
      </w:pPr>
      <w:r>
        <w:separator/>
      </w:r>
    </w:p>
  </w:endnote>
  <w:endnote w:type="continuationSeparator" w:id="0">
    <w:p w14:paraId="531C4317" w14:textId="77777777" w:rsidR="006C3997" w:rsidRDefault="0027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F1F9" w14:textId="77777777" w:rsidR="00D95575" w:rsidRDefault="00D95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431D" w14:textId="31DBDDFC" w:rsidR="00D876C8" w:rsidRPr="00277A6C" w:rsidRDefault="00277A6C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277A6C">
      <w:rPr>
        <w:b/>
        <w:color w:val="006FB4"/>
        <w:sz w:val="16"/>
        <w:szCs w:val="16"/>
        <w:lang w:val="fr-BE"/>
      </w:rPr>
      <w:t xml:space="preserve">Fédération </w:t>
    </w:r>
    <w:r w:rsidR="00367462">
      <w:rPr>
        <w:b/>
        <w:color w:val="006FB4"/>
        <w:sz w:val="16"/>
        <w:szCs w:val="16"/>
        <w:lang w:val="fr-BE"/>
      </w:rPr>
      <w:t>E</w:t>
    </w:r>
    <w:r w:rsidRPr="00277A6C">
      <w:rPr>
        <w:b/>
        <w:color w:val="006FB4"/>
        <w:sz w:val="16"/>
        <w:szCs w:val="16"/>
        <w:lang w:val="fr-BE"/>
      </w:rPr>
      <w:t xml:space="preserve">uropéenne des </w:t>
    </w:r>
    <w:r w:rsidR="00367462">
      <w:rPr>
        <w:b/>
        <w:color w:val="006FB4"/>
        <w:sz w:val="16"/>
        <w:szCs w:val="16"/>
        <w:lang w:val="fr-BE"/>
      </w:rPr>
      <w:t>I</w:t>
    </w:r>
    <w:r w:rsidRPr="00277A6C">
      <w:rPr>
        <w:b/>
        <w:color w:val="006FB4"/>
        <w:sz w:val="16"/>
        <w:szCs w:val="16"/>
        <w:lang w:val="fr-BE"/>
      </w:rPr>
      <w:t xml:space="preserve">nvestisseurs et </w:t>
    </w:r>
    <w:r w:rsidR="00367462">
      <w:rPr>
        <w:b/>
        <w:color w:val="006FB4"/>
        <w:sz w:val="16"/>
        <w:szCs w:val="16"/>
        <w:lang w:val="fr-BE"/>
      </w:rPr>
      <w:t>Usagers de</w:t>
    </w:r>
    <w:r w:rsidR="00D95575">
      <w:rPr>
        <w:b/>
        <w:color w:val="006FB4"/>
        <w:sz w:val="16"/>
        <w:szCs w:val="16"/>
        <w:lang w:val="fr-BE"/>
      </w:rPr>
      <w:t>s</w:t>
    </w:r>
    <w:r w:rsidR="00367462">
      <w:rPr>
        <w:b/>
        <w:color w:val="006FB4"/>
        <w:sz w:val="16"/>
        <w:szCs w:val="16"/>
        <w:lang w:val="fr-BE"/>
      </w:rPr>
      <w:t xml:space="preserve"> S</w:t>
    </w:r>
    <w:r w:rsidRPr="00277A6C">
      <w:rPr>
        <w:b/>
        <w:color w:val="006FB4"/>
        <w:sz w:val="16"/>
        <w:szCs w:val="16"/>
        <w:lang w:val="fr-BE"/>
      </w:rPr>
      <w:t xml:space="preserve">ervices </w:t>
    </w:r>
    <w:r w:rsidR="00367462">
      <w:rPr>
        <w:b/>
        <w:color w:val="006FB4"/>
        <w:sz w:val="16"/>
        <w:szCs w:val="16"/>
        <w:lang w:val="fr-BE"/>
      </w:rPr>
      <w:t>F</w:t>
    </w:r>
    <w:r w:rsidRPr="00277A6C">
      <w:rPr>
        <w:b/>
        <w:color w:val="006FB4"/>
        <w:sz w:val="16"/>
        <w:szCs w:val="16"/>
        <w:lang w:val="fr-BE"/>
      </w:rPr>
      <w:t>inanciers</w:t>
    </w:r>
  </w:p>
  <w:p w14:paraId="531C431E" w14:textId="77777777" w:rsidR="00D876C8" w:rsidRDefault="00277A6C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531C431F" w14:textId="77777777" w:rsidR="00D876C8" w:rsidRDefault="00277A6C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31C4320" w14:textId="77777777" w:rsidR="00D876C8" w:rsidRDefault="00277A6C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0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8EED" w14:textId="77777777" w:rsidR="00D95575" w:rsidRDefault="00D9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4311" w14:textId="77777777" w:rsidR="006C3997" w:rsidRDefault="00277A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1C4313" w14:textId="77777777" w:rsidR="006C3997" w:rsidRDefault="00277A6C">
      <w:pPr>
        <w:spacing w:after="0" w:line="240" w:lineRule="auto"/>
      </w:pPr>
      <w:r>
        <w:continuationSeparator/>
      </w:r>
    </w:p>
  </w:footnote>
  <w:footnote w:id="1">
    <w:p w14:paraId="531C4313" w14:textId="45878D26" w:rsidR="00B04099" w:rsidRPr="00D95575" w:rsidRDefault="00277A6C">
      <w:pPr>
        <w:pStyle w:val="FootnoteText"/>
        <w:jc w:val="both"/>
        <w:rPr>
          <w:lang w:val="fr-FR"/>
        </w:rPr>
      </w:pPr>
      <w:r w:rsidRPr="00D95575">
        <w:rPr>
          <w:rStyle w:val="FootnoteReference"/>
          <w:lang w:val="fr-FR"/>
        </w:rPr>
        <w:footnoteRef/>
      </w:r>
      <w:hyperlink r:id="rId1" w:history="1">
        <w:r w:rsidRPr="00D95575">
          <w:rPr>
            <w:rStyle w:val="Hyperlink"/>
            <w:rFonts w:ascii="Calibri Light" w:hAnsi="Calibri Light" w:cs="Calibri Light"/>
            <w:sz w:val="16"/>
            <w:szCs w:val="16"/>
            <w:lang w:val="fr-FR"/>
          </w:rPr>
          <w:t xml:space="preserve"> </w:t>
        </w:r>
      </w:hyperlink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Voir l'article du 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>FT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 </w:t>
      </w:r>
      <w:hyperlink r:id="rId2" w:history="1">
        <w:r w:rsidRPr="00D95575">
          <w:rPr>
            <w:rStyle w:val="Hyperlink"/>
            <w:rFonts w:ascii="Calibri Light" w:hAnsi="Calibri Light" w:cs="Calibri Light"/>
            <w:sz w:val="16"/>
            <w:szCs w:val="16"/>
            <w:lang w:val="fr-FR"/>
          </w:rPr>
          <w:t xml:space="preserve">: https://ftalphaville.ft.com/2015/11/20/2145256/jcap-on-wirecard-a-search-for-the-asian-business/ </w:t>
        </w:r>
      </w:hyperlink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(Dan McCrum, 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>‘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>JCap on Wirecard : A Search for the Asian Business' 20/11/2015).</w:t>
      </w:r>
    </w:p>
  </w:footnote>
  <w:footnote w:id="2">
    <w:p w14:paraId="2E1392A0" w14:textId="77777777" w:rsidR="00784757" w:rsidRPr="00D95575" w:rsidRDefault="00784757" w:rsidP="00784757">
      <w:pPr>
        <w:shd w:val="clear" w:color="auto" w:fill="FFFFFF"/>
        <w:spacing w:after="0"/>
        <w:rPr>
          <w:lang w:val="fr-FR"/>
        </w:rPr>
      </w:pPr>
      <w:r w:rsidRPr="00D95575">
        <w:rPr>
          <w:rStyle w:val="FootnoteReference"/>
          <w:lang w:val="fr-FR"/>
        </w:rPr>
        <w:footnoteRef/>
      </w:r>
      <w:hyperlink r:id="rId3" w:history="1">
        <w:r w:rsidRPr="00D95575">
          <w:rPr>
            <w:rStyle w:val="Hyperlink"/>
            <w:rFonts w:ascii="Calibri Light" w:hAnsi="Calibri Light" w:cs="Calibri Light"/>
            <w:color w:val="0070C0"/>
            <w:sz w:val="16"/>
            <w:szCs w:val="16"/>
            <w:lang w:val="fr-FR"/>
          </w:rPr>
          <w:t xml:space="preserve"> </w:t>
        </w:r>
      </w:hyperlink>
      <w:r w:rsidRPr="00D95575">
        <w:rPr>
          <w:rFonts w:ascii="Calibri Light" w:hAnsi="Calibri Light" w:cs="Calibri Light"/>
          <w:color w:val="000000"/>
          <w:sz w:val="16"/>
          <w:szCs w:val="16"/>
          <w:lang w:val="fr-FR"/>
        </w:rPr>
        <w:t xml:space="preserve">Voir l'article de REUTERS </w:t>
      </w:r>
      <w:hyperlink r:id="rId4" w:history="1">
        <w:r w:rsidRPr="00D95575">
          <w:rPr>
            <w:rStyle w:val="Hyperlink"/>
            <w:rFonts w:ascii="Calibri Light" w:hAnsi="Calibri Light" w:cs="Calibri Light"/>
            <w:color w:val="0070C0"/>
            <w:sz w:val="16"/>
            <w:szCs w:val="16"/>
            <w:lang w:val="fr-FR"/>
          </w:rPr>
          <w:t xml:space="preserve">: https://uk.reuters.com/article/uk-wirecard-report/head-of-germanys-wirecard-rejects-fraud-allegations-by-short-seller-idUKKCN0WH1I4 </w:t>
        </w:r>
      </w:hyperlink>
      <w:r w:rsidRPr="00D95575">
        <w:rPr>
          <w:rFonts w:ascii="Calibri Light" w:hAnsi="Calibri Light" w:cs="Calibri Light"/>
          <w:color w:val="000000"/>
          <w:sz w:val="16"/>
          <w:szCs w:val="16"/>
          <w:lang w:val="fr-FR"/>
        </w:rPr>
        <w:t xml:space="preserve">(E. Auchard, J. Poltz, A. Pal, ‘Head of Germany's Wirecard Rejects Fraud Allegations by Short-Seller’ 15/03/2016). </w:t>
      </w:r>
    </w:p>
  </w:footnote>
  <w:footnote w:id="3">
    <w:p w14:paraId="531C4315" w14:textId="0CC19368" w:rsidR="00B04099" w:rsidRPr="00D95575" w:rsidRDefault="00277A6C">
      <w:pPr>
        <w:pStyle w:val="FootnoteText"/>
        <w:jc w:val="both"/>
        <w:rPr>
          <w:lang w:val="fr-FR"/>
        </w:rPr>
      </w:pPr>
      <w:r w:rsidRPr="00D95575">
        <w:rPr>
          <w:rStyle w:val="FootnoteReference"/>
          <w:lang w:val="fr-FR"/>
        </w:rPr>
        <w:footnoteRef/>
      </w:r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 Voir l'article du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 xml:space="preserve"> FT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 </w:t>
      </w:r>
      <w:hyperlink r:id="rId5" w:history="1">
        <w:r w:rsidRPr="00D95575">
          <w:rPr>
            <w:rStyle w:val="Hyperlink"/>
            <w:rFonts w:ascii="Calibri Light" w:hAnsi="Calibri Light" w:cs="Calibri Light"/>
            <w:sz w:val="16"/>
            <w:szCs w:val="16"/>
            <w:lang w:val="fr-FR"/>
          </w:rPr>
          <w:t xml:space="preserve">: https://www.ft.com/content/79bd8da2-2830-11e9-a5ab-ff8ef2b976c7 </w:t>
        </w:r>
      </w:hyperlink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(Olaf Storbeck, Stephania Palma, 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>‘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>Wirecard Discloses Investigation into Accounting Allegations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>’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 04/02/2019).</w:t>
      </w:r>
    </w:p>
  </w:footnote>
  <w:footnote w:id="4">
    <w:p w14:paraId="531C4316" w14:textId="3968A8E3" w:rsidR="00B04099" w:rsidRPr="00D95575" w:rsidRDefault="00277A6C">
      <w:pPr>
        <w:pStyle w:val="FootnoteText"/>
        <w:jc w:val="both"/>
        <w:rPr>
          <w:lang w:val="fr-FR"/>
        </w:rPr>
      </w:pPr>
      <w:r w:rsidRPr="00D95575">
        <w:rPr>
          <w:rStyle w:val="FootnoteReference"/>
          <w:lang w:val="fr-FR"/>
        </w:rPr>
        <w:footnoteRef/>
      </w:r>
      <w:hyperlink r:id="rId6" w:history="1">
        <w:r w:rsidRPr="00D95575">
          <w:rPr>
            <w:rStyle w:val="Hyperlink"/>
            <w:rFonts w:ascii="Calibri Light" w:hAnsi="Calibri Light" w:cs="Calibri Light"/>
            <w:sz w:val="16"/>
            <w:szCs w:val="16"/>
            <w:lang w:val="fr-FR"/>
          </w:rPr>
          <w:t xml:space="preserve"> </w:t>
        </w:r>
      </w:hyperlink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Voir l'article du 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>FT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 </w:t>
      </w:r>
      <w:hyperlink r:id="rId7" w:history="1">
        <w:r w:rsidRPr="00D95575">
          <w:rPr>
            <w:rStyle w:val="Hyperlink"/>
            <w:rFonts w:ascii="Calibri Light" w:hAnsi="Calibri Light" w:cs="Calibri Light"/>
            <w:sz w:val="16"/>
            <w:szCs w:val="16"/>
            <w:lang w:val="fr-FR"/>
          </w:rPr>
          <w:t xml:space="preserve">: https://www.ft.com/content/2997a4b2-255f-11e9-8ce6-5db4543da632 </w:t>
        </w:r>
      </w:hyperlink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(Olaf Storbeck, 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>‘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>German Regulators Probe Price Decline at Wirecard</w:t>
      </w:r>
      <w:r w:rsidR="00367462" w:rsidRPr="00D95575">
        <w:rPr>
          <w:rFonts w:ascii="Calibri Light" w:hAnsi="Calibri Light" w:cs="Calibri Light"/>
          <w:sz w:val="16"/>
          <w:szCs w:val="16"/>
          <w:lang w:val="fr-FR"/>
        </w:rPr>
        <w:t>’</w:t>
      </w:r>
      <w:r w:rsidRPr="00D95575">
        <w:rPr>
          <w:rFonts w:ascii="Calibri Light" w:hAnsi="Calibri Light" w:cs="Calibri Light"/>
          <w:sz w:val="16"/>
          <w:szCs w:val="16"/>
          <w:lang w:val="fr-FR"/>
        </w:rPr>
        <w:t xml:space="preserve"> 31/01/2019). </w:t>
      </w:r>
    </w:p>
  </w:footnote>
  <w:footnote w:id="5">
    <w:p w14:paraId="31ACC32F" w14:textId="385331AA" w:rsidR="00784757" w:rsidRDefault="00784757" w:rsidP="00784757">
      <w:pPr>
        <w:pStyle w:val="FootnoteText"/>
        <w:jc w:val="both"/>
      </w:pPr>
      <w:r>
        <w:rPr>
          <w:rStyle w:val="FootnoteReference"/>
        </w:rPr>
        <w:footnoteRef/>
      </w:r>
      <w:hyperlink r:id="rId8" w:history="1">
        <w:r>
          <w:rPr>
            <w:rStyle w:val="Hyperlink"/>
            <w:rFonts w:ascii="Calibri Light" w:hAnsi="Calibri Light" w:cs="Calibri Light"/>
            <w:sz w:val="16"/>
            <w:szCs w:val="16"/>
          </w:rPr>
          <w:t xml:space="preserve"> </w:t>
        </w:r>
      </w:hyperlink>
      <w:r>
        <w:rPr>
          <w:rFonts w:ascii="Calibri Light" w:hAnsi="Calibri Light" w:cs="Calibri Light"/>
          <w:sz w:val="16"/>
          <w:szCs w:val="16"/>
        </w:rPr>
        <w:t xml:space="preserve">Voir l'article du </w:t>
      </w:r>
      <w:r w:rsidR="005103F3">
        <w:rPr>
          <w:rFonts w:ascii="Calibri Light" w:hAnsi="Calibri Light" w:cs="Calibri Light"/>
          <w:sz w:val="16"/>
          <w:szCs w:val="16"/>
        </w:rPr>
        <w:t>FT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sz w:val="16"/>
            <w:szCs w:val="16"/>
          </w:rPr>
          <w:t xml:space="preserve">: https://www.ft.com/content/4bed8775-01aa-457f-9dbb-1740e67a684d </w:t>
        </w:r>
      </w:hyperlink>
      <w:r>
        <w:rPr>
          <w:rFonts w:ascii="Calibri Light" w:hAnsi="Calibri Light" w:cs="Calibri Light"/>
          <w:sz w:val="16"/>
          <w:szCs w:val="16"/>
        </w:rPr>
        <w:t xml:space="preserve">(Dan McCrum, Olaf Storbeck, </w:t>
      </w:r>
      <w:r w:rsidR="005103F3">
        <w:rPr>
          <w:rFonts w:ascii="Calibri Light" w:hAnsi="Calibri Light" w:cs="Calibri Light"/>
          <w:sz w:val="16"/>
          <w:szCs w:val="16"/>
        </w:rPr>
        <w:t>‘</w:t>
      </w:r>
      <w:r>
        <w:rPr>
          <w:rFonts w:ascii="Calibri Light" w:hAnsi="Calibri Light" w:cs="Calibri Light"/>
          <w:sz w:val="16"/>
          <w:szCs w:val="16"/>
        </w:rPr>
        <w:t>Wirecard : What KPMG's Report Found</w:t>
      </w:r>
      <w:r w:rsidR="005103F3">
        <w:rPr>
          <w:rFonts w:ascii="Calibri Light" w:hAnsi="Calibri Light" w:cs="Calibri Light"/>
          <w:sz w:val="16"/>
          <w:szCs w:val="16"/>
        </w:rPr>
        <w:t>’</w:t>
      </w:r>
      <w:r>
        <w:rPr>
          <w:rFonts w:ascii="Calibri Light" w:hAnsi="Calibri Light" w:cs="Calibri Light"/>
          <w:sz w:val="16"/>
          <w:szCs w:val="16"/>
        </w:rPr>
        <w:t xml:space="preserve"> 29/04/2020)</w:t>
      </w:r>
    </w:p>
  </w:footnote>
  <w:footnote w:id="6">
    <w:p w14:paraId="531C4318" w14:textId="3DCA0324" w:rsidR="00B04099" w:rsidRPr="00277A6C" w:rsidRDefault="00277A6C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277A6C">
        <w:rPr>
          <w:rFonts w:ascii="Calibri Light" w:hAnsi="Calibri Light"/>
          <w:sz w:val="16"/>
          <w:szCs w:val="16"/>
          <w:lang w:val="fr-BE"/>
        </w:rPr>
        <w:t xml:space="preserve"> Voir par exemple le </w:t>
      </w:r>
      <w:r w:rsidRPr="00277A6C">
        <w:rPr>
          <w:rFonts w:ascii="Calibri Light" w:hAnsi="Calibri Light"/>
          <w:i/>
          <w:iCs/>
          <w:sz w:val="16"/>
          <w:szCs w:val="16"/>
          <w:lang w:val="fr-BE"/>
        </w:rPr>
        <w:t>Robo-Advice</w:t>
      </w:r>
      <w:r w:rsidR="005103F3">
        <w:rPr>
          <w:rFonts w:ascii="Calibri Light" w:hAnsi="Calibri Light"/>
          <w:i/>
          <w:iCs/>
          <w:sz w:val="16"/>
          <w:szCs w:val="16"/>
          <w:lang w:val="fr-BE"/>
        </w:rPr>
        <w:t xml:space="preserve"> Report</w:t>
      </w:r>
      <w:r w:rsidRPr="00277A6C">
        <w:rPr>
          <w:rFonts w:ascii="Calibri Light" w:hAnsi="Calibri Light"/>
          <w:i/>
          <w:iCs/>
          <w:sz w:val="16"/>
          <w:szCs w:val="16"/>
          <w:lang w:val="fr-BE"/>
        </w:rPr>
        <w:t xml:space="preserve"> </w:t>
      </w:r>
      <w:r w:rsidR="005103F3">
        <w:rPr>
          <w:rFonts w:ascii="Calibri Light" w:hAnsi="Calibri Light"/>
          <w:i/>
          <w:iCs/>
          <w:sz w:val="16"/>
          <w:szCs w:val="16"/>
          <w:lang w:val="fr-BE"/>
        </w:rPr>
        <w:t xml:space="preserve">2019 </w:t>
      </w:r>
      <w:r w:rsidRPr="005103F3">
        <w:rPr>
          <w:rFonts w:ascii="Calibri Light" w:hAnsi="Calibri Light"/>
          <w:sz w:val="16"/>
          <w:szCs w:val="16"/>
          <w:lang w:val="fr-BE"/>
        </w:rPr>
        <w:t>de BETTER FINANCE</w:t>
      </w:r>
      <w:r w:rsidRPr="00277A6C">
        <w:rPr>
          <w:rFonts w:ascii="Calibri Light" w:hAnsi="Calibri Light"/>
          <w:sz w:val="16"/>
          <w:szCs w:val="16"/>
          <w:lang w:val="fr-BE"/>
        </w:rPr>
        <w:t xml:space="preserve"> </w:t>
      </w:r>
      <w:hyperlink r:id="rId10" w:history="1">
        <w:r w:rsidRPr="00277A6C">
          <w:rPr>
            <w:rStyle w:val="Hyperlink"/>
            <w:rFonts w:ascii="Calibri Light" w:hAnsi="Calibri Light"/>
            <w:sz w:val="16"/>
            <w:szCs w:val="16"/>
            <w:lang w:val="fr-BE"/>
          </w:rPr>
          <w:t xml:space="preserve">: </w:t>
        </w:r>
      </w:hyperlink>
      <w:r w:rsidRPr="00277A6C">
        <w:rPr>
          <w:rFonts w:ascii="Calibri Light" w:hAnsi="Calibri Light"/>
          <w:sz w:val="16"/>
          <w:szCs w:val="16"/>
          <w:lang w:val="fr-BE"/>
        </w:rPr>
        <w:t xml:space="preserve">https://betterfinance.eu/wp-content/uploads/Robo-Advice-Report-2019-FINAL.pdf.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2117" w14:textId="77777777" w:rsidR="00D95575" w:rsidRDefault="00D9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4319" w14:textId="77777777" w:rsidR="00D876C8" w:rsidRDefault="00277A6C">
    <w:pPr>
      <w:pStyle w:val="Header"/>
      <w:spacing w:after="120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1C4311" wp14:editId="531C4312">
          <wp:simplePos x="0" y="0"/>
          <wp:positionH relativeFrom="margin">
            <wp:posOffset>2617470</wp:posOffset>
          </wp:positionH>
          <wp:positionV relativeFrom="paragraph">
            <wp:posOffset>-219712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31C431A" w14:textId="77777777" w:rsidR="00D876C8" w:rsidRDefault="00D95575">
    <w:pPr>
      <w:pStyle w:val="Header"/>
      <w:rPr>
        <w:sz w:val="20"/>
        <w:szCs w:val="20"/>
      </w:rPr>
    </w:pPr>
  </w:p>
  <w:p w14:paraId="531C431B" w14:textId="77777777" w:rsidR="00D876C8" w:rsidRDefault="00D9557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B268" w14:textId="77777777" w:rsidR="00D95575" w:rsidRDefault="00D95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D7A33"/>
    <w:multiLevelType w:val="multilevel"/>
    <w:tmpl w:val="70C6C2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99"/>
    <w:rsid w:val="00007053"/>
    <w:rsid w:val="000210E4"/>
    <w:rsid w:val="0004781E"/>
    <w:rsid w:val="00064C13"/>
    <w:rsid w:val="000C3807"/>
    <w:rsid w:val="00171FDF"/>
    <w:rsid w:val="002079AE"/>
    <w:rsid w:val="00277A6C"/>
    <w:rsid w:val="00317AB9"/>
    <w:rsid w:val="00367462"/>
    <w:rsid w:val="004B441E"/>
    <w:rsid w:val="005103F3"/>
    <w:rsid w:val="006C3997"/>
    <w:rsid w:val="00737E6D"/>
    <w:rsid w:val="00771DFB"/>
    <w:rsid w:val="007766BF"/>
    <w:rsid w:val="00784757"/>
    <w:rsid w:val="008533EC"/>
    <w:rsid w:val="008A4CFF"/>
    <w:rsid w:val="008D6D6B"/>
    <w:rsid w:val="009352A2"/>
    <w:rsid w:val="00A03F0F"/>
    <w:rsid w:val="00A21DF7"/>
    <w:rsid w:val="00A93FF4"/>
    <w:rsid w:val="00B04099"/>
    <w:rsid w:val="00B50B2A"/>
    <w:rsid w:val="00B85FFC"/>
    <w:rsid w:val="00C51243"/>
    <w:rsid w:val="00D95575"/>
    <w:rsid w:val="00DC5AD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42FE"/>
  <w15:docId w15:val="{359E4256-E2C3-4577-9DBA-17D234A7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cs="Calibri"/>
      <w:lang w:val="fr-B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customStyle="1" w:styleId="bylinebarreading-time">
    <w:name w:val="bylinebar_reading-tim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odyText">
    <w:name w:val="Body Text"/>
    <w:basedOn w:val="Normal"/>
    <w:pPr>
      <w:spacing w:after="200" w:line="240" w:lineRule="exact"/>
    </w:pPr>
    <w:rPr>
      <w:rFonts w:ascii="Tahoma" w:eastAsia="Times New Roman" w:hAnsi="Tahoma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52A2"/>
    <w:rPr>
      <w:color w:val="954F72" w:themeColor="followedHyperlink"/>
      <w:u w:val="single"/>
    </w:rPr>
  </w:style>
  <w:style w:type="character" w:customStyle="1" w:styleId="acopre">
    <w:name w:val="acopre"/>
    <w:basedOn w:val="DefaultParagraphFont"/>
    <w:rsid w:val="0004781E"/>
  </w:style>
  <w:style w:type="character" w:styleId="Emphasis">
    <w:name w:val="Emphasis"/>
    <w:basedOn w:val="DefaultParagraphFont"/>
    <w:uiPriority w:val="20"/>
    <w:qFormat/>
    <w:rsid w:val="00047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talphaville.ft.com/2019/10/14/1571059326000/The-Wirecard-documents--explained/" TargetMode="External"/><Relationship Id="rId18" Type="http://schemas.openxmlformats.org/officeDocument/2006/relationships/hyperlink" Target="https://www.ft.com/content/03a5e318-2479-11e9-8ce6-5db4543da632" TargetMode="External"/><Relationship Id="rId26" Type="http://schemas.openxmlformats.org/officeDocument/2006/relationships/hyperlink" Target="https://www.nytimes.com/reuters/2020/06/29/business/29reuters-wirecard-accounts.html" TargetMode="External"/><Relationship Id="rId39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hyperlink" Target="https://www.ft.com/content/8e1948be-6060-11e9-b285-3acd5d43599e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1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ftalphaville.ft.com/2019/10/14/1571059326000/The-Wirecard-documents--explained/" TargetMode="External"/><Relationship Id="rId17" Type="http://schemas.openxmlformats.org/officeDocument/2006/relationships/hyperlink" Target="https://www.ft.com/content/d51a012e-1d6f-11e9-b126-46fc3ad87c65" TargetMode="External"/><Relationship Id="rId25" Type="http://schemas.openxmlformats.org/officeDocument/2006/relationships/hyperlink" Target="https://www.reuters.com/article/us-wirecard-accounts/wirecard-collapse-leads-to-call-for-german-parliamentary-inquiry-idUSKBN2401Y7" TargetMode="External"/><Relationship Id="rId33" Type="http://schemas.openxmlformats.org/officeDocument/2006/relationships/image" Target="media/image2.svg"/><Relationship Id="rId38" Type="http://schemas.openxmlformats.org/officeDocument/2006/relationships/image" Target="media/image7.png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eddeutsche.de/wirtschaft/wirecard-angriff-aus-dem-hinterhalt-1.2878377" TargetMode="External"/><Relationship Id="rId20" Type="http://schemas.openxmlformats.org/officeDocument/2006/relationships/hyperlink" Target="https://www.ft.com/content/f6e8a58a-2b93-11e9-88a4-c32129756dd8" TargetMode="External"/><Relationship Id="rId29" Type="http://schemas.openxmlformats.org/officeDocument/2006/relationships/hyperlink" Target="https://www.ft.com/content/1e753e2b-f576-4f32-aa19-d240be26e773" TargetMode="External"/><Relationship Id="rId41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talphaville.ft.com/series/House%20of%20Wirecard" TargetMode="External"/><Relationship Id="rId24" Type="http://schemas.openxmlformats.org/officeDocument/2006/relationships/hyperlink" Target="https://www.frep.info/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svg"/><Relationship Id="rId40" Type="http://schemas.openxmlformats.org/officeDocument/2006/relationships/image" Target="media/image9.png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t.com/content/284fb1ad-ddc0-45df-a075-0709b36868db" TargetMode="External"/><Relationship Id="rId23" Type="http://schemas.openxmlformats.org/officeDocument/2006/relationships/hyperlink" Target="https://www.ft.com/content/0026b76c-d062-44e4-85b8-23a454534170" TargetMode="External"/><Relationship Id="rId28" Type="http://schemas.openxmlformats.org/officeDocument/2006/relationships/hyperlink" Target="https://www.ft.com/content/56a2057c-b975-4965-b0cf-641b83ee0f82" TargetMode="External"/><Relationship Id="rId36" Type="http://schemas.openxmlformats.org/officeDocument/2006/relationships/image" Target="media/image5.png"/><Relationship Id="rId49" Type="http://schemas.openxmlformats.org/officeDocument/2006/relationships/header" Target="header3.xml"/><Relationship Id="rId10" Type="http://schemas.openxmlformats.org/officeDocument/2006/relationships/hyperlink" Target="https://www.afr.com/companies/financial-services/aussie-researcher-questioned-embattled-german-fintech-wirecard-20200622-p554v7" TargetMode="External"/><Relationship Id="rId19" Type="http://schemas.openxmlformats.org/officeDocument/2006/relationships/hyperlink" Target="https://www.ft.com/content/d51a012e-1d6f-11e9-b126-46fc3ad87c65" TargetMode="External"/><Relationship Id="rId31" Type="http://schemas.openxmlformats.org/officeDocument/2006/relationships/hyperlink" Target="https://ir.wirecard.com/websites/wirecard/English/5110/news-detail.html?newsID=1988247&amp;fromID=5000" TargetMode="External"/><Relationship Id="rId44" Type="http://schemas.openxmlformats.org/officeDocument/2006/relationships/hyperlink" Target="mailto:houdmont@betterfinance.eu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talphaville.ft.com/2015/04/27/2126473/the-wirecard-documents/" TargetMode="External"/><Relationship Id="rId22" Type="http://schemas.openxmlformats.org/officeDocument/2006/relationships/hyperlink" Target="https://www.esma.europa.eu/press-news/esma-news/esma-issues-positive-opinion-short-selling-ban-bafin" TargetMode="External"/><Relationship Id="rId27" Type="http://schemas.openxmlformats.org/officeDocument/2006/relationships/hyperlink" Target="https://www.ft.com/content/eeb18c70-f3ce-11e9-a79c-bc9acae3b654" TargetMode="External"/><Relationship Id="rId30" Type="http://schemas.openxmlformats.org/officeDocument/2006/relationships/hyperlink" Target="https://www.reuters.com/article/us-wirecard-accounts/wirecard-says-missing-2-1-billion-never-existed-rips-up-earlier-accounts-idUSKBN23T06V?il=0" TargetMode="External"/><Relationship Id="rId35" Type="http://schemas.openxmlformats.org/officeDocument/2006/relationships/image" Target="media/image4.svg"/><Relationship Id="rId43" Type="http://schemas.openxmlformats.org/officeDocument/2006/relationships/image" Target="media/image12.svg"/><Relationship Id="rId48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content/4bed8775-01aa-457f-9dbb-1740e67a684d" TargetMode="External"/><Relationship Id="rId3" Type="http://schemas.openxmlformats.org/officeDocument/2006/relationships/hyperlink" Target="https://uk.reuters.com/article/uk-wirecard-report/head-of-germanys-wirecard-rejects-fraud-allegations-by-short-seller-idUKKCN0WH1I4" TargetMode="External"/><Relationship Id="rId7" Type="http://schemas.openxmlformats.org/officeDocument/2006/relationships/hyperlink" Target="https://www.ft.com/content/2997a4b2-255f-11e9-8ce6-5db4543da632" TargetMode="External"/><Relationship Id="rId2" Type="http://schemas.openxmlformats.org/officeDocument/2006/relationships/hyperlink" Target="https://ftalphaville.ft.com/2015/11/20/2145256/jcap-on-wirecard-a-search-for-the-asian-business/" TargetMode="External"/><Relationship Id="rId1" Type="http://schemas.openxmlformats.org/officeDocument/2006/relationships/hyperlink" Target="https://ftalphaville.ft.com/2015/11/20/2145256/jcap-on-wirecard-a-search-for-the-asian-business/" TargetMode="External"/><Relationship Id="rId6" Type="http://schemas.openxmlformats.org/officeDocument/2006/relationships/hyperlink" Target="https://www.ft.com/content/2997a4b2-255f-11e9-8ce6-5db4543da632" TargetMode="External"/><Relationship Id="rId5" Type="http://schemas.openxmlformats.org/officeDocument/2006/relationships/hyperlink" Target="https://www.ft.com/content/79bd8da2-2830-11e9-a5ab-ff8ef2b976c7" TargetMode="External"/><Relationship Id="rId10" Type="http://schemas.openxmlformats.org/officeDocument/2006/relationships/hyperlink" Target="https://betterfinance.eu/wp-content/uploads/Robo-Advice-Report-2019-FINAL.pdf" TargetMode="External"/><Relationship Id="rId4" Type="http://schemas.openxmlformats.org/officeDocument/2006/relationships/hyperlink" Target="https://uk.reuters.com/article/uk-wirecard-report/head-of-germanys-wirecard-rejects-fraud-allegations-by-short-seller-idUKKCN0WH1I4" TargetMode="External"/><Relationship Id="rId9" Type="http://schemas.openxmlformats.org/officeDocument/2006/relationships/hyperlink" Target="https://www.ft.com/content/4bed8775-01aa-457f-9dbb-1740e67a684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B632A-EA45-4E70-AE27-69DE93F4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8D435-C893-4ED3-AD8F-C142FFCC5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5199A-DA13-4957-9FF4-58ACCC5C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1935</Words>
  <Characters>10645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Voicu</dc:creator>
  <dc:description/>
  <cp:lastModifiedBy>ISO Translation</cp:lastModifiedBy>
  <cp:revision>4</cp:revision>
  <dcterms:created xsi:type="dcterms:W3CDTF">2020-12-12T13:28:00Z</dcterms:created>
  <dcterms:modified xsi:type="dcterms:W3CDTF">2020-12-15T13:05:00Z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