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BDDB6" w14:textId="45746105" w:rsidR="00D125CD" w:rsidRDefault="00D125CD"/>
    <w:p w14:paraId="7A1BDDB7" w14:textId="77777777" w:rsidR="00D125CD" w:rsidRPr="00546EC2" w:rsidRDefault="00546EC2">
      <w:pPr>
        <w:pStyle w:val="Heading2"/>
        <w:spacing w:after="80"/>
        <w:jc w:val="both"/>
        <w:rPr>
          <w:rFonts w:ascii="Calibri Light" w:eastAsia="Times New Roman" w:hAnsi="Calibri Light" w:cs="Calibri Light"/>
          <w:b/>
          <w:bCs/>
          <w:color w:val="auto"/>
          <w:sz w:val="24"/>
          <w:szCs w:val="24"/>
          <w:lang w:val="fr-BE"/>
        </w:rPr>
      </w:pPr>
      <w:bookmarkStart w:id="0" w:name="_Hlk4143464"/>
      <w:r w:rsidRPr="00546EC2">
        <w:rPr>
          <w:rFonts w:ascii="Calibri Light" w:eastAsia="Times New Roman" w:hAnsi="Calibri Light" w:cs="Calibri Light"/>
          <w:b/>
          <w:bCs/>
          <w:color w:val="auto"/>
          <w:sz w:val="24"/>
          <w:szCs w:val="24"/>
          <w:lang w:val="fr-BE"/>
        </w:rPr>
        <w:t>COMMUNIQUÉ DE PRESSE</w:t>
      </w:r>
    </w:p>
    <w:p w14:paraId="1822E5E3" w14:textId="76C6C7F0" w:rsidR="00592DD6" w:rsidRPr="00592DD6" w:rsidRDefault="00592DD6" w:rsidP="00552BF6">
      <w:pPr>
        <w:pStyle w:val="Heading2"/>
        <w:spacing w:after="240"/>
        <w:jc w:val="both"/>
        <w:rPr>
          <w:lang w:val="fr-BE"/>
        </w:rPr>
      </w:pPr>
      <w:r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fr-BE"/>
        </w:rPr>
        <w:t>Le train de mesures de relan</w:t>
      </w:r>
      <w:r w:rsidR="00552BF6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fr-BE"/>
        </w:rPr>
        <w:t>ce par les marchés de capitaux</w:t>
      </w:r>
      <w:r w:rsidR="00856060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fr-BE"/>
        </w:rPr>
        <w:t xml:space="preserve"> de l’UE</w:t>
      </w:r>
      <w:r w:rsidR="00552BF6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fr-BE"/>
        </w:rPr>
        <w:t xml:space="preserve"> </w:t>
      </w:r>
      <w:r w:rsidR="00546EC2" w:rsidRPr="00546EC2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fr-BE"/>
        </w:rPr>
        <w:t xml:space="preserve">devrait tenir compte des investisseurs </w:t>
      </w:r>
      <w:r w:rsidR="00552BF6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fr-BE"/>
        </w:rPr>
        <w:t xml:space="preserve">particuliers </w:t>
      </w:r>
      <w:r w:rsidR="00546EC2" w:rsidRPr="00546EC2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fr-BE"/>
        </w:rPr>
        <w:t xml:space="preserve">et de l'affaire </w:t>
      </w:r>
      <w:r w:rsidR="00552BF6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fr-BE"/>
        </w:rPr>
        <w:t>Wirecard</w:t>
      </w:r>
      <w:r w:rsidR="00856060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fr-BE"/>
        </w:rPr>
        <w:t xml:space="preserve"> </w:t>
      </w:r>
    </w:p>
    <w:p w14:paraId="7A1BDDB9" w14:textId="2239B90D" w:rsidR="00D125CD" w:rsidRDefault="00546EC2">
      <w:pPr>
        <w:jc w:val="both"/>
        <w:rPr>
          <w:rFonts w:ascii="Calibri Light" w:hAnsi="Calibri Light" w:cs="Calibri Light"/>
          <w:lang w:val="fr-BE"/>
        </w:rPr>
      </w:pPr>
      <w:r w:rsidRPr="00546EC2">
        <w:rPr>
          <w:rFonts w:ascii="Calibri Light" w:eastAsia="Times New Roman" w:hAnsi="Calibri Light" w:cs="Calibri Light"/>
          <w:b/>
          <w:bCs/>
          <w:lang w:val="fr-BE"/>
        </w:rPr>
        <w:t xml:space="preserve">Bruxelles, 31 juillet 2020 </w:t>
      </w:r>
      <w:bookmarkEnd w:id="0"/>
      <w:r w:rsidRPr="00546EC2">
        <w:rPr>
          <w:rFonts w:ascii="Calibri Light" w:eastAsia="Times New Roman" w:hAnsi="Calibri Light" w:cs="Calibri Light"/>
          <w:lang w:val="fr-BE"/>
        </w:rPr>
        <w:t xml:space="preserve">- </w:t>
      </w:r>
      <w:r w:rsidRPr="00546EC2">
        <w:rPr>
          <w:rFonts w:ascii="Calibri Light" w:hAnsi="Calibri Light" w:cs="Calibri Light"/>
          <w:lang w:val="fr-BE"/>
        </w:rPr>
        <w:t xml:space="preserve">Le 24 juillet 2020, la Commission européenne (CE) a annoncé </w:t>
      </w:r>
      <w:r w:rsidR="00552BF6">
        <w:rPr>
          <w:rFonts w:ascii="Calibri Light" w:hAnsi="Calibri Light" w:cs="Calibri Light"/>
          <w:lang w:val="fr-BE"/>
        </w:rPr>
        <w:t>un « </w:t>
      </w:r>
      <w:hyperlink r:id="rId9" w:history="1">
        <w:r w:rsidRPr="00546EC2">
          <w:rPr>
            <w:rStyle w:val="Hyperlink"/>
            <w:rFonts w:ascii="Calibri Light" w:hAnsi="Calibri Light" w:cs="Calibri Light"/>
            <w:lang w:val="fr-BE"/>
          </w:rPr>
          <w:t>p</w:t>
        </w:r>
        <w:r w:rsidR="00552BF6">
          <w:rPr>
            <w:rStyle w:val="Hyperlink"/>
            <w:rFonts w:ascii="Calibri Light" w:hAnsi="Calibri Light" w:cs="Calibri Light"/>
            <w:lang w:val="fr-BE"/>
          </w:rPr>
          <w:t>aquet pour la relance par les marchés de capitaux</w:t>
        </w:r>
      </w:hyperlink>
      <w:r w:rsidR="00552BF6">
        <w:rPr>
          <w:rFonts w:ascii="Calibri Light" w:hAnsi="Calibri Light" w:cs="Calibri Light"/>
          <w:lang w:val="fr-BE"/>
        </w:rPr>
        <w:t> »</w:t>
      </w:r>
      <w:r w:rsidRPr="00546EC2">
        <w:rPr>
          <w:rFonts w:ascii="Calibri Light" w:hAnsi="Calibri Light" w:cs="Calibri Light"/>
          <w:lang w:val="fr-BE"/>
        </w:rPr>
        <w:t xml:space="preserve">, </w:t>
      </w:r>
      <w:r w:rsidR="00552BF6">
        <w:rPr>
          <w:rFonts w:ascii="Calibri Light" w:hAnsi="Calibri Light" w:cs="Calibri Light"/>
          <w:lang w:val="fr-BE"/>
        </w:rPr>
        <w:t xml:space="preserve">un train de mesures qui s’inscrit dans sa stratégie globale de relance post-coronavirus. </w:t>
      </w:r>
      <w:r w:rsidR="00856060">
        <w:rPr>
          <w:rFonts w:ascii="Calibri Light" w:hAnsi="Calibri Light" w:cs="Calibri Light"/>
          <w:lang w:val="fr-BE"/>
        </w:rPr>
        <w:t xml:space="preserve">L’objectif est de </w:t>
      </w:r>
      <w:r w:rsidR="00552BF6">
        <w:rPr>
          <w:rFonts w:ascii="Calibri Light" w:hAnsi="Calibri Light" w:cs="Calibri Light"/>
          <w:lang w:val="fr-BE"/>
        </w:rPr>
        <w:t>permettre aux marchés de capitaux d’aider plus facilement les entreprises européennes à se remettre de la crise liée à la Covid-19.</w:t>
      </w:r>
      <w:r w:rsidR="00856060">
        <w:rPr>
          <w:rFonts w:ascii="Calibri Light" w:hAnsi="Calibri Light" w:cs="Calibri Light"/>
          <w:lang w:val="fr-BE"/>
        </w:rPr>
        <w:t xml:space="preserve"> </w:t>
      </w:r>
      <w:r w:rsidRPr="00546EC2">
        <w:rPr>
          <w:rFonts w:ascii="Calibri Light" w:hAnsi="Calibri Light" w:cs="Calibri Light"/>
          <w:lang w:val="fr-BE"/>
        </w:rPr>
        <w:t xml:space="preserve">À cette fin, la CE propose de modifier les règles </w:t>
      </w:r>
      <w:r w:rsidR="00552BF6">
        <w:rPr>
          <w:rFonts w:ascii="Calibri Light" w:hAnsi="Calibri Light" w:cs="Calibri Light"/>
          <w:lang w:val="fr-BE"/>
        </w:rPr>
        <w:t>applicables aux marchés de capitaux</w:t>
      </w:r>
      <w:r w:rsidR="007B77F3">
        <w:rPr>
          <w:rFonts w:ascii="Calibri Light" w:hAnsi="Calibri Light" w:cs="Calibri Light"/>
          <w:lang w:val="fr-BE"/>
        </w:rPr>
        <w:t xml:space="preserve"> prévoyant </w:t>
      </w:r>
      <w:r w:rsidR="00552BF6">
        <w:rPr>
          <w:rFonts w:ascii="Calibri Light" w:hAnsi="Calibri Light" w:cs="Calibri Light"/>
          <w:lang w:val="fr-BE"/>
        </w:rPr>
        <w:t xml:space="preserve">notamment une diminution des niveaux de protection des </w:t>
      </w:r>
      <w:r w:rsidRPr="00546EC2">
        <w:rPr>
          <w:rFonts w:ascii="Calibri Light" w:hAnsi="Calibri Light" w:cs="Calibri Light"/>
          <w:lang w:val="fr-BE"/>
        </w:rPr>
        <w:t xml:space="preserve">investisseurs. </w:t>
      </w:r>
    </w:p>
    <w:p w14:paraId="7A1BDDBA" w14:textId="321A0B5A" w:rsidR="00D125CD" w:rsidRPr="00546EC2" w:rsidRDefault="00546EC2">
      <w:pPr>
        <w:jc w:val="both"/>
        <w:rPr>
          <w:lang w:val="fr-BE"/>
        </w:rPr>
      </w:pPr>
      <w:r w:rsidRPr="00546EC2">
        <w:rPr>
          <w:rFonts w:ascii="Calibri Light" w:hAnsi="Calibri Light" w:cs="Calibri Light"/>
          <w:lang w:val="fr-BE"/>
        </w:rPr>
        <w:t>BETTER FINANCE,</w:t>
      </w:r>
      <w:r w:rsidR="00552BF6">
        <w:rPr>
          <w:rFonts w:ascii="Calibri Light" w:hAnsi="Calibri Light" w:cs="Calibri Light"/>
          <w:lang w:val="fr-BE"/>
        </w:rPr>
        <w:t xml:space="preserve"> en tant que représentante des usagers européens de services financiers, </w:t>
      </w:r>
      <w:r w:rsidRPr="00546EC2">
        <w:rPr>
          <w:rFonts w:ascii="Calibri Light" w:hAnsi="Calibri Light" w:cs="Calibri Light"/>
          <w:lang w:val="fr-BE"/>
        </w:rPr>
        <w:t xml:space="preserve">comprend </w:t>
      </w:r>
      <w:r w:rsidR="00552BF6">
        <w:rPr>
          <w:rFonts w:ascii="Calibri Light" w:hAnsi="Calibri Light" w:cs="Calibri Light"/>
          <w:lang w:val="fr-BE"/>
        </w:rPr>
        <w:t xml:space="preserve">parfaitement </w:t>
      </w:r>
      <w:r w:rsidRPr="00546EC2">
        <w:rPr>
          <w:rFonts w:ascii="Calibri Light" w:hAnsi="Calibri Light" w:cs="Calibri Light"/>
          <w:lang w:val="fr-BE"/>
        </w:rPr>
        <w:t xml:space="preserve">la nécessité de telles mesures temporaires et la priorité </w:t>
      </w:r>
      <w:r w:rsidR="002F7255">
        <w:rPr>
          <w:rFonts w:ascii="Calibri Light" w:hAnsi="Calibri Light" w:cs="Calibri Light"/>
          <w:lang w:val="fr-BE"/>
        </w:rPr>
        <w:t xml:space="preserve">donnée à l’accélération du financement de </w:t>
      </w:r>
      <w:r w:rsidRPr="00546EC2">
        <w:rPr>
          <w:rFonts w:ascii="Calibri Light" w:hAnsi="Calibri Light" w:cs="Calibri Light"/>
          <w:lang w:val="fr-BE"/>
        </w:rPr>
        <w:t xml:space="preserve">l'économie réelle. </w:t>
      </w:r>
      <w:r w:rsidR="002F7255">
        <w:rPr>
          <w:rFonts w:ascii="Calibri Light" w:hAnsi="Calibri Light" w:cs="Calibri Light"/>
          <w:lang w:val="fr-BE"/>
        </w:rPr>
        <w:t xml:space="preserve">Aussi nécessaires soient-elles, ces </w:t>
      </w:r>
      <w:r w:rsidRPr="00546EC2">
        <w:rPr>
          <w:rFonts w:ascii="Calibri Light" w:hAnsi="Calibri Light" w:cs="Calibri Light"/>
          <w:lang w:val="fr-BE"/>
        </w:rPr>
        <w:t xml:space="preserve">mesures pourraient néanmoins mettre davantage </w:t>
      </w:r>
      <w:r w:rsidR="002F7255">
        <w:rPr>
          <w:rFonts w:ascii="Calibri Light" w:hAnsi="Calibri Light" w:cs="Calibri Light"/>
          <w:lang w:val="fr-BE"/>
        </w:rPr>
        <w:t xml:space="preserve">en péril les intérêts des </w:t>
      </w:r>
      <w:r w:rsidRPr="00546EC2">
        <w:rPr>
          <w:rFonts w:ascii="Calibri Light" w:hAnsi="Calibri Light" w:cs="Calibri Light"/>
          <w:lang w:val="fr-BE"/>
        </w:rPr>
        <w:t xml:space="preserve">investisseurs </w:t>
      </w:r>
      <w:r w:rsidR="002F7255">
        <w:rPr>
          <w:rFonts w:ascii="Calibri Light" w:hAnsi="Calibri Light" w:cs="Calibri Light"/>
          <w:lang w:val="fr-BE"/>
        </w:rPr>
        <w:t xml:space="preserve">particuliers et </w:t>
      </w:r>
      <w:r w:rsidRPr="00546EC2">
        <w:rPr>
          <w:rFonts w:ascii="Calibri Light" w:hAnsi="Calibri Light" w:cs="Calibri Light"/>
          <w:lang w:val="fr-BE"/>
        </w:rPr>
        <w:t xml:space="preserve">éroder une fois de plus leur confiance dans les marchés de capitaux. BETTER FINANCE est </w:t>
      </w:r>
      <w:r w:rsidR="002F7255">
        <w:rPr>
          <w:rFonts w:ascii="Calibri Light" w:hAnsi="Calibri Light" w:cs="Calibri Light"/>
          <w:lang w:val="fr-BE"/>
        </w:rPr>
        <w:t xml:space="preserve">par conséquent déçue de constater qu’aucune mesures du paquet de relance ne vient contrebalancer cette diminution de la </w:t>
      </w:r>
      <w:r w:rsidRPr="00546EC2">
        <w:rPr>
          <w:rFonts w:ascii="Calibri Light" w:hAnsi="Calibri Light" w:cs="Calibri Light"/>
          <w:lang w:val="fr-BE"/>
        </w:rPr>
        <w:t xml:space="preserve">protection des investisseurs, </w:t>
      </w:r>
      <w:r w:rsidR="002F7255">
        <w:rPr>
          <w:rFonts w:ascii="Calibri Light" w:hAnsi="Calibri Light" w:cs="Calibri Light"/>
          <w:lang w:val="fr-BE"/>
        </w:rPr>
        <w:t xml:space="preserve">au mépris des </w:t>
      </w:r>
      <w:r w:rsidRPr="00546EC2">
        <w:rPr>
          <w:rFonts w:ascii="Calibri Light" w:hAnsi="Calibri Light" w:cs="Calibri Light"/>
          <w:lang w:val="fr-BE"/>
        </w:rPr>
        <w:t xml:space="preserve">très récentes recommandations du </w:t>
      </w:r>
      <w:hyperlink r:id="rId10" w:history="1">
        <w:r w:rsidRPr="00546EC2">
          <w:rPr>
            <w:rStyle w:val="Hyperlink"/>
            <w:rFonts w:ascii="Calibri Light" w:hAnsi="Calibri Light" w:cs="Calibri Light"/>
            <w:lang w:val="fr-BE"/>
          </w:rPr>
          <w:t>Forum de haut niveau de la</w:t>
        </w:r>
        <w:r w:rsidR="002F7255">
          <w:rPr>
            <w:rStyle w:val="Hyperlink"/>
            <w:rFonts w:ascii="Calibri Light" w:hAnsi="Calibri Light" w:cs="Calibri Light"/>
            <w:lang w:val="fr-BE"/>
          </w:rPr>
          <w:t xml:space="preserve"> Commission européenne sur l’Union des marchés de capitaux</w:t>
        </w:r>
      </w:hyperlink>
      <w:r w:rsidR="00A83FA3">
        <w:rPr>
          <w:rStyle w:val="Hyperlink"/>
          <w:rFonts w:ascii="Calibri Light" w:hAnsi="Calibri Light" w:cs="Calibri Light"/>
          <w:lang w:val="fr-BE"/>
        </w:rPr>
        <w:t>,</w:t>
      </w:r>
      <w:r w:rsidR="002F7255">
        <w:rPr>
          <w:rFonts w:ascii="Calibri Light" w:hAnsi="Calibri Light" w:cs="Calibri Light"/>
          <w:lang w:val="fr-BE"/>
        </w:rPr>
        <w:t xml:space="preserve"> </w:t>
      </w:r>
      <w:r w:rsidR="00856060">
        <w:rPr>
          <w:rFonts w:ascii="Calibri Light" w:hAnsi="Calibri Light" w:cs="Calibri Light"/>
          <w:lang w:val="fr-BE"/>
        </w:rPr>
        <w:t xml:space="preserve">pourtant </w:t>
      </w:r>
      <w:r w:rsidR="00C4755D">
        <w:rPr>
          <w:rFonts w:ascii="Calibri Light" w:hAnsi="Calibri Light" w:cs="Calibri Light"/>
          <w:lang w:val="fr-BE"/>
        </w:rPr>
        <w:t xml:space="preserve">susceptibles de permettre enfin l’accès à un recours aux citoyens de l’UE qui investissent dans les marchés de capitaux, s’ils sont victimes de pratiques abusives. </w:t>
      </w:r>
    </w:p>
    <w:p w14:paraId="7A1BDDBB" w14:textId="278026C3" w:rsidR="00D125CD" w:rsidRDefault="00546EC2">
      <w:pPr>
        <w:jc w:val="both"/>
        <w:rPr>
          <w:rFonts w:ascii="Calibri Light" w:hAnsi="Calibri Light" w:cs="Calibri Light"/>
          <w:lang w:val="fr-BE"/>
        </w:rPr>
      </w:pPr>
      <w:r w:rsidRPr="00546EC2">
        <w:rPr>
          <w:rFonts w:ascii="Calibri Light" w:hAnsi="Calibri Light" w:cs="Calibri Light"/>
          <w:lang w:val="fr-BE"/>
        </w:rPr>
        <w:t>BETTER FINANCE appelle</w:t>
      </w:r>
      <w:r w:rsidR="00C4755D">
        <w:rPr>
          <w:rFonts w:ascii="Calibri Light" w:hAnsi="Calibri Light" w:cs="Calibri Light"/>
          <w:lang w:val="fr-BE"/>
        </w:rPr>
        <w:t xml:space="preserve"> en particulier</w:t>
      </w:r>
      <w:r w:rsidRPr="00546EC2">
        <w:rPr>
          <w:rFonts w:ascii="Calibri Light" w:hAnsi="Calibri Light" w:cs="Calibri Light"/>
          <w:lang w:val="fr-BE"/>
        </w:rPr>
        <w:t xml:space="preserve"> la Commission européenne à suivre la </w:t>
      </w:r>
      <w:hyperlink r:id="rId11" w:history="1">
        <w:r w:rsidRPr="00546EC2">
          <w:rPr>
            <w:rStyle w:val="Hyperlink"/>
            <w:rFonts w:ascii="Calibri Light" w:hAnsi="Calibri Light" w:cs="Calibri Light"/>
            <w:lang w:val="fr-BE"/>
          </w:rPr>
          <w:t>recommandation du Forum de haut niveau sur l'</w:t>
        </w:r>
        <w:r w:rsidR="00C4755D">
          <w:rPr>
            <w:rStyle w:val="Hyperlink"/>
            <w:rFonts w:ascii="Calibri Light" w:hAnsi="Calibri Light" w:cs="Calibri Light"/>
            <w:lang w:val="fr-BE"/>
          </w:rPr>
          <w:t>U</w:t>
        </w:r>
        <w:r w:rsidRPr="00546EC2">
          <w:rPr>
            <w:rStyle w:val="Hyperlink"/>
            <w:rFonts w:ascii="Calibri Light" w:hAnsi="Calibri Light" w:cs="Calibri Light"/>
            <w:lang w:val="fr-BE"/>
          </w:rPr>
          <w:t>nion des marchés de capitaux</w:t>
        </w:r>
      </w:hyperlink>
      <w:r w:rsidRPr="00546EC2">
        <w:rPr>
          <w:rFonts w:ascii="Calibri Light" w:hAnsi="Calibri Light" w:cs="Calibri Light"/>
          <w:lang w:val="fr-BE"/>
        </w:rPr>
        <w:t xml:space="preserve"> </w:t>
      </w:r>
      <w:r w:rsidR="00C4755D">
        <w:rPr>
          <w:rFonts w:ascii="Calibri Light" w:hAnsi="Calibri Light" w:cs="Calibri Light"/>
          <w:lang w:val="fr-BE"/>
        </w:rPr>
        <w:t xml:space="preserve">et </w:t>
      </w:r>
      <w:r w:rsidRPr="00546EC2">
        <w:rPr>
          <w:rFonts w:ascii="Calibri Light" w:hAnsi="Calibri Light" w:cs="Calibri Light"/>
          <w:lang w:val="fr-BE"/>
        </w:rPr>
        <w:t>à permettre enfin aux</w:t>
      </w:r>
      <w:r w:rsidR="00C4755D">
        <w:rPr>
          <w:rFonts w:ascii="Calibri Light" w:hAnsi="Calibri Light" w:cs="Calibri Light"/>
          <w:lang w:val="fr-BE"/>
        </w:rPr>
        <w:t xml:space="preserve"> particuliers non-professionnels qui investissent dans des instruments des marchés financiers d’être couverts par la proposition de directive sur un </w:t>
      </w:r>
      <w:hyperlink r:id="rId12" w:history="1">
        <w:r w:rsidR="00C4755D">
          <w:rPr>
            <w:rStyle w:val="Hyperlink"/>
            <w:rFonts w:ascii="Calibri Light" w:hAnsi="Calibri Light" w:cs="Calibri Light"/>
            <w:lang w:val="fr-BE"/>
          </w:rPr>
          <w:t>mécanisme de recours collectif à travers l’Union européenne</w:t>
        </w:r>
      </w:hyperlink>
      <w:r w:rsidR="00C4755D">
        <w:rPr>
          <w:rFonts w:ascii="Calibri Light" w:hAnsi="Calibri Light" w:cs="Calibri Light"/>
          <w:lang w:val="fr-BE"/>
        </w:rPr>
        <w:t xml:space="preserve"> a</w:t>
      </w:r>
      <w:r w:rsidRPr="00546EC2">
        <w:rPr>
          <w:rFonts w:ascii="Calibri Light" w:hAnsi="Calibri Light" w:cs="Calibri Light"/>
          <w:lang w:val="fr-BE"/>
        </w:rPr>
        <w:t>ctuellement sur la table des colégislateurs européens</w:t>
      </w:r>
      <w:r w:rsidR="0020682A">
        <w:rPr>
          <w:rFonts w:ascii="Calibri Light" w:hAnsi="Calibri Light" w:cs="Calibri Light"/>
          <w:lang w:val="fr-BE"/>
        </w:rPr>
        <w:t xml:space="preserve">, afin qu’ils aient </w:t>
      </w:r>
      <w:r w:rsidRPr="00546EC2">
        <w:rPr>
          <w:rFonts w:ascii="Calibri Light" w:hAnsi="Calibri Light" w:cs="Calibri Light"/>
          <w:lang w:val="fr-BE"/>
        </w:rPr>
        <w:t>accès à des</w:t>
      </w:r>
      <w:r w:rsidR="00C4755D">
        <w:rPr>
          <w:rFonts w:ascii="Calibri Light" w:hAnsi="Calibri Light" w:cs="Calibri Light"/>
          <w:lang w:val="fr-BE"/>
        </w:rPr>
        <w:t xml:space="preserve"> possibilités </w:t>
      </w:r>
      <w:r w:rsidR="008932D8">
        <w:rPr>
          <w:rFonts w:ascii="Calibri Light" w:hAnsi="Calibri Light" w:cs="Calibri Light"/>
          <w:lang w:val="fr-BE"/>
        </w:rPr>
        <w:t>de</w:t>
      </w:r>
      <w:r w:rsidRPr="00546EC2">
        <w:rPr>
          <w:rFonts w:ascii="Calibri Light" w:hAnsi="Calibri Light" w:cs="Calibri Light"/>
          <w:lang w:val="fr-BE"/>
        </w:rPr>
        <w:t xml:space="preserve"> recours en cas d'abus de marché.</w:t>
      </w:r>
    </w:p>
    <w:p w14:paraId="7A1BDDBC" w14:textId="1B7CDCED" w:rsidR="00D125CD" w:rsidRPr="00546EC2" w:rsidRDefault="008932D8">
      <w:pPr>
        <w:jc w:val="both"/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lang w:val="fr-BE"/>
        </w:rPr>
        <w:t xml:space="preserve">Le recours collectif est l’une des recommandations clés formulées par le Forum de haut niveau sur l’Union des marchés de capitaux pour </w:t>
      </w:r>
      <w:r w:rsidR="00546EC2" w:rsidRPr="00546EC2">
        <w:rPr>
          <w:rFonts w:ascii="Calibri Light" w:hAnsi="Calibri Light" w:cs="Calibri Light"/>
          <w:lang w:val="fr-BE"/>
        </w:rPr>
        <w:t>rétablir la confiance des consommateurs de produits financiers et</w:t>
      </w:r>
      <w:r>
        <w:rPr>
          <w:rFonts w:ascii="Calibri Light" w:hAnsi="Calibri Light" w:cs="Calibri Light"/>
          <w:lang w:val="fr-BE"/>
        </w:rPr>
        <w:t xml:space="preserve"> stimuler l’</w:t>
      </w:r>
      <w:r w:rsidR="00546EC2" w:rsidRPr="00546EC2">
        <w:rPr>
          <w:rFonts w:ascii="Calibri Light" w:hAnsi="Calibri Light" w:cs="Calibri Light"/>
          <w:lang w:val="fr-BE"/>
        </w:rPr>
        <w:t>investissement des ménages de l'UE dans l'économie réelle</w:t>
      </w:r>
      <w:r w:rsidR="007B77F3">
        <w:rPr>
          <w:rFonts w:ascii="Calibri Light" w:hAnsi="Calibri Light" w:cs="Calibri Light"/>
          <w:lang w:val="fr-BE"/>
        </w:rPr>
        <w:t>,</w:t>
      </w:r>
      <w:r w:rsidR="00546EC2" w:rsidRPr="00546EC2">
        <w:rPr>
          <w:rFonts w:ascii="Calibri Light" w:hAnsi="Calibri Light" w:cs="Calibri Light"/>
          <w:lang w:val="fr-BE"/>
        </w:rPr>
        <w:t xml:space="preserve"> via les marchés de capitaux.</w:t>
      </w:r>
    </w:p>
    <w:p w14:paraId="7A1BDDBD" w14:textId="3685ED86" w:rsidR="00D125CD" w:rsidRPr="00546EC2" w:rsidRDefault="00546EC2">
      <w:pPr>
        <w:jc w:val="both"/>
        <w:rPr>
          <w:lang w:val="fr-BE"/>
        </w:rPr>
      </w:pPr>
      <w:r w:rsidRPr="00546EC2">
        <w:rPr>
          <w:rFonts w:ascii="Calibri Light" w:hAnsi="Calibri Light" w:cs="Calibri Light"/>
          <w:lang w:val="fr-BE"/>
        </w:rPr>
        <w:t xml:space="preserve">Guillaume Prache, directeur général de BETTER FINANCE, a souligné que </w:t>
      </w:r>
      <w:r w:rsidR="008932D8" w:rsidRPr="008932D8">
        <w:rPr>
          <w:rFonts w:ascii="Calibri Light" w:hAnsi="Calibri Light" w:cs="Calibri Light"/>
          <w:i/>
          <w:iCs/>
          <w:lang w:val="fr-BE"/>
        </w:rPr>
        <w:t>«</w:t>
      </w:r>
      <w:r w:rsidR="008932D8">
        <w:rPr>
          <w:rFonts w:ascii="Calibri Light" w:hAnsi="Calibri Light" w:cs="Calibri Light"/>
          <w:lang w:val="fr-BE"/>
        </w:rPr>
        <w:t> </w:t>
      </w:r>
      <w:r w:rsidRPr="00546EC2">
        <w:rPr>
          <w:rFonts w:ascii="Calibri Light" w:hAnsi="Calibri Light" w:cs="Calibri Light"/>
          <w:i/>
          <w:iCs/>
          <w:lang w:val="fr-BE"/>
        </w:rPr>
        <w:t>l</w:t>
      </w:r>
      <w:r w:rsidR="008932D8">
        <w:rPr>
          <w:rFonts w:ascii="Calibri Light" w:hAnsi="Calibri Light" w:cs="Calibri Light"/>
          <w:i/>
          <w:iCs/>
          <w:lang w:val="fr-BE"/>
        </w:rPr>
        <w:t>a</w:t>
      </w:r>
      <w:r w:rsidRPr="00546EC2">
        <w:rPr>
          <w:rFonts w:ascii="Calibri Light" w:hAnsi="Calibri Light" w:cs="Calibri Light"/>
          <w:i/>
          <w:iCs/>
          <w:lang w:val="fr-BE"/>
        </w:rPr>
        <w:t xml:space="preserve"> récent</w:t>
      </w:r>
      <w:r w:rsidR="008932D8">
        <w:rPr>
          <w:rFonts w:ascii="Calibri Light" w:hAnsi="Calibri Light" w:cs="Calibri Light"/>
          <w:i/>
          <w:iCs/>
          <w:lang w:val="fr-BE"/>
        </w:rPr>
        <w:t>e et</w:t>
      </w:r>
      <w:r w:rsidRPr="00546EC2">
        <w:rPr>
          <w:rFonts w:ascii="Calibri Light" w:hAnsi="Calibri Light" w:cs="Calibri Light"/>
          <w:i/>
          <w:iCs/>
          <w:lang w:val="fr-BE"/>
        </w:rPr>
        <w:t xml:space="preserve"> </w:t>
      </w:r>
      <w:hyperlink r:id="rId13" w:history="1">
        <w:r w:rsidR="008932D8">
          <w:rPr>
            <w:rStyle w:val="Hyperlink"/>
            <w:rFonts w:ascii="Calibri Light" w:hAnsi="Calibri Light" w:cs="Calibri Light"/>
            <w:i/>
            <w:iCs/>
            <w:lang w:val="fr-BE"/>
          </w:rPr>
          <w:t xml:space="preserve">scandaleuse faillite de la </w:t>
        </w:r>
        <w:r w:rsidRPr="00546EC2">
          <w:rPr>
            <w:rStyle w:val="Hyperlink"/>
            <w:rFonts w:ascii="Calibri Light" w:hAnsi="Calibri Light" w:cs="Calibri Light"/>
            <w:i/>
            <w:iCs/>
            <w:lang w:val="fr-BE"/>
          </w:rPr>
          <w:t>gouvernance d'entreprise, de l'audit externe et de la</w:t>
        </w:r>
        <w:r w:rsidR="008932D8">
          <w:rPr>
            <w:rStyle w:val="Hyperlink"/>
            <w:rFonts w:ascii="Calibri Light" w:hAnsi="Calibri Light" w:cs="Calibri Light"/>
            <w:i/>
            <w:iCs/>
            <w:lang w:val="fr-BE"/>
          </w:rPr>
          <w:t xml:space="preserve"> surveillance à l’origine de la chute soudaine de </w:t>
        </w:r>
        <w:r w:rsidRPr="00546EC2">
          <w:rPr>
            <w:rStyle w:val="Hyperlink"/>
            <w:rFonts w:ascii="Calibri Light" w:hAnsi="Calibri Light" w:cs="Calibri Light"/>
            <w:i/>
            <w:iCs/>
            <w:lang w:val="fr-BE"/>
          </w:rPr>
          <w:t>Wirecard</w:t>
        </w:r>
        <w:r w:rsidR="00856060">
          <w:rPr>
            <w:rStyle w:val="Hyperlink"/>
            <w:rFonts w:ascii="Calibri Light" w:hAnsi="Calibri Light" w:cs="Calibri Light"/>
            <w:i/>
            <w:iCs/>
            <w:lang w:val="fr-BE"/>
          </w:rPr>
          <w:t xml:space="preserve"> </w:t>
        </w:r>
        <w:r w:rsidRPr="00546EC2">
          <w:rPr>
            <w:rStyle w:val="Hyperlink"/>
            <w:rFonts w:ascii="Calibri Light" w:hAnsi="Calibri Light" w:cs="Calibri Light"/>
            <w:i/>
            <w:iCs/>
            <w:lang w:val="fr-BE"/>
          </w:rPr>
          <w:t xml:space="preserve">AG </w:t>
        </w:r>
      </w:hyperlink>
      <w:r w:rsidR="0020682A">
        <w:rPr>
          <w:rFonts w:ascii="Calibri Light" w:hAnsi="Calibri Light" w:cs="Calibri Light"/>
          <w:i/>
          <w:iCs/>
          <w:lang w:val="fr-BE"/>
        </w:rPr>
        <w:t>–</w:t>
      </w:r>
      <w:r w:rsidRPr="00546EC2">
        <w:rPr>
          <w:rFonts w:ascii="Calibri Light" w:hAnsi="Calibri Light" w:cs="Calibri Light"/>
          <w:i/>
          <w:iCs/>
          <w:lang w:val="fr-BE"/>
        </w:rPr>
        <w:t xml:space="preserve"> qui a englouti </w:t>
      </w:r>
      <w:r w:rsidR="00856060">
        <w:rPr>
          <w:rFonts w:ascii="Calibri Light" w:hAnsi="Calibri Light" w:cs="Calibri Light"/>
          <w:i/>
          <w:iCs/>
          <w:lang w:val="fr-BE"/>
        </w:rPr>
        <w:t xml:space="preserve">quelque </w:t>
      </w:r>
      <w:r w:rsidRPr="00546EC2">
        <w:rPr>
          <w:rFonts w:ascii="Calibri Light" w:hAnsi="Calibri Light" w:cs="Calibri Light"/>
          <w:i/>
          <w:iCs/>
          <w:lang w:val="fr-BE"/>
        </w:rPr>
        <w:t>20 milliards d'euros</w:t>
      </w:r>
      <w:r w:rsidR="00856060">
        <w:rPr>
          <w:rFonts w:ascii="Calibri Light" w:hAnsi="Calibri Light" w:cs="Calibri Light"/>
          <w:i/>
          <w:iCs/>
          <w:lang w:val="fr-BE"/>
        </w:rPr>
        <w:t xml:space="preserve"> d’épargne-retraite de</w:t>
      </w:r>
      <w:r w:rsidRPr="00546EC2">
        <w:rPr>
          <w:rFonts w:ascii="Calibri Light" w:hAnsi="Calibri Light" w:cs="Calibri Light"/>
          <w:i/>
          <w:iCs/>
          <w:lang w:val="fr-BE"/>
        </w:rPr>
        <w:t xml:space="preserve"> citoyens de l'UE </w:t>
      </w:r>
      <w:r w:rsidR="0020682A">
        <w:rPr>
          <w:rFonts w:ascii="Calibri Light" w:hAnsi="Calibri Light" w:cs="Calibri Light"/>
          <w:i/>
          <w:iCs/>
          <w:lang w:val="fr-BE"/>
        </w:rPr>
        <w:t>–</w:t>
      </w:r>
      <w:r w:rsidRPr="00546EC2">
        <w:rPr>
          <w:rFonts w:ascii="Calibri Light" w:hAnsi="Calibri Light" w:cs="Calibri Light"/>
          <w:i/>
          <w:iCs/>
          <w:lang w:val="fr-BE"/>
        </w:rPr>
        <w:t xml:space="preserve"> montre clairement qu</w:t>
      </w:r>
      <w:r w:rsidR="00856060">
        <w:rPr>
          <w:rFonts w:ascii="Calibri Light" w:hAnsi="Calibri Light" w:cs="Calibri Light"/>
          <w:i/>
          <w:iCs/>
          <w:lang w:val="fr-BE"/>
        </w:rPr>
        <w:t xml:space="preserve">e les </w:t>
      </w:r>
      <w:r w:rsidRPr="00546EC2">
        <w:rPr>
          <w:rFonts w:ascii="Calibri Light" w:hAnsi="Calibri Light" w:cs="Calibri Light"/>
          <w:i/>
          <w:iCs/>
          <w:lang w:val="fr-BE"/>
        </w:rPr>
        <w:t xml:space="preserve">régulateurs de l'UE doivent faire mieux, </w:t>
      </w:r>
      <w:r w:rsidR="007B77F3">
        <w:rPr>
          <w:rFonts w:ascii="Calibri Light" w:hAnsi="Calibri Light" w:cs="Calibri Light"/>
          <w:i/>
          <w:iCs/>
          <w:lang w:val="fr-BE"/>
        </w:rPr>
        <w:t>et</w:t>
      </w:r>
      <w:r w:rsidRPr="00546EC2">
        <w:rPr>
          <w:rFonts w:ascii="Calibri Light" w:hAnsi="Calibri Light" w:cs="Calibri Light"/>
          <w:i/>
          <w:iCs/>
          <w:lang w:val="fr-BE"/>
        </w:rPr>
        <w:t xml:space="preserve"> commencer par </w:t>
      </w:r>
      <w:r w:rsidR="007B77F3">
        <w:rPr>
          <w:rFonts w:ascii="Calibri Light" w:hAnsi="Calibri Light" w:cs="Calibri Light"/>
          <w:i/>
          <w:iCs/>
          <w:lang w:val="fr-BE"/>
        </w:rPr>
        <w:t xml:space="preserve">mettre en œuvre </w:t>
      </w:r>
      <w:r w:rsidRPr="00546EC2">
        <w:rPr>
          <w:rFonts w:ascii="Calibri Light" w:hAnsi="Calibri Light" w:cs="Calibri Light"/>
          <w:i/>
          <w:iCs/>
          <w:lang w:val="fr-BE"/>
        </w:rPr>
        <w:t xml:space="preserve">en œuvre </w:t>
      </w:r>
      <w:r w:rsidR="007B77F3">
        <w:rPr>
          <w:rFonts w:ascii="Calibri Light" w:hAnsi="Calibri Light" w:cs="Calibri Light"/>
          <w:i/>
          <w:iCs/>
          <w:lang w:val="fr-BE"/>
        </w:rPr>
        <w:t xml:space="preserve">un </w:t>
      </w:r>
      <w:r w:rsidRPr="00546EC2">
        <w:rPr>
          <w:rFonts w:ascii="Calibri Light" w:hAnsi="Calibri Light" w:cs="Calibri Light"/>
          <w:i/>
          <w:iCs/>
          <w:lang w:val="fr-BE"/>
        </w:rPr>
        <w:t>plan de relance</w:t>
      </w:r>
      <w:r w:rsidR="007B77F3">
        <w:rPr>
          <w:rFonts w:ascii="Calibri Light" w:hAnsi="Calibri Light" w:cs="Calibri Light"/>
          <w:i/>
          <w:iCs/>
          <w:lang w:val="fr-BE"/>
        </w:rPr>
        <w:t xml:space="preserve"> par les marchés de capitaux </w:t>
      </w:r>
      <w:r w:rsidR="00856060">
        <w:rPr>
          <w:rFonts w:ascii="Calibri Light" w:hAnsi="Calibri Light" w:cs="Calibri Light"/>
          <w:i/>
          <w:iCs/>
          <w:lang w:val="fr-BE"/>
        </w:rPr>
        <w:t>plus équilibré</w:t>
      </w:r>
      <w:r w:rsidR="007B77F3">
        <w:rPr>
          <w:rFonts w:ascii="Calibri Light" w:hAnsi="Calibri Light" w:cs="Calibri Light"/>
          <w:i/>
          <w:iCs/>
          <w:lang w:val="fr-BE"/>
        </w:rPr>
        <w:t xml:space="preserve"> et </w:t>
      </w:r>
      <w:r w:rsidR="00856060">
        <w:rPr>
          <w:rFonts w:ascii="Calibri Light" w:hAnsi="Calibri Light" w:cs="Calibri Light"/>
          <w:i/>
          <w:iCs/>
          <w:lang w:val="fr-BE"/>
        </w:rPr>
        <w:t>qui t</w:t>
      </w:r>
      <w:r w:rsidR="0020682A">
        <w:rPr>
          <w:rFonts w:ascii="Calibri Light" w:hAnsi="Calibri Light" w:cs="Calibri Light"/>
          <w:i/>
          <w:iCs/>
          <w:lang w:val="fr-BE"/>
        </w:rPr>
        <w:t>ient</w:t>
      </w:r>
      <w:r w:rsidR="00856060">
        <w:rPr>
          <w:rFonts w:ascii="Calibri Light" w:hAnsi="Calibri Light" w:cs="Calibri Light"/>
          <w:i/>
          <w:iCs/>
          <w:lang w:val="fr-BE"/>
        </w:rPr>
        <w:t xml:space="preserve"> compte des intérêts des citoyens de l’UE en tant qu’investisseurs particuliers et épargnants de retraite ».  </w:t>
      </w:r>
    </w:p>
    <w:p w14:paraId="7A1BDDBE" w14:textId="77777777" w:rsidR="00D125CD" w:rsidRPr="00546EC2" w:rsidRDefault="00546EC2">
      <w:pPr>
        <w:spacing w:after="0" w:line="240" w:lineRule="auto"/>
        <w:jc w:val="center"/>
        <w:rPr>
          <w:rFonts w:ascii="Calibri Light" w:hAnsi="Calibri Light" w:cs="Calibri Light"/>
          <w:lang w:val="fr-BE"/>
        </w:rPr>
      </w:pPr>
      <w:r w:rsidRPr="00546EC2">
        <w:rPr>
          <w:rFonts w:ascii="Calibri Light" w:hAnsi="Calibri Light" w:cs="Calibri Light"/>
          <w:lang w:val="fr-BE"/>
        </w:rPr>
        <w:t>***</w:t>
      </w:r>
    </w:p>
    <w:p w14:paraId="7A1BDDBF" w14:textId="77777777" w:rsidR="00D125CD" w:rsidRPr="00546EC2" w:rsidRDefault="00546EC2">
      <w:pPr>
        <w:pStyle w:val="BodyText"/>
        <w:spacing w:after="0" w:line="240" w:lineRule="auto"/>
        <w:jc w:val="center"/>
        <w:rPr>
          <w:lang w:val="fr-BE"/>
        </w:rPr>
      </w:pPr>
      <w:r w:rsidRPr="00546EC2">
        <w:rPr>
          <w:rFonts w:ascii="Calibri Light" w:hAnsi="Calibri Light" w:cs="Calibri Light"/>
          <w:sz w:val="20"/>
          <w:u w:val="single"/>
          <w:lang w:val="fr-BE"/>
        </w:rPr>
        <w:lastRenderedPageBreak/>
        <w:t xml:space="preserve">Contact </w:t>
      </w:r>
      <w:r w:rsidRPr="00546EC2">
        <w:rPr>
          <w:rFonts w:ascii="Calibri Light" w:hAnsi="Calibri Light" w:cs="Calibri Light"/>
          <w:sz w:val="20"/>
          <w:lang w:val="fr-BE"/>
        </w:rPr>
        <w:t xml:space="preserve">: Directeur de la communication ǀ Arnaud Houdmont ǀ +32 (0)2 514 37 77 ǀ </w:t>
      </w:r>
      <w:hyperlink r:id="rId14" w:history="1">
        <w:r w:rsidRPr="00546EC2">
          <w:rPr>
            <w:rStyle w:val="Hyperlink"/>
            <w:rFonts w:ascii="Calibri Light" w:hAnsi="Calibri Light" w:cs="Calibri Light"/>
            <w:sz w:val="20"/>
            <w:lang w:val="fr-BE"/>
          </w:rPr>
          <w:t>houdmont@betterfinance.eu</w:t>
        </w:r>
      </w:hyperlink>
    </w:p>
    <w:p w14:paraId="7A1BDDC0" w14:textId="77777777" w:rsidR="00736F6C" w:rsidRPr="00546EC2" w:rsidRDefault="00736F6C">
      <w:pPr>
        <w:rPr>
          <w:lang w:val="fr-BE"/>
        </w:rPr>
        <w:sectPr w:rsidR="00736F6C" w:rsidRPr="00546EC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1440" w:bottom="1440" w:left="1440" w:header="708" w:footer="708" w:gutter="0"/>
          <w:cols w:space="720"/>
        </w:sectPr>
      </w:pPr>
    </w:p>
    <w:p w14:paraId="7A1BDDC1" w14:textId="77777777" w:rsidR="00D125CD" w:rsidRPr="00546EC2" w:rsidRDefault="00D125CD">
      <w:pPr>
        <w:pStyle w:val="Heading2"/>
        <w:spacing w:after="80"/>
        <w:ind w:left="567"/>
        <w:rPr>
          <w:lang w:val="fr-BE"/>
        </w:rPr>
      </w:pPr>
    </w:p>
    <w:p w14:paraId="7A1BDDC2" w14:textId="77777777" w:rsidR="00D125CD" w:rsidRPr="00546EC2" w:rsidRDefault="00D125CD">
      <w:pPr>
        <w:ind w:left="567" w:right="827"/>
        <w:rPr>
          <w:rFonts w:ascii="Calibri Light" w:hAnsi="Calibri Light" w:cs="Calibri Light"/>
          <w:lang w:val="fr-BE"/>
        </w:rPr>
      </w:pPr>
    </w:p>
    <w:sectPr w:rsidR="00D125CD" w:rsidRPr="00546EC2">
      <w:type w:val="continuous"/>
      <w:pgSz w:w="11906" w:h="16838"/>
      <w:pgMar w:top="1440" w:right="720" w:bottom="144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BDDC1" w14:textId="77777777" w:rsidR="00736F6C" w:rsidRDefault="00546EC2">
      <w:pPr>
        <w:spacing w:after="0" w:line="240" w:lineRule="auto"/>
      </w:pPr>
      <w:r>
        <w:separator/>
      </w:r>
    </w:p>
  </w:endnote>
  <w:endnote w:type="continuationSeparator" w:id="0">
    <w:p w14:paraId="7A1BDDC3" w14:textId="77777777" w:rsidR="00736F6C" w:rsidRDefault="0054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15AF2" w14:textId="77777777" w:rsidR="00A83FA3" w:rsidRDefault="00A83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BDDCB" w14:textId="7334A5CA" w:rsidR="00B56141" w:rsidRPr="00546EC2" w:rsidRDefault="00546EC2">
    <w:pPr>
      <w:spacing w:before="120" w:after="0" w:line="240" w:lineRule="auto"/>
      <w:ind w:left="-567"/>
      <w:jc w:val="center"/>
      <w:rPr>
        <w:b/>
        <w:color w:val="006FB4"/>
        <w:sz w:val="16"/>
        <w:szCs w:val="16"/>
        <w:lang w:val="fr-BE"/>
      </w:rPr>
    </w:pPr>
    <w:r w:rsidRPr="00546EC2">
      <w:rPr>
        <w:b/>
        <w:color w:val="006FB4"/>
        <w:sz w:val="16"/>
        <w:szCs w:val="16"/>
        <w:lang w:val="fr-BE"/>
      </w:rPr>
      <w:t xml:space="preserve">Fédération </w:t>
    </w:r>
    <w:r w:rsidR="00856060">
      <w:rPr>
        <w:b/>
        <w:color w:val="006FB4"/>
        <w:sz w:val="16"/>
        <w:szCs w:val="16"/>
        <w:lang w:val="fr-BE"/>
      </w:rPr>
      <w:t>E</w:t>
    </w:r>
    <w:r w:rsidRPr="00546EC2">
      <w:rPr>
        <w:b/>
        <w:color w:val="006FB4"/>
        <w:sz w:val="16"/>
        <w:szCs w:val="16"/>
        <w:lang w:val="fr-BE"/>
      </w:rPr>
      <w:t>uropéenne des</w:t>
    </w:r>
    <w:r w:rsidR="00856060">
      <w:rPr>
        <w:b/>
        <w:color w:val="006FB4"/>
        <w:sz w:val="16"/>
        <w:szCs w:val="16"/>
        <w:lang w:val="fr-BE"/>
      </w:rPr>
      <w:t xml:space="preserve"> I</w:t>
    </w:r>
    <w:r w:rsidRPr="00546EC2">
      <w:rPr>
        <w:b/>
        <w:color w:val="006FB4"/>
        <w:sz w:val="16"/>
        <w:szCs w:val="16"/>
        <w:lang w:val="fr-BE"/>
      </w:rPr>
      <w:t xml:space="preserve">nvestisseurs et </w:t>
    </w:r>
    <w:r w:rsidR="00856060">
      <w:rPr>
        <w:b/>
        <w:color w:val="006FB4"/>
        <w:sz w:val="16"/>
        <w:szCs w:val="16"/>
        <w:lang w:val="fr-BE"/>
      </w:rPr>
      <w:t xml:space="preserve">Usagers </w:t>
    </w:r>
    <w:r w:rsidRPr="00546EC2">
      <w:rPr>
        <w:b/>
        <w:color w:val="006FB4"/>
        <w:sz w:val="16"/>
        <w:szCs w:val="16"/>
        <w:lang w:val="fr-BE"/>
      </w:rPr>
      <w:t>de</w:t>
    </w:r>
    <w:r w:rsidR="00A83FA3">
      <w:rPr>
        <w:b/>
        <w:color w:val="006FB4"/>
        <w:sz w:val="16"/>
        <w:szCs w:val="16"/>
        <w:lang w:val="fr-BE"/>
      </w:rPr>
      <w:t>s</w:t>
    </w:r>
    <w:r w:rsidRPr="00546EC2">
      <w:rPr>
        <w:b/>
        <w:color w:val="006FB4"/>
        <w:sz w:val="16"/>
        <w:szCs w:val="16"/>
        <w:lang w:val="fr-BE"/>
      </w:rPr>
      <w:t xml:space="preserve"> </w:t>
    </w:r>
    <w:r w:rsidR="00856060">
      <w:rPr>
        <w:b/>
        <w:color w:val="006FB4"/>
        <w:sz w:val="16"/>
        <w:szCs w:val="16"/>
        <w:lang w:val="fr-BE"/>
      </w:rPr>
      <w:t>S</w:t>
    </w:r>
    <w:r w:rsidRPr="00546EC2">
      <w:rPr>
        <w:b/>
        <w:color w:val="006FB4"/>
        <w:sz w:val="16"/>
        <w:szCs w:val="16"/>
        <w:lang w:val="fr-BE"/>
      </w:rPr>
      <w:t xml:space="preserve">ervices </w:t>
    </w:r>
    <w:r w:rsidR="00856060">
      <w:rPr>
        <w:b/>
        <w:color w:val="006FB4"/>
        <w:sz w:val="16"/>
        <w:szCs w:val="16"/>
        <w:lang w:val="fr-BE"/>
      </w:rPr>
      <w:t>F</w:t>
    </w:r>
    <w:r w:rsidRPr="00546EC2">
      <w:rPr>
        <w:b/>
        <w:color w:val="006FB4"/>
        <w:sz w:val="16"/>
        <w:szCs w:val="16"/>
        <w:lang w:val="fr-BE"/>
      </w:rPr>
      <w:t>inanciers</w:t>
    </w:r>
  </w:p>
  <w:p w14:paraId="7A1BDDCC" w14:textId="77777777" w:rsidR="00B56141" w:rsidRDefault="00546EC2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>44, Rue d'Arenberg, 1000 Bruxelles - Belgique</w:t>
    </w:r>
  </w:p>
  <w:p w14:paraId="7A1BDDCD" w14:textId="77777777" w:rsidR="00B56141" w:rsidRDefault="00546EC2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de-DE"/>
      </w:rPr>
      <w:t xml:space="preserve">Tél.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7A1BDDCE" w14:textId="77777777" w:rsidR="00B56141" w:rsidRDefault="00546EC2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pt-PT"/>
      </w:rPr>
      <w:t xml:space="preserve">E-mail : info@betterfinance.eu - </w:t>
    </w:r>
    <w:bookmarkStart w:id="1" w:name="_Hlk944867"/>
    <w:r>
      <w:fldChar w:fldCharType="begin"/>
    </w:r>
    <w:r>
      <w:instrText xml:space="preserve"> HYPERLINK  "http://www.eurofinuse.org" </w:instrText>
    </w:r>
    <w:r>
      <w:fldChar w:fldCharType="separate"/>
    </w:r>
    <w:r>
      <w:rPr>
        <w:color w:val="006FB4"/>
        <w:sz w:val="16"/>
        <w:szCs w:val="16"/>
        <w:u w:val="single"/>
        <w:lang w:val="it-IT"/>
      </w:rPr>
      <w:t xml:space="preserve">http://www.betterfinance.eu </w:t>
    </w:r>
    <w:r>
      <w:rPr>
        <w:color w:val="006FB4"/>
        <w:sz w:val="16"/>
        <w:szCs w:val="16"/>
        <w:u w:val="single"/>
        <w:lang w:val="it-IT"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3D58E" w14:textId="77777777" w:rsidR="00A83FA3" w:rsidRDefault="00A83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BDDBD" w14:textId="77777777" w:rsidR="00736F6C" w:rsidRDefault="00546E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1BDDBF" w14:textId="77777777" w:rsidR="00736F6C" w:rsidRDefault="0054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8607" w14:textId="77777777" w:rsidR="00A83FA3" w:rsidRDefault="00A83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BDDC5" w14:textId="77777777" w:rsidR="00B56141" w:rsidRDefault="00546E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1BDDBD" wp14:editId="7A1BDDBE">
          <wp:simplePos x="0" y="0"/>
          <wp:positionH relativeFrom="margin">
            <wp:posOffset>2564133</wp:posOffset>
          </wp:positionH>
          <wp:positionV relativeFrom="paragraph">
            <wp:posOffset>-189225</wp:posOffset>
          </wp:positionV>
          <wp:extent cx="3138165" cy="645164"/>
          <wp:effectExtent l="0" t="0" r="5085" b="2536"/>
          <wp:wrapSquare wrapText="bothSides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165" cy="645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A1BDDC6" w14:textId="77777777" w:rsidR="00B56141" w:rsidRDefault="007B77F3">
    <w:pPr>
      <w:pStyle w:val="Header"/>
    </w:pPr>
  </w:p>
  <w:p w14:paraId="7A1BDDC7" w14:textId="77777777" w:rsidR="00B56141" w:rsidRDefault="007B77F3">
    <w:pPr>
      <w:pStyle w:val="Header"/>
      <w:rPr>
        <w:sz w:val="12"/>
        <w:szCs w:val="12"/>
      </w:rPr>
    </w:pPr>
  </w:p>
  <w:p w14:paraId="7A1BDDC8" w14:textId="77777777" w:rsidR="00B56141" w:rsidRDefault="007B77F3">
    <w:pPr>
      <w:pStyle w:val="Header"/>
      <w:rPr>
        <w:sz w:val="12"/>
        <w:szCs w:val="12"/>
      </w:rPr>
    </w:pPr>
  </w:p>
  <w:p w14:paraId="7A1BDDC9" w14:textId="77777777" w:rsidR="00B56141" w:rsidRDefault="007B77F3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5AD5D" w14:textId="77777777" w:rsidR="00A83FA3" w:rsidRDefault="00A83F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CD"/>
    <w:rsid w:val="0020682A"/>
    <w:rsid w:val="002F7255"/>
    <w:rsid w:val="00546EC2"/>
    <w:rsid w:val="00552BF6"/>
    <w:rsid w:val="00592DD6"/>
    <w:rsid w:val="00736F6C"/>
    <w:rsid w:val="007B77F3"/>
    <w:rsid w:val="00856060"/>
    <w:rsid w:val="008932D8"/>
    <w:rsid w:val="00A83FA3"/>
    <w:rsid w:val="00C4755D"/>
    <w:rsid w:val="00D1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DDB6"/>
  <w15:docId w15:val="{C466DEEA-D97A-480F-ACFB-B815D48D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odyText">
    <w:name w:val="Body Text"/>
    <w:basedOn w:val="Normal"/>
    <w:pPr>
      <w:spacing w:line="240" w:lineRule="exact"/>
    </w:pPr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customStyle="1" w:styleId="BodyTextChar">
    <w:name w:val="Body Text Char"/>
    <w:basedOn w:val="DefaultParagraphFont"/>
    <w:rPr>
      <w:rFonts w:ascii="Tahoma" w:eastAsia="Times New Roman" w:hAnsi="Tahoma" w:cs="Times New Roman"/>
      <w:spacing w:val="10"/>
      <w:sz w:val="17"/>
      <w:szCs w:val="20"/>
      <w:lang w:val="en-US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SimSun" w:hAnsi="Cambria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mbria" w:eastAsia="SimSun" w:hAnsi="Cambria" w:cs="Times New Roman"/>
      <w:spacing w:val="-10"/>
      <w:kern w:val="3"/>
      <w:sz w:val="56"/>
      <w:szCs w:val="56"/>
    </w:rPr>
  </w:style>
  <w:style w:type="paragraph" w:styleId="BalloonText">
    <w:name w:val="Balloon Text"/>
    <w:basedOn w:val="Normal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Strong">
    <w:name w:val="Strong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2Char">
    <w:name w:val="Heading 2 Char"/>
    <w:basedOn w:val="DefaultParagraphFont"/>
    <w:rPr>
      <w:rFonts w:ascii="Cambria" w:eastAsia="SimSun" w:hAnsi="Cambria" w:cs="Times New Roman"/>
      <w:color w:val="365F91"/>
      <w:sz w:val="26"/>
      <w:szCs w:val="26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rPr>
      <w:rFonts w:ascii="Cambria" w:eastAsia="SimSun" w:hAnsi="Cambria" w:cs="Times New Roman"/>
      <w:color w:val="365F91"/>
      <w:sz w:val="32"/>
      <w:szCs w:val="32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etterfinance.eu/publication/wirecard-ag-an-outrageous-case-of-corporate-governance-external-auditing-and-supervisory-failures-once-again-at-the-expense-of-investors-and-pension-saver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betterfinance.eu/wp-content/uploads/Joint-BF-BEUC-letter-on-Collective-Redress-HLF-CMU-10-June-2020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info/sites/info/files/business_economy_euro/growth_and_investment/documents/200610-cmu-high-level-forum-final-report_en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c.europa.eu/info/publications/cmu-high-level-forum_en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ec.europa.eu/info/publications/200722-proposal-capital-markets-recovery_en" TargetMode="External"/><Relationship Id="rId14" Type="http://schemas.openxmlformats.org/officeDocument/2006/relationships/hyperlink" Target="mailto:houdmont@betterfinance.e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F1E8F-2B6A-4507-A60B-49539523D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60D58-DD39-4A0E-B361-CE29D694B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B399CE-22DD-4764-8CF8-4DFCD4A52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Houdmont</dc:creator>
  <dc:description/>
  <cp:lastModifiedBy>ISO Translation</cp:lastModifiedBy>
  <cp:revision>4</cp:revision>
  <cp:lastPrinted>2020-07-31T07:30:00Z</cp:lastPrinted>
  <dcterms:created xsi:type="dcterms:W3CDTF">2020-12-11T10:20:00Z</dcterms:created>
  <dcterms:modified xsi:type="dcterms:W3CDTF">2020-12-15T12:56:00Z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