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93DD" w14:textId="63CC059B" w:rsidR="00D94E74" w:rsidRDefault="00D94E74"/>
    <w:p w14:paraId="190993DE" w14:textId="77777777" w:rsidR="00D94E74" w:rsidRPr="00EF4AF6" w:rsidRDefault="00EF4AF6">
      <w:pPr>
        <w:pStyle w:val="BodyText"/>
        <w:spacing w:after="120" w:line="240" w:lineRule="auto"/>
        <w:jc w:val="both"/>
        <w:rPr>
          <w:lang w:val="fr-BE"/>
        </w:rPr>
      </w:pPr>
      <w:r w:rsidRPr="00EF4AF6">
        <w:rPr>
          <w:rStyle w:val="Strong"/>
          <w:rFonts w:ascii="Calibri Light" w:hAnsi="Calibri Light" w:cs="Calibri Light"/>
          <w:sz w:val="22"/>
          <w:szCs w:val="24"/>
          <w:lang w:val="fr-BE"/>
        </w:rPr>
        <w:t>COMMUNIQUÉ DE PRESSE</w:t>
      </w:r>
    </w:p>
    <w:p w14:paraId="190993DF" w14:textId="51F382C5" w:rsidR="00D94E74" w:rsidRPr="00EF4AF6" w:rsidRDefault="005A68D3">
      <w:pPr>
        <w:pStyle w:val="Heading2"/>
        <w:jc w:val="both"/>
        <w:rPr>
          <w:rFonts w:eastAsia="Calibri" w:cs="Calibri Light"/>
          <w:b/>
          <w:color w:val="365F91"/>
          <w:spacing w:val="20"/>
          <w:kern w:val="3"/>
          <w:sz w:val="28"/>
          <w:szCs w:val="28"/>
          <w:lang w:val="fr-BE"/>
        </w:rPr>
      </w:pPr>
      <w:r>
        <w:rPr>
          <w:rFonts w:eastAsia="Calibri" w:cs="Calibri Light"/>
          <w:b/>
          <w:color w:val="365F91"/>
          <w:spacing w:val="20"/>
          <w:kern w:val="3"/>
          <w:sz w:val="28"/>
          <w:szCs w:val="28"/>
          <w:lang w:val="fr-BE"/>
        </w:rPr>
        <w:t>Retraites « coronavirus » - 2020, un tournant pour les politiques de retraite</w:t>
      </w:r>
      <w:r w:rsidR="00AA567C">
        <w:rPr>
          <w:rFonts w:eastAsia="Calibri" w:cs="Calibri Light"/>
          <w:b/>
          <w:color w:val="365F91"/>
          <w:spacing w:val="20"/>
          <w:kern w:val="3"/>
          <w:sz w:val="28"/>
          <w:szCs w:val="28"/>
          <w:lang w:val="fr-BE"/>
        </w:rPr>
        <w:t xml:space="preserve"> </w:t>
      </w:r>
    </w:p>
    <w:p w14:paraId="190993E0" w14:textId="232280EC" w:rsidR="00D94E74" w:rsidRPr="00EF4AF6" w:rsidRDefault="00EF4AF6">
      <w:pPr>
        <w:spacing w:before="120" w:after="120" w:line="240" w:lineRule="auto"/>
        <w:jc w:val="both"/>
        <w:rPr>
          <w:lang w:val="fr-BE"/>
        </w:rPr>
      </w:pPr>
      <w:r w:rsidRPr="00EF4AF6">
        <w:rPr>
          <w:rFonts w:ascii="Calibri Light" w:hAnsi="Calibri Light" w:cs="Calibri Light"/>
          <w:b/>
          <w:bCs/>
          <w:color w:val="000000"/>
          <w:lang w:val="fr-BE"/>
        </w:rPr>
        <w:t xml:space="preserve">25 septembre 2020 </w:t>
      </w:r>
      <w:r w:rsidRPr="00EF4AF6">
        <w:rPr>
          <w:rFonts w:ascii="Calibri Light" w:hAnsi="Calibri Light" w:cs="Calibri Light"/>
          <w:color w:val="000000"/>
          <w:lang w:val="fr-BE"/>
        </w:rPr>
        <w:t xml:space="preserve">- BETTER FINANCE publie la huitième édition de son rapport sur le </w:t>
      </w:r>
      <w:hyperlink r:id="rId10" w:history="1">
        <w:r w:rsidR="00AA567C">
          <w:rPr>
            <w:rStyle w:val="Hyperlink"/>
            <w:rFonts w:ascii="Calibri Light" w:hAnsi="Calibri Light" w:cs="Calibri Light"/>
            <w:b/>
            <w:bCs/>
            <w:i/>
            <w:iCs/>
            <w:lang w:val="fr-BE"/>
          </w:rPr>
          <w:t>R</w:t>
        </w:r>
        <w:r w:rsidRPr="00EF4AF6">
          <w:rPr>
            <w:rStyle w:val="Hyperlink"/>
            <w:rFonts w:ascii="Calibri Light" w:hAnsi="Calibri Light" w:cs="Calibri Light"/>
            <w:b/>
            <w:bCs/>
            <w:i/>
            <w:iCs/>
            <w:lang w:val="fr-BE"/>
          </w:rPr>
          <w:t>endement réel de l'épargne à long terme et de l'épargne-retraite</w:t>
        </w:r>
      </w:hyperlink>
      <w:r w:rsidRPr="00EF4AF6">
        <w:rPr>
          <w:rFonts w:ascii="Calibri Light" w:hAnsi="Calibri Light" w:cs="Calibri Light"/>
          <w:color w:val="000000"/>
          <w:lang w:val="fr-BE"/>
        </w:rPr>
        <w:t xml:space="preserve">, qui marque un nouveau </w:t>
      </w:r>
      <w:r w:rsidR="005A68D3">
        <w:rPr>
          <w:rFonts w:ascii="Calibri Light" w:hAnsi="Calibri Light" w:cs="Calibri Light"/>
          <w:color w:val="000000"/>
          <w:lang w:val="fr-BE"/>
        </w:rPr>
        <w:t>cap pour la série puisqu</w:t>
      </w:r>
      <w:r w:rsidR="00AA567C">
        <w:rPr>
          <w:rFonts w:ascii="Calibri Light" w:hAnsi="Calibri Light" w:cs="Calibri Light"/>
          <w:color w:val="000000"/>
          <w:lang w:val="fr-BE"/>
        </w:rPr>
        <w:t xml:space="preserve">’il couvre pour la </w:t>
      </w:r>
      <w:r w:rsidR="005A68D3">
        <w:rPr>
          <w:rFonts w:ascii="Calibri Light" w:hAnsi="Calibri Light" w:cs="Calibri Light"/>
          <w:color w:val="000000"/>
          <w:lang w:val="fr-BE"/>
        </w:rPr>
        <w:t>première fois le</w:t>
      </w:r>
      <w:r w:rsidR="00AA567C">
        <w:rPr>
          <w:rFonts w:ascii="Calibri Light" w:hAnsi="Calibri Light" w:cs="Calibri Light"/>
          <w:color w:val="000000"/>
          <w:lang w:val="fr-BE"/>
        </w:rPr>
        <w:t xml:space="preserve">s </w:t>
      </w:r>
      <w:r w:rsidR="005A68D3">
        <w:rPr>
          <w:rFonts w:ascii="Calibri Light" w:hAnsi="Calibri Light" w:cs="Calibri Light"/>
          <w:color w:val="000000"/>
          <w:lang w:val="fr-BE"/>
        </w:rPr>
        <w:t>performances des instruments de retraite au cours de ces 20 dernières années. Dans le même temps, la publication de ce rapport intervient dans le contexte d’une pandémie qui fait également payer un lourd tribut aux retraites. L’avenir des retraites au cours de ces 10 prochaines années dépendra de</w:t>
      </w:r>
      <w:r w:rsidR="00AA567C">
        <w:rPr>
          <w:rFonts w:ascii="Calibri Light" w:hAnsi="Calibri Light" w:cs="Calibri Light"/>
          <w:color w:val="000000"/>
          <w:lang w:val="fr-BE"/>
        </w:rPr>
        <w:t>s mesures prises aujourd’hui</w:t>
      </w:r>
      <w:r w:rsidR="005A68D3">
        <w:rPr>
          <w:rFonts w:ascii="Calibri Light" w:hAnsi="Calibri Light" w:cs="Calibri Light"/>
          <w:color w:val="000000"/>
          <w:lang w:val="fr-BE"/>
        </w:rPr>
        <w:t>.</w:t>
      </w:r>
      <w:r w:rsidR="00AA567C">
        <w:rPr>
          <w:rFonts w:ascii="Calibri Light" w:hAnsi="Calibri Light" w:cs="Calibri Light"/>
          <w:color w:val="000000"/>
          <w:lang w:val="fr-BE"/>
        </w:rPr>
        <w:t xml:space="preserve"> </w:t>
      </w:r>
    </w:p>
    <w:p w14:paraId="190993E1" w14:textId="7E225E5E" w:rsidR="00D94E74" w:rsidRPr="00EF4AF6" w:rsidRDefault="005A68D3">
      <w:pPr>
        <w:spacing w:before="120" w:after="120" w:line="240" w:lineRule="auto"/>
        <w:jc w:val="both"/>
        <w:rPr>
          <w:rFonts w:ascii="Calibri Light" w:hAnsi="Calibri Light" w:cs="Calibri Light"/>
          <w:color w:val="000000"/>
          <w:lang w:val="fr-BE"/>
        </w:rPr>
      </w:pPr>
      <w:r>
        <w:rPr>
          <w:rFonts w:ascii="Calibri Light" w:hAnsi="Calibri Light" w:cs="Calibri Light"/>
          <w:color w:val="000000"/>
          <w:lang w:val="fr-BE"/>
        </w:rPr>
        <w:t>M</w:t>
      </w:r>
      <w:r w:rsidR="004471BD">
        <w:rPr>
          <w:rFonts w:ascii="Calibri Light" w:hAnsi="Calibri Light" w:cs="Calibri Light"/>
          <w:color w:val="000000"/>
          <w:lang w:val="fr-BE"/>
        </w:rPr>
        <w:t xml:space="preserve">algré l’amélioration de tous les rendements en 2019, emmenés </w:t>
      </w:r>
      <w:r w:rsidR="00AA567C">
        <w:rPr>
          <w:rFonts w:ascii="Calibri Light" w:hAnsi="Calibri Light" w:cs="Calibri Light"/>
          <w:color w:val="000000"/>
          <w:lang w:val="fr-BE"/>
        </w:rPr>
        <w:t xml:space="preserve">à la hausse </w:t>
      </w:r>
      <w:r w:rsidR="004471BD">
        <w:rPr>
          <w:rFonts w:ascii="Calibri Light" w:hAnsi="Calibri Light" w:cs="Calibri Light"/>
          <w:color w:val="000000"/>
          <w:lang w:val="fr-BE"/>
        </w:rPr>
        <w:t xml:space="preserve">par les bonnes </w:t>
      </w:r>
      <w:r w:rsidR="00EF4AF6" w:rsidRPr="00EF4AF6">
        <w:rPr>
          <w:rFonts w:ascii="Calibri Light" w:hAnsi="Calibri Light" w:cs="Calibri Light"/>
          <w:color w:val="000000"/>
          <w:lang w:val="fr-BE"/>
        </w:rPr>
        <w:t xml:space="preserve">performances des marchés d'actions et d'obligations, trop de régimes de retraite couverts par </w:t>
      </w:r>
      <w:r w:rsidR="004471BD">
        <w:rPr>
          <w:rFonts w:ascii="Calibri Light" w:hAnsi="Calibri Light" w:cs="Calibri Light"/>
          <w:color w:val="000000"/>
          <w:lang w:val="fr-BE"/>
        </w:rPr>
        <w:t xml:space="preserve">notre </w:t>
      </w:r>
      <w:r w:rsidR="00EF4AF6" w:rsidRPr="00EF4AF6">
        <w:rPr>
          <w:rFonts w:ascii="Calibri Light" w:hAnsi="Calibri Light" w:cs="Calibri Light"/>
          <w:color w:val="000000"/>
          <w:lang w:val="fr-BE"/>
        </w:rPr>
        <w:t xml:space="preserve">rapport </w:t>
      </w:r>
      <w:r w:rsidR="004471BD">
        <w:rPr>
          <w:rFonts w:ascii="Calibri Light" w:hAnsi="Calibri Light" w:cs="Calibri Light"/>
          <w:color w:val="000000"/>
          <w:lang w:val="fr-BE"/>
        </w:rPr>
        <w:t xml:space="preserve">affichent encore des </w:t>
      </w:r>
      <w:r w:rsidR="00EF4AF6" w:rsidRPr="00EF4AF6">
        <w:rPr>
          <w:rFonts w:ascii="Calibri Light" w:hAnsi="Calibri Light" w:cs="Calibri Light"/>
          <w:color w:val="000000"/>
          <w:lang w:val="fr-BE"/>
        </w:rPr>
        <w:t>rendements à long terme négatifs ou très faibles</w:t>
      </w:r>
      <w:r w:rsidR="004471BD">
        <w:rPr>
          <w:rFonts w:ascii="Calibri Light" w:hAnsi="Calibri Light" w:cs="Calibri Light"/>
          <w:color w:val="000000"/>
          <w:lang w:val="fr-BE"/>
        </w:rPr>
        <w:t xml:space="preserve"> après déduction des frais et de l’inflation.</w:t>
      </w:r>
      <w:r w:rsidR="00AA567C">
        <w:rPr>
          <w:rFonts w:ascii="Calibri Light" w:hAnsi="Calibri Light" w:cs="Calibri Light"/>
          <w:color w:val="000000"/>
          <w:lang w:val="fr-BE"/>
        </w:rPr>
        <w:t xml:space="preserve"> </w:t>
      </w:r>
      <w:r w:rsidR="00EF4AF6" w:rsidRPr="00EF4AF6">
        <w:rPr>
          <w:rFonts w:ascii="Calibri Light" w:hAnsi="Calibri Light" w:cs="Calibri Light"/>
          <w:color w:val="000000"/>
          <w:lang w:val="fr-BE"/>
        </w:rPr>
        <w:t xml:space="preserve">En outre, </w:t>
      </w:r>
      <w:r w:rsidR="004471BD">
        <w:rPr>
          <w:rFonts w:ascii="Calibri Light" w:hAnsi="Calibri Light" w:cs="Calibri Light"/>
          <w:color w:val="000000"/>
          <w:lang w:val="fr-BE"/>
        </w:rPr>
        <w:t xml:space="preserve">ces actifs se sont fortement dépréciés depuis la fin </w:t>
      </w:r>
      <w:r w:rsidR="00EF4AF6" w:rsidRPr="00EF4AF6">
        <w:rPr>
          <w:rFonts w:ascii="Calibri Light" w:hAnsi="Calibri Light" w:cs="Calibri Light"/>
          <w:color w:val="000000"/>
          <w:lang w:val="fr-BE"/>
        </w:rPr>
        <w:t>2019,</w:t>
      </w:r>
      <w:r w:rsidR="004471BD">
        <w:rPr>
          <w:rFonts w:ascii="Calibri Light" w:hAnsi="Calibri Light" w:cs="Calibri Light"/>
          <w:color w:val="000000"/>
          <w:lang w:val="fr-BE"/>
        </w:rPr>
        <w:t xml:space="preserve"> ce </w:t>
      </w:r>
      <w:r w:rsidR="004B1FAC">
        <w:rPr>
          <w:rFonts w:ascii="Calibri Light" w:hAnsi="Calibri Light" w:cs="Calibri Light"/>
          <w:color w:val="000000"/>
          <w:lang w:val="fr-BE"/>
        </w:rPr>
        <w:t xml:space="preserve">qui </w:t>
      </w:r>
      <w:r w:rsidR="00AA567C">
        <w:rPr>
          <w:rFonts w:ascii="Calibri Light" w:hAnsi="Calibri Light" w:cs="Calibri Light"/>
          <w:color w:val="000000"/>
          <w:lang w:val="fr-BE"/>
        </w:rPr>
        <w:t xml:space="preserve">devrait </w:t>
      </w:r>
      <w:r w:rsidR="004471BD">
        <w:rPr>
          <w:rFonts w:ascii="Calibri Light" w:hAnsi="Calibri Light" w:cs="Calibri Light"/>
          <w:color w:val="000000"/>
          <w:lang w:val="fr-BE"/>
        </w:rPr>
        <w:t>probablement annuler une grande partie des gains de l’année précédente. La grave récession que nous connaissons actuellement entraîne en outre une baisse des cotisations de retraite</w:t>
      </w:r>
      <w:r w:rsidR="00AA567C">
        <w:rPr>
          <w:rFonts w:ascii="Calibri Light" w:hAnsi="Calibri Light" w:cs="Calibri Light"/>
          <w:color w:val="000000"/>
          <w:lang w:val="fr-BE"/>
        </w:rPr>
        <w:t>.</w:t>
      </w:r>
      <w:r w:rsidR="004471BD">
        <w:rPr>
          <w:rFonts w:ascii="Calibri Light" w:hAnsi="Calibri Light" w:cs="Calibri Light"/>
          <w:color w:val="000000"/>
          <w:lang w:val="fr-BE"/>
        </w:rPr>
        <w:t xml:space="preserve"> </w:t>
      </w:r>
    </w:p>
    <w:p w14:paraId="190993E2" w14:textId="096813B0" w:rsidR="00D94E74" w:rsidRPr="00EF4AF6" w:rsidRDefault="00AA567C">
      <w:pPr>
        <w:spacing w:before="120" w:after="120" w:line="240" w:lineRule="auto"/>
        <w:jc w:val="both"/>
        <w:rPr>
          <w:rFonts w:ascii="Calibri Light" w:hAnsi="Calibri Light" w:cs="Calibri Light"/>
          <w:color w:val="000000"/>
          <w:lang w:val="fr-BE"/>
        </w:rPr>
      </w:pPr>
      <w:r>
        <w:rPr>
          <w:rFonts w:ascii="Calibri Light" w:hAnsi="Calibri Light" w:cs="Calibri Light"/>
          <w:color w:val="000000"/>
          <w:lang w:val="fr-BE"/>
        </w:rPr>
        <w:t xml:space="preserve">S’appuyant sur pas </w:t>
      </w:r>
      <w:r w:rsidR="004471BD">
        <w:rPr>
          <w:rFonts w:ascii="Calibri Light" w:hAnsi="Calibri Light" w:cs="Calibri Light"/>
          <w:color w:val="000000"/>
          <w:lang w:val="fr-BE"/>
        </w:rPr>
        <w:t xml:space="preserve">moins de vingt années de données sur les </w:t>
      </w:r>
      <w:r w:rsidR="00EF4AF6" w:rsidRPr="00EF4AF6">
        <w:rPr>
          <w:rFonts w:ascii="Calibri Light" w:hAnsi="Calibri Light" w:cs="Calibri Light"/>
          <w:color w:val="000000"/>
          <w:lang w:val="fr-BE"/>
        </w:rPr>
        <w:t xml:space="preserve">rendements, les </w:t>
      </w:r>
      <w:r w:rsidR="004471BD">
        <w:rPr>
          <w:rFonts w:ascii="Calibri Light" w:hAnsi="Calibri Light" w:cs="Calibri Light"/>
          <w:color w:val="000000"/>
          <w:lang w:val="fr-BE"/>
        </w:rPr>
        <w:t>coûts e</w:t>
      </w:r>
      <w:r w:rsidR="00EF4AF6" w:rsidRPr="00EF4AF6">
        <w:rPr>
          <w:rFonts w:ascii="Calibri Light" w:hAnsi="Calibri Light" w:cs="Calibri Light"/>
          <w:color w:val="000000"/>
          <w:lang w:val="fr-BE"/>
        </w:rPr>
        <w:t xml:space="preserve">t la </w:t>
      </w:r>
      <w:r w:rsidR="004471BD">
        <w:rPr>
          <w:rFonts w:ascii="Calibri Light" w:hAnsi="Calibri Light" w:cs="Calibri Light"/>
          <w:color w:val="000000"/>
          <w:lang w:val="fr-BE"/>
        </w:rPr>
        <w:t xml:space="preserve">ventilation des actifs, </w:t>
      </w:r>
      <w:r w:rsidR="00EF4AF6" w:rsidRPr="00EF4AF6">
        <w:rPr>
          <w:rFonts w:ascii="Calibri Light" w:hAnsi="Calibri Light" w:cs="Calibri Light"/>
          <w:color w:val="000000"/>
          <w:lang w:val="fr-BE"/>
        </w:rPr>
        <w:t xml:space="preserve">BETTER FINANCE tire une </w:t>
      </w:r>
      <w:r w:rsidR="004471BD">
        <w:rPr>
          <w:rFonts w:ascii="Calibri Light" w:hAnsi="Calibri Light" w:cs="Calibri Light"/>
          <w:color w:val="000000"/>
          <w:lang w:val="fr-BE"/>
        </w:rPr>
        <w:t xml:space="preserve">nouvelle fois la </w:t>
      </w:r>
      <w:r w:rsidR="00EF4AF6" w:rsidRPr="00EF4AF6">
        <w:rPr>
          <w:rFonts w:ascii="Calibri Light" w:hAnsi="Calibri Light" w:cs="Calibri Light"/>
          <w:color w:val="000000"/>
          <w:lang w:val="fr-BE"/>
        </w:rPr>
        <w:t xml:space="preserve">sonnette d'alarme et </w:t>
      </w:r>
      <w:r w:rsidR="004471BD">
        <w:rPr>
          <w:rFonts w:ascii="Calibri Light" w:hAnsi="Calibri Light" w:cs="Calibri Light"/>
          <w:color w:val="000000"/>
          <w:lang w:val="fr-BE"/>
        </w:rPr>
        <w:t xml:space="preserve">insiste sur la nécessité d’une réforme des politiques de retraite et des marchés de capitaux pour </w:t>
      </w:r>
      <w:r w:rsidR="00EF4AF6" w:rsidRPr="00EF4AF6">
        <w:rPr>
          <w:rFonts w:ascii="Calibri Light" w:hAnsi="Calibri Light" w:cs="Calibri Light"/>
          <w:color w:val="000000"/>
          <w:lang w:val="fr-BE"/>
        </w:rPr>
        <w:t>atténuer l</w:t>
      </w:r>
      <w:r w:rsidR="004471BD">
        <w:rPr>
          <w:rFonts w:ascii="Calibri Light" w:hAnsi="Calibri Light" w:cs="Calibri Light"/>
          <w:color w:val="000000"/>
          <w:lang w:val="fr-BE"/>
        </w:rPr>
        <w:t xml:space="preserve">’impact de la crise sanitaire sur </w:t>
      </w:r>
      <w:r w:rsidR="00EF4AF6" w:rsidRPr="00EF4AF6">
        <w:rPr>
          <w:rFonts w:ascii="Calibri Light" w:hAnsi="Calibri Light" w:cs="Calibri Light"/>
          <w:color w:val="000000"/>
          <w:lang w:val="fr-BE"/>
        </w:rPr>
        <w:t>l'adéquation des pensions.</w:t>
      </w:r>
    </w:p>
    <w:p w14:paraId="190993E3" w14:textId="3E009AA3" w:rsidR="00D94E74" w:rsidRPr="00EF4AF6" w:rsidRDefault="004471BD">
      <w:pPr>
        <w:spacing w:before="120" w:after="0" w:line="240" w:lineRule="auto"/>
        <w:jc w:val="both"/>
        <w:rPr>
          <w:lang w:val="fr-BE"/>
        </w:rPr>
      </w:pPr>
      <w:r>
        <w:rPr>
          <w:rFonts w:ascii="Calibri Light" w:hAnsi="Calibri Light" w:cs="Calibri Light"/>
          <w:color w:val="000000"/>
          <w:lang w:val="fr-BE"/>
        </w:rPr>
        <w:t>Voici quelques-uns des principaux problèmes que nous continuons d’observer</w:t>
      </w:r>
      <w:r w:rsidR="00EF4AF6">
        <w:rPr>
          <w:rStyle w:val="FootnoteReference"/>
          <w:rFonts w:ascii="Calibri Light" w:hAnsi="Calibri Light" w:cs="Calibri Light"/>
          <w:color w:val="000000"/>
        </w:rPr>
        <w:footnoteReference w:id="1"/>
      </w:r>
      <w:r w:rsidR="00EF4AF6" w:rsidRPr="00EF4AF6">
        <w:rPr>
          <w:rFonts w:ascii="Calibri Light" w:hAnsi="Calibri Light" w:cs="Calibri Light"/>
          <w:color w:val="000000"/>
          <w:lang w:val="fr-BE"/>
        </w:rPr>
        <w:t xml:space="preserve"> :</w:t>
      </w:r>
    </w:p>
    <w:p w14:paraId="190993E4" w14:textId="77777777" w:rsidR="00D94E74" w:rsidRPr="00EF4AF6" w:rsidRDefault="00D94E74">
      <w:pPr>
        <w:spacing w:after="0" w:line="240" w:lineRule="auto"/>
        <w:jc w:val="both"/>
        <w:rPr>
          <w:rFonts w:ascii="Calibri Light" w:hAnsi="Calibri Light" w:cs="Calibri Light"/>
          <w:color w:val="000000"/>
          <w:lang w:val="fr-BE"/>
        </w:rPr>
      </w:pPr>
    </w:p>
    <w:p w14:paraId="190993E5" w14:textId="37E6BE81" w:rsidR="00D94E74" w:rsidRPr="00EF4AF6" w:rsidRDefault="00EF4AF6">
      <w:pPr>
        <w:pStyle w:val="ListParagraph"/>
        <w:numPr>
          <w:ilvl w:val="0"/>
          <w:numId w:val="1"/>
        </w:numPr>
        <w:ind w:left="426" w:hanging="284"/>
        <w:jc w:val="both"/>
        <w:rPr>
          <w:rFonts w:ascii="Calibri Light" w:hAnsi="Calibri Light" w:cs="Calibri Light"/>
          <w:color w:val="000000"/>
        </w:rPr>
      </w:pPr>
      <w:r w:rsidRPr="00EF4AF6">
        <w:rPr>
          <w:rFonts w:ascii="Calibri Light" w:hAnsi="Calibri Light" w:cs="Calibri Light"/>
          <w:color w:val="000000"/>
        </w:rPr>
        <w:t xml:space="preserve">Les régimes complémentaires </w:t>
      </w:r>
      <w:r w:rsidR="004471BD">
        <w:rPr>
          <w:rFonts w:ascii="Calibri Light" w:hAnsi="Calibri Light" w:cs="Calibri Light"/>
          <w:color w:val="000000"/>
        </w:rPr>
        <w:t>–</w:t>
      </w:r>
      <w:r w:rsidRPr="00EF4AF6">
        <w:rPr>
          <w:rFonts w:ascii="Calibri Light" w:hAnsi="Calibri Light" w:cs="Calibri Light"/>
          <w:color w:val="000000"/>
        </w:rPr>
        <w:t xml:space="preserve"> essentiellement</w:t>
      </w:r>
      <w:r w:rsidR="00AA567C">
        <w:rPr>
          <w:rFonts w:ascii="Calibri Light" w:hAnsi="Calibri Light" w:cs="Calibri Light"/>
          <w:color w:val="000000"/>
        </w:rPr>
        <w:t xml:space="preserve"> les régimes</w:t>
      </w:r>
      <w:r w:rsidRPr="00EF4AF6">
        <w:rPr>
          <w:rFonts w:ascii="Calibri Light" w:hAnsi="Calibri Light" w:cs="Calibri Light"/>
          <w:color w:val="000000"/>
        </w:rPr>
        <w:t xml:space="preserve"> individuels (</w:t>
      </w:r>
      <w:r w:rsidR="00672DC5">
        <w:rPr>
          <w:rFonts w:ascii="Calibri Light" w:hAnsi="Calibri Light" w:cs="Calibri Light"/>
          <w:color w:val="000000"/>
        </w:rPr>
        <w:t>3</w:t>
      </w:r>
      <w:r w:rsidR="00672DC5" w:rsidRPr="00672DC5">
        <w:rPr>
          <w:rFonts w:ascii="Calibri Light" w:hAnsi="Calibri Light" w:cs="Calibri Light"/>
          <w:color w:val="000000"/>
          <w:vertAlign w:val="superscript"/>
        </w:rPr>
        <w:t>ème</w:t>
      </w:r>
      <w:r w:rsidR="00672DC5">
        <w:rPr>
          <w:rFonts w:ascii="Calibri Light" w:hAnsi="Calibri Light" w:cs="Calibri Light"/>
          <w:color w:val="000000"/>
        </w:rPr>
        <w:t xml:space="preserve"> pilier</w:t>
      </w:r>
      <w:r w:rsidRPr="00EF4AF6">
        <w:rPr>
          <w:rFonts w:ascii="Calibri Light" w:hAnsi="Calibri Light" w:cs="Calibri Light"/>
          <w:color w:val="000000"/>
        </w:rPr>
        <w:t xml:space="preserve">) </w:t>
      </w:r>
      <w:r w:rsidR="004471BD">
        <w:rPr>
          <w:rFonts w:ascii="Calibri Light" w:hAnsi="Calibri Light" w:cs="Calibri Light"/>
          <w:color w:val="000000"/>
        </w:rPr>
        <w:t xml:space="preserve">– affichent </w:t>
      </w:r>
      <w:r w:rsidR="00672DC5">
        <w:rPr>
          <w:rFonts w:ascii="Calibri Light" w:hAnsi="Calibri Light" w:cs="Calibri Light"/>
          <w:color w:val="000000"/>
        </w:rPr>
        <w:t xml:space="preserve">en général </w:t>
      </w:r>
      <w:r w:rsidR="004471BD">
        <w:rPr>
          <w:rFonts w:ascii="Calibri Light" w:hAnsi="Calibri Light" w:cs="Calibri Light"/>
          <w:color w:val="000000"/>
        </w:rPr>
        <w:t>des rendements inférieurs à ceux des régimes</w:t>
      </w:r>
      <w:r w:rsidR="00672DC5">
        <w:rPr>
          <w:rFonts w:ascii="Calibri Light" w:hAnsi="Calibri Light" w:cs="Calibri Light"/>
          <w:color w:val="000000"/>
        </w:rPr>
        <w:t xml:space="preserve"> </w:t>
      </w:r>
      <w:r w:rsidRPr="00EF4AF6">
        <w:rPr>
          <w:rFonts w:ascii="Calibri Light" w:hAnsi="Calibri Light" w:cs="Calibri Light"/>
          <w:color w:val="000000"/>
        </w:rPr>
        <w:t xml:space="preserve">de retraite professionnels </w:t>
      </w:r>
      <w:r w:rsidR="004B1FAC">
        <w:rPr>
          <w:rFonts w:ascii="Calibri Light" w:hAnsi="Calibri Light" w:cs="Calibri Light"/>
          <w:color w:val="000000"/>
        </w:rPr>
        <w:t>–</w:t>
      </w:r>
      <w:r w:rsidRPr="00EF4AF6">
        <w:rPr>
          <w:rFonts w:ascii="Calibri Light" w:hAnsi="Calibri Light" w:cs="Calibri Light"/>
          <w:color w:val="000000"/>
        </w:rPr>
        <w:t xml:space="preserve"> collectifs (</w:t>
      </w:r>
      <w:r w:rsidR="00672DC5">
        <w:rPr>
          <w:rFonts w:ascii="Calibri Light" w:hAnsi="Calibri Light" w:cs="Calibri Light"/>
          <w:color w:val="000000"/>
        </w:rPr>
        <w:t>2</w:t>
      </w:r>
      <w:r w:rsidR="00672DC5" w:rsidRPr="00672DC5">
        <w:rPr>
          <w:rFonts w:ascii="Calibri Light" w:hAnsi="Calibri Light" w:cs="Calibri Light"/>
          <w:color w:val="000000"/>
          <w:vertAlign w:val="superscript"/>
        </w:rPr>
        <w:t>ème</w:t>
      </w:r>
      <w:r w:rsidR="00672DC5">
        <w:rPr>
          <w:rFonts w:ascii="Calibri Light" w:hAnsi="Calibri Light" w:cs="Calibri Light"/>
          <w:color w:val="000000"/>
        </w:rPr>
        <w:t xml:space="preserve"> pilier</w:t>
      </w:r>
      <w:r w:rsidRPr="00EF4AF6">
        <w:rPr>
          <w:rFonts w:ascii="Calibri Light" w:hAnsi="Calibri Light" w:cs="Calibri Light"/>
          <w:color w:val="000000"/>
        </w:rPr>
        <w:t>) ;</w:t>
      </w:r>
    </w:p>
    <w:p w14:paraId="190993E6" w14:textId="4869BE1C" w:rsidR="00D94E74" w:rsidRDefault="00EF4AF6">
      <w:pPr>
        <w:pStyle w:val="ListParagraph"/>
        <w:numPr>
          <w:ilvl w:val="0"/>
          <w:numId w:val="1"/>
        </w:numPr>
        <w:ind w:left="426" w:hanging="284"/>
        <w:jc w:val="both"/>
      </w:pPr>
      <w:r w:rsidRPr="00EF4AF6">
        <w:rPr>
          <w:rFonts w:ascii="Calibri Light" w:hAnsi="Calibri Light" w:cs="Calibri Light"/>
          <w:color w:val="000000"/>
        </w:rPr>
        <w:t>La grande majorité des produits de retraite affichent des performances inférieures</w:t>
      </w:r>
      <w:r>
        <w:rPr>
          <w:rStyle w:val="FootnoteReference"/>
          <w:rFonts w:ascii="Calibri Light" w:hAnsi="Calibri Light" w:cs="Calibri Light"/>
          <w:color w:val="000000"/>
          <w:lang w:val="en-GB"/>
        </w:rPr>
        <w:footnoteReference w:id="2"/>
      </w:r>
      <w:r w:rsidRPr="00EF4AF6">
        <w:rPr>
          <w:rFonts w:ascii="Calibri Light" w:hAnsi="Calibri Light" w:cs="Calibri Light"/>
          <w:color w:val="000000"/>
        </w:rPr>
        <w:t xml:space="preserve"> à celles </w:t>
      </w:r>
      <w:r w:rsidR="00672DC5">
        <w:rPr>
          <w:rFonts w:ascii="Calibri Light" w:hAnsi="Calibri Light" w:cs="Calibri Light"/>
          <w:color w:val="000000"/>
        </w:rPr>
        <w:t xml:space="preserve">d’un indice boursier simple </w:t>
      </w:r>
      <w:r w:rsidRPr="00EF4AF6">
        <w:rPr>
          <w:rFonts w:ascii="Calibri Light" w:hAnsi="Calibri Light" w:cs="Calibri Light"/>
          <w:color w:val="000000"/>
        </w:rPr>
        <w:t xml:space="preserve">(50 % d'actions - 50 % d'obligations) ; </w:t>
      </w:r>
      <w:r>
        <w:rPr>
          <w:rStyle w:val="FootnoteReference"/>
          <w:rFonts w:ascii="Calibri Light" w:hAnsi="Calibri Light" w:cs="Calibri Light"/>
          <w:color w:val="000000"/>
          <w:lang w:val="en-GB"/>
        </w:rPr>
        <w:footnoteReference w:id="3"/>
      </w:r>
    </w:p>
    <w:p w14:paraId="190993E7" w14:textId="78C7FB7F" w:rsidR="00D94E74" w:rsidRPr="00EF4AF6" w:rsidRDefault="00EF4AF6">
      <w:pPr>
        <w:pStyle w:val="ListParagraph"/>
        <w:numPr>
          <w:ilvl w:val="0"/>
          <w:numId w:val="1"/>
        </w:numPr>
        <w:ind w:left="426" w:hanging="284"/>
        <w:jc w:val="both"/>
        <w:rPr>
          <w:rFonts w:ascii="Calibri Light" w:hAnsi="Calibri Light" w:cs="Calibri Light"/>
          <w:color w:val="000000"/>
        </w:rPr>
      </w:pPr>
      <w:r w:rsidRPr="00EF4AF6">
        <w:rPr>
          <w:rFonts w:ascii="Calibri Light" w:hAnsi="Calibri Light" w:cs="Calibri Light"/>
          <w:color w:val="000000"/>
        </w:rPr>
        <w:t xml:space="preserve">Les frais continuent de peser lourdement sur les rendements nominaux, </w:t>
      </w:r>
      <w:r w:rsidR="00672DC5">
        <w:rPr>
          <w:rFonts w:ascii="Calibri Light" w:hAnsi="Calibri Light" w:cs="Calibri Light"/>
          <w:color w:val="000000"/>
        </w:rPr>
        <w:t>vu la persistance de conflits d’intérêt</w:t>
      </w:r>
      <w:r w:rsidR="00160D24">
        <w:rPr>
          <w:rFonts w:ascii="Calibri Light" w:hAnsi="Calibri Light" w:cs="Calibri Light"/>
          <w:color w:val="000000"/>
        </w:rPr>
        <w:t>s</w:t>
      </w:r>
      <w:r w:rsidR="00672DC5">
        <w:rPr>
          <w:rFonts w:ascii="Calibri Light" w:hAnsi="Calibri Light" w:cs="Calibri Light"/>
          <w:color w:val="000000"/>
        </w:rPr>
        <w:t xml:space="preserve"> </w:t>
      </w:r>
      <w:r w:rsidRPr="00EF4AF6">
        <w:rPr>
          <w:rFonts w:ascii="Calibri Light" w:hAnsi="Calibri Light" w:cs="Calibri Light"/>
          <w:color w:val="000000"/>
        </w:rPr>
        <w:t>dans la distribution</w:t>
      </w:r>
      <w:r w:rsidR="00672DC5">
        <w:rPr>
          <w:rFonts w:ascii="Calibri Light" w:hAnsi="Calibri Light" w:cs="Calibri Light"/>
          <w:color w:val="000000"/>
        </w:rPr>
        <w:t xml:space="preserve"> ; </w:t>
      </w:r>
    </w:p>
    <w:p w14:paraId="190993E8" w14:textId="0AC3B01B" w:rsidR="00D94E74" w:rsidRPr="00EF4AF6" w:rsidRDefault="00EF4AF6">
      <w:pPr>
        <w:pStyle w:val="ListParagraph"/>
        <w:numPr>
          <w:ilvl w:val="0"/>
          <w:numId w:val="1"/>
        </w:numPr>
        <w:spacing w:after="120"/>
        <w:ind w:left="426" w:hanging="284"/>
        <w:jc w:val="both"/>
        <w:rPr>
          <w:rFonts w:ascii="Calibri Light" w:hAnsi="Calibri Light" w:cs="Calibri Light"/>
          <w:color w:val="000000"/>
        </w:rPr>
      </w:pPr>
      <w:r w:rsidRPr="00EF4AF6">
        <w:rPr>
          <w:rFonts w:ascii="Calibri Light" w:hAnsi="Calibri Light" w:cs="Calibri Light"/>
          <w:color w:val="000000"/>
        </w:rPr>
        <w:t xml:space="preserve">La répartition des actifs des fonds de pension </w:t>
      </w:r>
      <w:r w:rsidR="00672DC5">
        <w:rPr>
          <w:rFonts w:ascii="Calibri Light" w:hAnsi="Calibri Light" w:cs="Calibri Light"/>
          <w:color w:val="000000"/>
        </w:rPr>
        <w:t>s’oriente de plus en plus</w:t>
      </w:r>
      <w:r w:rsidRPr="00EF4AF6">
        <w:rPr>
          <w:rFonts w:ascii="Calibri Light" w:hAnsi="Calibri Light" w:cs="Calibri Light"/>
          <w:color w:val="000000"/>
        </w:rPr>
        <w:t xml:space="preserve"> vers les titres à revenu fixe et les actifs </w:t>
      </w:r>
      <w:r w:rsidR="00672DC5">
        <w:rPr>
          <w:rFonts w:ascii="Calibri Light" w:hAnsi="Calibri Light" w:cs="Calibri Light"/>
          <w:color w:val="000000"/>
        </w:rPr>
        <w:t xml:space="preserve">« packagés » </w:t>
      </w:r>
      <w:r w:rsidRPr="00EF4AF6">
        <w:rPr>
          <w:rFonts w:ascii="Calibri Light" w:hAnsi="Calibri Light" w:cs="Calibri Light"/>
          <w:color w:val="000000"/>
        </w:rPr>
        <w:t>(</w:t>
      </w:r>
      <w:r w:rsidR="00672DC5">
        <w:rPr>
          <w:rFonts w:ascii="Calibri Light" w:hAnsi="Calibri Light" w:cs="Calibri Light"/>
          <w:color w:val="000000"/>
        </w:rPr>
        <w:t>fonds d’</w:t>
      </w:r>
      <w:r w:rsidRPr="00EF4AF6">
        <w:rPr>
          <w:rFonts w:ascii="Calibri Light" w:hAnsi="Calibri Light" w:cs="Calibri Light"/>
          <w:color w:val="000000"/>
        </w:rPr>
        <w:t>organismes de placement collectif)</w:t>
      </w:r>
      <w:r w:rsidR="00672DC5">
        <w:rPr>
          <w:rFonts w:ascii="Calibri Light" w:hAnsi="Calibri Light" w:cs="Calibri Light"/>
          <w:color w:val="000000"/>
        </w:rPr>
        <w:t xml:space="preserve">, au détriment de la détention directe de titres. </w:t>
      </w:r>
    </w:p>
    <w:p w14:paraId="190993E9" w14:textId="2A271F80" w:rsidR="00D94E74" w:rsidRPr="00EF4AF6" w:rsidRDefault="00EF4AF6">
      <w:pPr>
        <w:spacing w:after="240"/>
        <w:jc w:val="both"/>
        <w:rPr>
          <w:lang w:val="fr-BE"/>
        </w:rPr>
      </w:pPr>
      <w:r w:rsidRPr="00EF4AF6">
        <w:rPr>
          <w:rFonts w:ascii="Calibri Light" w:hAnsi="Calibri Light" w:cs="Calibri Light"/>
          <w:color w:val="000000"/>
          <w:lang w:val="fr-BE"/>
        </w:rPr>
        <w:t xml:space="preserve">Pour Guillaume Prache, directeur général de BETTER FINANCE, </w:t>
      </w:r>
      <w:r w:rsidR="00CD07C5">
        <w:rPr>
          <w:rFonts w:ascii="Calibri Light" w:hAnsi="Calibri Light" w:cs="Calibri Light"/>
          <w:i/>
          <w:iCs/>
          <w:color w:val="000000"/>
          <w:lang w:val="fr-BE"/>
        </w:rPr>
        <w:t xml:space="preserve">« toutes les conditions sont ainsi réunies pour </w:t>
      </w:r>
      <w:r w:rsidRPr="00EF4AF6">
        <w:rPr>
          <w:rFonts w:ascii="Calibri Light" w:hAnsi="Calibri Light" w:cs="Calibri Light"/>
          <w:i/>
          <w:iCs/>
          <w:color w:val="000000"/>
          <w:lang w:val="fr-BE"/>
        </w:rPr>
        <w:t>détruire la valeur réelle de l'épargne</w:t>
      </w:r>
      <w:r w:rsidR="00CD07C5">
        <w:rPr>
          <w:rFonts w:ascii="Calibri Light" w:hAnsi="Calibri Light" w:cs="Calibri Light"/>
          <w:i/>
          <w:iCs/>
          <w:color w:val="000000"/>
          <w:lang w:val="fr-BE"/>
        </w:rPr>
        <w:t>-</w:t>
      </w:r>
      <w:r w:rsidRPr="00EF4AF6">
        <w:rPr>
          <w:rFonts w:ascii="Calibri Light" w:hAnsi="Calibri Light" w:cs="Calibri Light"/>
          <w:i/>
          <w:iCs/>
          <w:color w:val="000000"/>
          <w:lang w:val="fr-BE"/>
        </w:rPr>
        <w:t>retraite sur le long terme, d'autant que</w:t>
      </w:r>
      <w:r w:rsidR="00CD07C5">
        <w:rPr>
          <w:rFonts w:ascii="Calibri Light" w:hAnsi="Calibri Light" w:cs="Calibri Light"/>
          <w:i/>
          <w:iCs/>
          <w:color w:val="000000"/>
          <w:lang w:val="fr-BE"/>
        </w:rPr>
        <w:t xml:space="preserve"> s’ouvre une nouvelle ère de répression financière maximale, les autorités publiques ayant </w:t>
      </w:r>
      <w:r w:rsidRPr="00EF4AF6">
        <w:rPr>
          <w:rFonts w:ascii="Calibri Light" w:hAnsi="Calibri Light" w:cs="Calibri Light"/>
          <w:i/>
          <w:iCs/>
          <w:color w:val="000000"/>
          <w:lang w:val="fr-BE"/>
        </w:rPr>
        <w:t xml:space="preserve">explicitement choisi de sacrifier la protection des épargnants à long terme </w:t>
      </w:r>
      <w:r w:rsidR="00CD07C5">
        <w:rPr>
          <w:rFonts w:ascii="Calibri Light" w:hAnsi="Calibri Light" w:cs="Calibri Light"/>
          <w:i/>
          <w:iCs/>
          <w:color w:val="000000"/>
          <w:lang w:val="fr-BE"/>
        </w:rPr>
        <w:t xml:space="preserve">au profit d’une </w:t>
      </w:r>
      <w:r w:rsidRPr="00EF4AF6">
        <w:rPr>
          <w:rFonts w:ascii="Calibri Light" w:hAnsi="Calibri Light" w:cs="Calibri Light"/>
          <w:i/>
          <w:iCs/>
          <w:color w:val="000000"/>
          <w:lang w:val="fr-BE"/>
        </w:rPr>
        <w:t>réduction artificielle du coût de la dette des États membres</w:t>
      </w:r>
      <w:r w:rsidR="004B1FAC">
        <w:rPr>
          <w:rFonts w:ascii="Calibri Light" w:hAnsi="Calibri Light" w:cs="Calibri Light"/>
          <w:i/>
          <w:iCs/>
          <w:color w:val="000000"/>
          <w:lang w:val="fr-BE"/>
        </w:rPr>
        <w:t>,</w:t>
      </w:r>
      <w:r w:rsidRPr="00EF4AF6">
        <w:rPr>
          <w:rFonts w:ascii="Calibri Light" w:hAnsi="Calibri Light" w:cs="Calibri Light"/>
          <w:i/>
          <w:iCs/>
          <w:color w:val="000000"/>
          <w:lang w:val="fr-BE"/>
        </w:rPr>
        <w:t xml:space="preserve"> en accordant des subventions sans précédent aux gouvernements et aux banques (sous la forme de taux d'intérêt négatifs et d'achats massifs de dette publique). Certains États membres ont même permis aux épargnants de puiser dans leur tirelire en autorisant des retraits anticipés, </w:t>
      </w:r>
      <w:r w:rsidR="00CD07C5">
        <w:rPr>
          <w:rFonts w:ascii="Calibri Light" w:hAnsi="Calibri Light" w:cs="Calibri Light"/>
          <w:i/>
          <w:iCs/>
          <w:color w:val="000000"/>
          <w:lang w:val="fr-BE"/>
        </w:rPr>
        <w:t>tandis que</w:t>
      </w:r>
      <w:r w:rsidR="00AA567C">
        <w:rPr>
          <w:rFonts w:ascii="Calibri Light" w:hAnsi="Calibri Light" w:cs="Calibri Light"/>
          <w:i/>
          <w:iCs/>
          <w:color w:val="000000"/>
          <w:lang w:val="fr-BE"/>
        </w:rPr>
        <w:t xml:space="preserve"> </w:t>
      </w:r>
      <w:r w:rsidRPr="00EF4AF6">
        <w:rPr>
          <w:rFonts w:ascii="Calibri Light" w:hAnsi="Calibri Light" w:cs="Calibri Light"/>
          <w:i/>
          <w:iCs/>
          <w:color w:val="000000"/>
          <w:lang w:val="fr-BE"/>
        </w:rPr>
        <w:lastRenderedPageBreak/>
        <w:t>certains régimes de retraite ont déjà annoncé que l</w:t>
      </w:r>
      <w:r w:rsidR="008E0F28">
        <w:rPr>
          <w:rFonts w:ascii="Calibri Light" w:hAnsi="Calibri Light" w:cs="Calibri Light"/>
          <w:i/>
          <w:iCs/>
          <w:color w:val="000000"/>
          <w:lang w:val="fr-BE"/>
        </w:rPr>
        <w:t>a</w:t>
      </w:r>
      <w:r w:rsidRPr="00EF4AF6">
        <w:rPr>
          <w:rFonts w:ascii="Calibri Light" w:hAnsi="Calibri Light" w:cs="Calibri Light"/>
          <w:i/>
          <w:iCs/>
          <w:color w:val="000000"/>
          <w:lang w:val="fr-BE"/>
        </w:rPr>
        <w:t xml:space="preserve"> Covid-19 pourrait bien les obliger à r</w:t>
      </w:r>
      <w:r w:rsidR="00CD07C5">
        <w:rPr>
          <w:rFonts w:ascii="Calibri Light" w:hAnsi="Calibri Light" w:cs="Calibri Light"/>
          <w:i/>
          <w:iCs/>
          <w:color w:val="000000"/>
          <w:lang w:val="fr-BE"/>
        </w:rPr>
        <w:t xml:space="preserve">evoir à la baisse les </w:t>
      </w:r>
      <w:r w:rsidRPr="00EF4AF6">
        <w:rPr>
          <w:rFonts w:ascii="Calibri Light" w:hAnsi="Calibri Light" w:cs="Calibri Light"/>
          <w:i/>
          <w:iCs/>
          <w:color w:val="000000"/>
          <w:lang w:val="fr-BE"/>
        </w:rPr>
        <w:t>droits à pension, même</w:t>
      </w:r>
      <w:r w:rsidR="00CD07C5">
        <w:rPr>
          <w:rFonts w:ascii="Calibri Light" w:hAnsi="Calibri Light" w:cs="Calibri Light"/>
          <w:i/>
          <w:iCs/>
          <w:color w:val="000000"/>
          <w:lang w:val="fr-BE"/>
        </w:rPr>
        <w:t xml:space="preserve"> en termes </w:t>
      </w:r>
      <w:r w:rsidRPr="00EF4AF6">
        <w:rPr>
          <w:rFonts w:ascii="Calibri Light" w:hAnsi="Calibri Light" w:cs="Calibri Light"/>
          <w:i/>
          <w:iCs/>
          <w:color w:val="000000"/>
          <w:lang w:val="fr-BE"/>
        </w:rPr>
        <w:t>nominaux.</w:t>
      </w:r>
    </w:p>
    <w:p w14:paraId="190993EA" w14:textId="5740A167" w:rsidR="00D94E74" w:rsidRPr="00EF4AF6" w:rsidRDefault="00EF4AF6">
      <w:pPr>
        <w:spacing w:after="240"/>
        <w:jc w:val="both"/>
        <w:rPr>
          <w:rFonts w:ascii="Calibri Light" w:hAnsi="Calibri Light" w:cs="Calibri Light"/>
          <w:i/>
          <w:iCs/>
          <w:lang w:val="fr-BE"/>
        </w:rPr>
      </w:pPr>
      <w:r w:rsidRPr="00EF4AF6">
        <w:rPr>
          <w:rFonts w:ascii="Calibri Light" w:hAnsi="Calibri Light" w:cs="Calibri Light"/>
          <w:i/>
          <w:iCs/>
          <w:lang w:val="fr-BE"/>
        </w:rPr>
        <w:t>L'</w:t>
      </w:r>
      <w:r w:rsidR="008E0F28">
        <w:rPr>
          <w:rFonts w:ascii="Calibri Light" w:hAnsi="Calibri Light" w:cs="Calibri Light"/>
          <w:i/>
          <w:iCs/>
          <w:lang w:val="fr-BE"/>
        </w:rPr>
        <w:t xml:space="preserve">impact du coronavirus sur les </w:t>
      </w:r>
      <w:r w:rsidR="00B96FC5">
        <w:rPr>
          <w:rFonts w:ascii="Calibri Light" w:hAnsi="Calibri Light" w:cs="Calibri Light"/>
          <w:i/>
          <w:iCs/>
          <w:lang w:val="fr-BE"/>
        </w:rPr>
        <w:t xml:space="preserve">retraites </w:t>
      </w:r>
      <w:r w:rsidRPr="00EF4AF6">
        <w:rPr>
          <w:rFonts w:ascii="Calibri Light" w:hAnsi="Calibri Light" w:cs="Calibri Light"/>
          <w:i/>
          <w:iCs/>
          <w:lang w:val="fr-BE"/>
        </w:rPr>
        <w:t>est un autre coup dur pour les épargnants européens.</w:t>
      </w:r>
      <w:r w:rsidR="00B96FC5">
        <w:rPr>
          <w:rFonts w:ascii="Calibri Light" w:hAnsi="Calibri Light" w:cs="Calibri Light"/>
          <w:i/>
          <w:iCs/>
          <w:lang w:val="fr-BE"/>
        </w:rPr>
        <w:t xml:space="preserve"> » </w:t>
      </w:r>
    </w:p>
    <w:p w14:paraId="190993EB" w14:textId="15FC7CF3" w:rsidR="00D94E74" w:rsidRPr="00EF4AF6" w:rsidRDefault="00EF4AF6">
      <w:pPr>
        <w:spacing w:after="240"/>
        <w:jc w:val="both"/>
        <w:rPr>
          <w:rFonts w:ascii="Calibri Light" w:hAnsi="Calibri Light" w:cs="Calibri Light"/>
          <w:color w:val="000000"/>
          <w:lang w:val="fr-BE"/>
        </w:rPr>
      </w:pPr>
      <w:r w:rsidRPr="00EF4AF6">
        <w:rPr>
          <w:rFonts w:ascii="Calibri Light" w:hAnsi="Calibri Light" w:cs="Calibri Light"/>
          <w:color w:val="000000"/>
          <w:lang w:val="fr-BE"/>
        </w:rPr>
        <w:t xml:space="preserve">BETTER FINANCE a présenté 11 recommandations politiques clés pour </w:t>
      </w:r>
      <w:r w:rsidR="00B96FC5">
        <w:rPr>
          <w:rFonts w:ascii="Calibri Light" w:hAnsi="Calibri Light" w:cs="Calibri Light"/>
          <w:color w:val="000000"/>
          <w:lang w:val="fr-BE"/>
        </w:rPr>
        <w:t xml:space="preserve">régler les problèmes les plus urgents pour les régimes de retraite privés et </w:t>
      </w:r>
      <w:r w:rsidR="008E0F28">
        <w:rPr>
          <w:rFonts w:ascii="Calibri Light" w:hAnsi="Calibri Light" w:cs="Calibri Light"/>
          <w:color w:val="000000"/>
          <w:lang w:val="fr-BE"/>
        </w:rPr>
        <w:t xml:space="preserve">mettre en place </w:t>
      </w:r>
      <w:r w:rsidR="00B96FC5">
        <w:rPr>
          <w:rFonts w:ascii="Calibri Light" w:hAnsi="Calibri Light" w:cs="Calibri Light"/>
          <w:color w:val="000000"/>
          <w:lang w:val="fr-BE"/>
        </w:rPr>
        <w:t xml:space="preserve">un </w:t>
      </w:r>
      <w:r w:rsidRPr="00EF4AF6">
        <w:rPr>
          <w:rFonts w:ascii="Calibri Light" w:hAnsi="Calibri Light" w:cs="Calibri Light"/>
          <w:color w:val="000000"/>
          <w:lang w:val="fr-BE"/>
        </w:rPr>
        <w:t>environnement</w:t>
      </w:r>
      <w:r w:rsidR="00B96FC5">
        <w:rPr>
          <w:rFonts w:ascii="Calibri Light" w:hAnsi="Calibri Light" w:cs="Calibri Light"/>
          <w:color w:val="000000"/>
          <w:lang w:val="fr-BE"/>
        </w:rPr>
        <w:t xml:space="preserve"> </w:t>
      </w:r>
      <w:r w:rsidR="008E0F28">
        <w:rPr>
          <w:rFonts w:ascii="Calibri Light" w:hAnsi="Calibri Light" w:cs="Calibri Light"/>
          <w:color w:val="000000"/>
          <w:lang w:val="fr-BE"/>
        </w:rPr>
        <w:t xml:space="preserve">capable de garantir des rendements à long terme décents. </w:t>
      </w:r>
      <w:r w:rsidR="005C7AF2">
        <w:rPr>
          <w:rFonts w:ascii="Calibri Light" w:hAnsi="Calibri Light" w:cs="Calibri Light"/>
          <w:color w:val="000000"/>
          <w:lang w:val="fr-BE"/>
        </w:rPr>
        <w:t>Voici, pour rappel, les recommandations les plus importantes :</w:t>
      </w:r>
      <w:r w:rsidR="00AA567C">
        <w:rPr>
          <w:rFonts w:ascii="Calibri Light" w:hAnsi="Calibri Light" w:cs="Calibri Light"/>
          <w:color w:val="000000"/>
          <w:lang w:val="fr-BE"/>
        </w:rPr>
        <w:t xml:space="preserve"> </w:t>
      </w:r>
    </w:p>
    <w:p w14:paraId="190993EC" w14:textId="0680C1E5" w:rsidR="00D94E74" w:rsidRPr="00EF4AF6" w:rsidRDefault="00EF4AF6">
      <w:pPr>
        <w:pStyle w:val="ListParagraph"/>
        <w:numPr>
          <w:ilvl w:val="0"/>
          <w:numId w:val="2"/>
        </w:numPr>
        <w:spacing w:after="200" w:line="276" w:lineRule="auto"/>
        <w:ind w:left="426"/>
        <w:jc w:val="both"/>
        <w:rPr>
          <w:rFonts w:ascii="Calibri Light" w:hAnsi="Calibri Light" w:cs="Calibri Light"/>
          <w:bCs/>
          <w:i/>
          <w:iCs/>
          <w:color w:val="0070C0"/>
        </w:rPr>
      </w:pPr>
      <w:r w:rsidRPr="00EF4AF6">
        <w:rPr>
          <w:rFonts w:ascii="Calibri Light" w:hAnsi="Calibri Light" w:cs="Calibri Light"/>
          <w:bCs/>
          <w:i/>
          <w:iCs/>
          <w:color w:val="0070C0"/>
        </w:rPr>
        <w:t>Harmoniser et renforcer les règles afin de limiter efficacement les conflits d'intérêt</w:t>
      </w:r>
      <w:r w:rsidR="00160D24">
        <w:rPr>
          <w:rFonts w:ascii="Calibri Light" w:hAnsi="Calibri Light" w:cs="Calibri Light"/>
          <w:bCs/>
          <w:i/>
          <w:iCs/>
          <w:color w:val="0070C0"/>
        </w:rPr>
        <w:t>s</w:t>
      </w:r>
      <w:r w:rsidRPr="00EF4AF6">
        <w:rPr>
          <w:rFonts w:ascii="Calibri Light" w:hAnsi="Calibri Light" w:cs="Calibri Light"/>
          <w:bCs/>
          <w:i/>
          <w:iCs/>
          <w:color w:val="0070C0"/>
        </w:rPr>
        <w:t xml:space="preserve"> dans la distribution des produits d'épargne à long terme et d'épargne-retraite.</w:t>
      </w:r>
    </w:p>
    <w:p w14:paraId="190993ED" w14:textId="0994CDAD" w:rsidR="00D94E74" w:rsidRPr="00EF4AF6" w:rsidRDefault="00EF4AF6">
      <w:pPr>
        <w:pStyle w:val="ListParagraph"/>
        <w:numPr>
          <w:ilvl w:val="0"/>
          <w:numId w:val="2"/>
        </w:numPr>
        <w:spacing w:after="200" w:line="276" w:lineRule="auto"/>
        <w:ind w:left="426"/>
        <w:jc w:val="both"/>
        <w:rPr>
          <w:rFonts w:ascii="Calibri Light" w:hAnsi="Calibri Light" w:cs="Calibri Light"/>
          <w:bCs/>
          <w:i/>
          <w:iCs/>
          <w:color w:val="0070C0"/>
        </w:rPr>
      </w:pPr>
      <w:r w:rsidRPr="00EF4AF6">
        <w:rPr>
          <w:rFonts w:ascii="Calibri Light" w:hAnsi="Calibri Light" w:cs="Calibri Light"/>
          <w:bCs/>
          <w:i/>
          <w:iCs/>
          <w:color w:val="0070C0"/>
        </w:rPr>
        <w:t>Ré</w:t>
      </w:r>
      <w:r w:rsidR="005C7AF2">
        <w:rPr>
          <w:rFonts w:ascii="Calibri Light" w:hAnsi="Calibri Light" w:cs="Calibri Light"/>
          <w:bCs/>
          <w:i/>
          <w:iCs/>
          <w:color w:val="0070C0"/>
        </w:rPr>
        <w:t xml:space="preserve">instaurer la communication </w:t>
      </w:r>
      <w:r w:rsidRPr="00EF4AF6">
        <w:rPr>
          <w:rFonts w:ascii="Calibri Light" w:hAnsi="Calibri Light" w:cs="Calibri Light"/>
          <w:bCs/>
          <w:i/>
          <w:iCs/>
          <w:color w:val="0070C0"/>
        </w:rPr>
        <w:t>standardisée des performances passées</w:t>
      </w:r>
      <w:r w:rsidR="008E0F28">
        <w:rPr>
          <w:rFonts w:ascii="Calibri Light" w:hAnsi="Calibri Light" w:cs="Calibri Light"/>
          <w:bCs/>
          <w:i/>
          <w:iCs/>
          <w:color w:val="0070C0"/>
        </w:rPr>
        <w:t>,</w:t>
      </w:r>
      <w:r w:rsidRPr="00EF4AF6">
        <w:rPr>
          <w:rFonts w:ascii="Calibri Light" w:hAnsi="Calibri Light" w:cs="Calibri Light"/>
          <w:bCs/>
          <w:i/>
          <w:iCs/>
          <w:color w:val="0070C0"/>
        </w:rPr>
        <w:t xml:space="preserve"> à long terme et relatives</w:t>
      </w:r>
      <w:r w:rsidR="008E0F28">
        <w:rPr>
          <w:rFonts w:ascii="Calibri Light" w:hAnsi="Calibri Light" w:cs="Calibri Light"/>
          <w:bCs/>
          <w:i/>
          <w:iCs/>
          <w:color w:val="0070C0"/>
        </w:rPr>
        <w:t>,</w:t>
      </w:r>
      <w:r w:rsidRPr="00EF4AF6">
        <w:rPr>
          <w:rFonts w:ascii="Calibri Light" w:hAnsi="Calibri Light" w:cs="Calibri Light"/>
          <w:bCs/>
          <w:i/>
          <w:iCs/>
          <w:color w:val="0070C0"/>
        </w:rPr>
        <w:t xml:space="preserve"> pour tous les produits d'épargne à long terme et d'épargne-retraite.</w:t>
      </w:r>
    </w:p>
    <w:p w14:paraId="190993EE" w14:textId="39F033AA" w:rsidR="00D94E74" w:rsidRPr="00EF4AF6" w:rsidRDefault="00EF4AF6">
      <w:pPr>
        <w:pStyle w:val="ListParagraph"/>
        <w:numPr>
          <w:ilvl w:val="0"/>
          <w:numId w:val="2"/>
        </w:numPr>
        <w:spacing w:after="200" w:line="276" w:lineRule="auto"/>
        <w:ind w:left="426"/>
        <w:jc w:val="both"/>
        <w:rPr>
          <w:rFonts w:ascii="Calibri Light" w:hAnsi="Calibri Light" w:cs="Calibri Light"/>
          <w:bCs/>
          <w:i/>
          <w:iCs/>
          <w:color w:val="0070C0"/>
        </w:rPr>
      </w:pPr>
      <w:r w:rsidRPr="00EF4AF6">
        <w:rPr>
          <w:rFonts w:ascii="Calibri Light" w:hAnsi="Calibri Light" w:cs="Calibri Light"/>
          <w:bCs/>
          <w:i/>
          <w:iCs/>
          <w:color w:val="0070C0"/>
        </w:rPr>
        <w:t>Accorder un traitement spécial</w:t>
      </w:r>
      <w:r w:rsidR="005C7AF2">
        <w:rPr>
          <w:rFonts w:ascii="Calibri Light" w:hAnsi="Calibri Light" w:cs="Calibri Light"/>
          <w:bCs/>
          <w:i/>
          <w:iCs/>
          <w:color w:val="0070C0"/>
        </w:rPr>
        <w:t xml:space="preserve"> pour toutes les obligations à long terme et tous engagements de retraite</w:t>
      </w:r>
      <w:r w:rsidR="004B1FAC">
        <w:rPr>
          <w:rFonts w:ascii="Calibri Light" w:hAnsi="Calibri Light" w:cs="Calibri Light"/>
          <w:bCs/>
          <w:i/>
          <w:iCs/>
          <w:color w:val="0070C0"/>
        </w:rPr>
        <w:t>,</w:t>
      </w:r>
      <w:r w:rsidR="005C7AF2">
        <w:rPr>
          <w:rFonts w:ascii="Calibri Light" w:hAnsi="Calibri Light" w:cs="Calibri Light"/>
          <w:bCs/>
          <w:i/>
          <w:iCs/>
          <w:color w:val="0070C0"/>
        </w:rPr>
        <w:t xml:space="preserve"> par le biais de règles prudentielles (éliminer le </w:t>
      </w:r>
      <w:r w:rsidRPr="00EF4AF6">
        <w:rPr>
          <w:rFonts w:ascii="Calibri Light" w:hAnsi="Calibri Light" w:cs="Calibri Light"/>
          <w:bCs/>
          <w:i/>
          <w:iCs/>
          <w:color w:val="0070C0"/>
        </w:rPr>
        <w:t>biais de la dette).</w:t>
      </w:r>
    </w:p>
    <w:p w14:paraId="190993EF" w14:textId="149B1DD9" w:rsidR="00D94E74" w:rsidRPr="00EF4AF6" w:rsidRDefault="00EF4AF6">
      <w:pPr>
        <w:pStyle w:val="ListParagraph"/>
        <w:numPr>
          <w:ilvl w:val="0"/>
          <w:numId w:val="2"/>
        </w:numPr>
        <w:spacing w:after="200" w:line="276" w:lineRule="auto"/>
        <w:ind w:left="426"/>
        <w:jc w:val="both"/>
        <w:rPr>
          <w:rFonts w:ascii="Calibri Light" w:hAnsi="Calibri Light" w:cs="Calibri Light"/>
          <w:bCs/>
          <w:i/>
          <w:iCs/>
          <w:color w:val="0070C0"/>
        </w:rPr>
      </w:pPr>
      <w:r w:rsidRPr="00EF4AF6">
        <w:rPr>
          <w:rFonts w:ascii="Calibri Light" w:hAnsi="Calibri Light" w:cs="Calibri Light"/>
          <w:bCs/>
          <w:i/>
          <w:iCs/>
          <w:color w:val="0070C0"/>
        </w:rPr>
        <w:t xml:space="preserve">Simplifier le </w:t>
      </w:r>
      <w:r w:rsidR="005C7AF2">
        <w:rPr>
          <w:rFonts w:ascii="Calibri Light" w:hAnsi="Calibri Light" w:cs="Calibri Light"/>
          <w:bCs/>
          <w:i/>
          <w:iCs/>
          <w:color w:val="0070C0"/>
        </w:rPr>
        <w:t>« </w:t>
      </w:r>
      <w:r w:rsidRPr="00EF4AF6">
        <w:rPr>
          <w:rFonts w:ascii="Calibri Light" w:hAnsi="Calibri Light" w:cs="Calibri Light"/>
          <w:bCs/>
          <w:i/>
          <w:iCs/>
          <w:color w:val="0070C0"/>
        </w:rPr>
        <w:t>PEPP de base</w:t>
      </w:r>
      <w:r w:rsidR="005C7AF2">
        <w:rPr>
          <w:rFonts w:ascii="Calibri Light" w:hAnsi="Calibri Light" w:cs="Calibri Light"/>
          <w:bCs/>
          <w:i/>
          <w:iCs/>
          <w:color w:val="0070C0"/>
        </w:rPr>
        <w:t> »</w:t>
      </w:r>
      <w:r w:rsidRPr="00EF4AF6">
        <w:rPr>
          <w:rFonts w:ascii="Calibri Light" w:hAnsi="Calibri Light" w:cs="Calibri Light"/>
          <w:bCs/>
          <w:i/>
          <w:iCs/>
          <w:color w:val="0070C0"/>
        </w:rPr>
        <w:t xml:space="preserve"> et</w:t>
      </w:r>
      <w:r w:rsidR="005C7AF2">
        <w:rPr>
          <w:rFonts w:ascii="Calibri Light" w:hAnsi="Calibri Light" w:cs="Calibri Light"/>
          <w:bCs/>
          <w:i/>
          <w:iCs/>
          <w:color w:val="0070C0"/>
        </w:rPr>
        <w:t xml:space="preserve"> autoriser les personnes qui épargnent par ce biais à investir directement sur les </w:t>
      </w:r>
      <w:r w:rsidRPr="00EF4AF6">
        <w:rPr>
          <w:rFonts w:ascii="Calibri Light" w:hAnsi="Calibri Light" w:cs="Calibri Light"/>
          <w:bCs/>
          <w:i/>
          <w:iCs/>
          <w:color w:val="0070C0"/>
        </w:rPr>
        <w:t xml:space="preserve">marchés de capitaux (actions </w:t>
      </w:r>
      <w:r w:rsidR="00B60D02">
        <w:rPr>
          <w:rFonts w:ascii="Calibri Light" w:hAnsi="Calibri Light" w:cs="Calibri Light"/>
          <w:bCs/>
          <w:i/>
          <w:iCs/>
          <w:color w:val="0070C0"/>
        </w:rPr>
        <w:t xml:space="preserve">classiques, FNB indiciels obligataires) </w:t>
      </w:r>
      <w:r w:rsidR="00AA567C">
        <w:rPr>
          <w:rFonts w:ascii="Calibri Light" w:hAnsi="Calibri Light" w:cs="Calibri Light"/>
          <w:bCs/>
          <w:i/>
          <w:iCs/>
          <w:color w:val="0070C0"/>
        </w:rPr>
        <w:t xml:space="preserve"> </w:t>
      </w:r>
    </w:p>
    <w:p w14:paraId="190993F0" w14:textId="420E9D4B" w:rsidR="00D94E74" w:rsidRPr="00EF4AF6" w:rsidRDefault="00EF4AF6">
      <w:pPr>
        <w:pStyle w:val="ListParagraph"/>
        <w:numPr>
          <w:ilvl w:val="0"/>
          <w:numId w:val="2"/>
        </w:numPr>
        <w:spacing w:after="200" w:line="276" w:lineRule="auto"/>
        <w:ind w:left="426"/>
        <w:jc w:val="both"/>
        <w:rPr>
          <w:rFonts w:ascii="Calibri Light" w:hAnsi="Calibri Light" w:cs="Calibri Light"/>
          <w:bCs/>
          <w:i/>
          <w:iCs/>
          <w:color w:val="0070C0"/>
        </w:rPr>
      </w:pPr>
      <w:r w:rsidRPr="00EF4AF6">
        <w:rPr>
          <w:rFonts w:ascii="Calibri Light" w:hAnsi="Calibri Light" w:cs="Calibri Light"/>
          <w:bCs/>
          <w:i/>
          <w:iCs/>
          <w:color w:val="0070C0"/>
        </w:rPr>
        <w:t xml:space="preserve">Imposer d'urgence des régimes de garantie </w:t>
      </w:r>
      <w:r w:rsidR="00B60D02">
        <w:rPr>
          <w:rFonts w:ascii="Calibri Light" w:hAnsi="Calibri Light" w:cs="Calibri Light"/>
          <w:bCs/>
          <w:i/>
          <w:iCs/>
          <w:color w:val="0070C0"/>
        </w:rPr>
        <w:t xml:space="preserve">des assurances </w:t>
      </w:r>
      <w:r w:rsidRPr="00EF4AF6">
        <w:rPr>
          <w:rFonts w:ascii="Calibri Light" w:hAnsi="Calibri Light" w:cs="Calibri Light"/>
          <w:bCs/>
          <w:i/>
          <w:iCs/>
          <w:color w:val="0070C0"/>
        </w:rPr>
        <w:t xml:space="preserve">harmonisés et complets dans toute l'UE, </w:t>
      </w:r>
      <w:r w:rsidR="00B60D02">
        <w:rPr>
          <w:rFonts w:ascii="Calibri Light" w:hAnsi="Calibri Light" w:cs="Calibri Light"/>
          <w:bCs/>
          <w:i/>
          <w:iCs/>
          <w:color w:val="0070C0"/>
        </w:rPr>
        <w:t>étant donné que la majorité des régimes de retraite</w:t>
      </w:r>
      <w:r w:rsidR="008E0F28">
        <w:rPr>
          <w:rFonts w:ascii="Calibri Light" w:hAnsi="Calibri Light" w:cs="Calibri Light"/>
          <w:bCs/>
          <w:i/>
          <w:iCs/>
          <w:color w:val="0070C0"/>
        </w:rPr>
        <w:t xml:space="preserve"> </w:t>
      </w:r>
      <w:r w:rsidR="00B60D02">
        <w:rPr>
          <w:rFonts w:ascii="Calibri Light" w:hAnsi="Calibri Light" w:cs="Calibri Light"/>
          <w:bCs/>
          <w:i/>
          <w:iCs/>
          <w:color w:val="0070C0"/>
        </w:rPr>
        <w:t>personnelle sont fondés sur l’assurance et réglementés par l’assurance.</w:t>
      </w:r>
      <w:r w:rsidR="00AA567C">
        <w:rPr>
          <w:rFonts w:ascii="Calibri Light" w:hAnsi="Calibri Light" w:cs="Calibri Light"/>
          <w:bCs/>
          <w:i/>
          <w:iCs/>
          <w:color w:val="0070C0"/>
        </w:rPr>
        <w:t xml:space="preserve"> </w:t>
      </w:r>
    </w:p>
    <w:p w14:paraId="190993F1" w14:textId="77777777" w:rsidR="00D94E74" w:rsidRPr="00EF4AF6" w:rsidRDefault="00D94E74">
      <w:pPr>
        <w:pStyle w:val="ListParagraph"/>
        <w:spacing w:line="276" w:lineRule="auto"/>
        <w:ind w:left="357"/>
        <w:jc w:val="both"/>
        <w:rPr>
          <w:rFonts w:ascii="Calibri Light" w:hAnsi="Calibri Light" w:cs="Calibri Light"/>
          <w:bCs/>
          <w:i/>
          <w:iCs/>
          <w:color w:val="0070C0"/>
        </w:rPr>
      </w:pPr>
    </w:p>
    <w:p w14:paraId="190993F2" w14:textId="77777777" w:rsidR="00D94E74" w:rsidRDefault="00EF4AF6">
      <w:pPr>
        <w:spacing w:after="0"/>
        <w:jc w:val="both"/>
        <w:rPr>
          <w:rFonts w:ascii="Calibri Light" w:hAnsi="Calibri Light" w:cs="Calibri Light"/>
          <w:color w:val="000000"/>
        </w:rPr>
      </w:pPr>
      <w:r>
        <w:rPr>
          <w:rFonts w:ascii="Calibri Light" w:hAnsi="Calibri Light" w:cs="Calibri Light"/>
          <w:color w:val="000000"/>
        </w:rPr>
        <w:t>Informations complémentaires :</w:t>
      </w:r>
    </w:p>
    <w:p w14:paraId="190993F3" w14:textId="77777777" w:rsidR="00D94E74" w:rsidRDefault="00D94E74">
      <w:pPr>
        <w:spacing w:after="0"/>
        <w:jc w:val="both"/>
        <w:rPr>
          <w:rFonts w:ascii="Calibri Light" w:hAnsi="Calibri Light" w:cs="Calibri Light"/>
          <w:color w:val="000000"/>
          <w:sz w:val="20"/>
          <w:szCs w:val="20"/>
        </w:rPr>
      </w:pPr>
    </w:p>
    <w:p w14:paraId="190993F4" w14:textId="70A5211C" w:rsidR="00D94E74" w:rsidRDefault="00EF4AF6">
      <w:pPr>
        <w:pStyle w:val="ListParagraph"/>
        <w:numPr>
          <w:ilvl w:val="0"/>
          <w:numId w:val="3"/>
        </w:numPr>
        <w:jc w:val="both"/>
      </w:pPr>
      <w:r w:rsidRPr="00EF4AF6">
        <w:rPr>
          <w:rFonts w:ascii="Calibri Light" w:hAnsi="Calibri Light" w:cs="Calibri Light"/>
          <w:color w:val="000000"/>
        </w:rPr>
        <w:t xml:space="preserve">Téléchargez le </w:t>
      </w:r>
      <w:hyperlink r:id="rId11" w:history="1">
        <w:r w:rsidRPr="00EF4AF6">
          <w:rPr>
            <w:rStyle w:val="Hyperlink"/>
            <w:rFonts w:ascii="Calibri Light" w:hAnsi="Calibri Light" w:cs="Calibri Light"/>
          </w:rPr>
          <w:t>rapport</w:t>
        </w:r>
        <w:r w:rsidR="00B60D02">
          <w:rPr>
            <w:rStyle w:val="Hyperlink"/>
            <w:rFonts w:ascii="Calibri Light" w:hAnsi="Calibri Light" w:cs="Calibri Light"/>
          </w:rPr>
          <w:t xml:space="preserve"> </w:t>
        </w:r>
        <w:r w:rsidRPr="00EF4AF6">
          <w:rPr>
            <w:rStyle w:val="Hyperlink"/>
            <w:rFonts w:ascii="Calibri Light" w:hAnsi="Calibri Light" w:cs="Calibri Light"/>
          </w:rPr>
          <w:t>complet</w:t>
        </w:r>
        <w:r w:rsidR="00B60D02">
          <w:rPr>
            <w:rStyle w:val="Hyperlink"/>
            <w:rFonts w:ascii="Calibri Light" w:hAnsi="Calibri Light" w:cs="Calibri Light"/>
          </w:rPr>
          <w:t xml:space="preserve"> </w:t>
        </w:r>
        <w:r w:rsidRPr="00EF4AF6">
          <w:rPr>
            <w:rStyle w:val="Hyperlink"/>
            <w:rFonts w:ascii="Calibri Light" w:hAnsi="Calibri Light" w:cs="Calibri Light"/>
          </w:rPr>
          <w:t xml:space="preserve">2020 </w:t>
        </w:r>
      </w:hyperlink>
      <w:r w:rsidRPr="00EF4AF6">
        <w:rPr>
          <w:rFonts w:ascii="Calibri Light" w:hAnsi="Calibri Light" w:cs="Calibri Light"/>
          <w:color w:val="000000"/>
        </w:rPr>
        <w:t xml:space="preserve">sur le site </w:t>
      </w:r>
      <w:r w:rsidR="008E0F28">
        <w:rPr>
          <w:rFonts w:ascii="Calibri Light" w:hAnsi="Calibri Light" w:cs="Calibri Light"/>
          <w:color w:val="000000"/>
        </w:rPr>
        <w:t xml:space="preserve">de </w:t>
      </w:r>
      <w:r w:rsidRPr="00EF4AF6">
        <w:rPr>
          <w:rFonts w:ascii="Calibri Light" w:hAnsi="Calibri Light" w:cs="Calibri Light"/>
          <w:color w:val="000000"/>
        </w:rPr>
        <w:t xml:space="preserve">BETTER FINANCE. </w:t>
      </w:r>
    </w:p>
    <w:p w14:paraId="190993F5" w14:textId="48F3CA9A" w:rsidR="00D94E74" w:rsidRDefault="00EF4AF6">
      <w:pPr>
        <w:pStyle w:val="ListParagraph"/>
        <w:numPr>
          <w:ilvl w:val="0"/>
          <w:numId w:val="3"/>
        </w:numPr>
        <w:jc w:val="both"/>
      </w:pPr>
      <w:r w:rsidRPr="00EF4AF6">
        <w:rPr>
          <w:rFonts w:ascii="Calibri Light" w:hAnsi="Calibri Light" w:cs="Calibri Light"/>
          <w:color w:val="000000"/>
        </w:rPr>
        <w:t>BETTER FINANCE a</w:t>
      </w:r>
      <w:r w:rsidR="00B60D02">
        <w:rPr>
          <w:rFonts w:ascii="Calibri Light" w:hAnsi="Calibri Light" w:cs="Calibri Light"/>
          <w:color w:val="000000"/>
        </w:rPr>
        <w:t xml:space="preserve"> publié une </w:t>
      </w:r>
      <w:r w:rsidRPr="00EF4AF6">
        <w:rPr>
          <w:rFonts w:ascii="Calibri Light" w:hAnsi="Calibri Light" w:cs="Calibri Light"/>
          <w:color w:val="000000"/>
        </w:rPr>
        <w:t xml:space="preserve">version simplifiée du rapport sur les </w:t>
      </w:r>
      <w:r w:rsidR="00B60D02">
        <w:rPr>
          <w:rFonts w:ascii="Calibri Light" w:hAnsi="Calibri Light" w:cs="Calibri Light"/>
          <w:color w:val="000000"/>
        </w:rPr>
        <w:t>retraites</w:t>
      </w:r>
      <w:r w:rsidRPr="00EF4AF6">
        <w:rPr>
          <w:rFonts w:ascii="Calibri Light" w:hAnsi="Calibri Light" w:cs="Calibri Light"/>
          <w:color w:val="000000"/>
        </w:rPr>
        <w:t xml:space="preserve"> (</w:t>
      </w:r>
      <w:hyperlink r:id="rId12" w:history="1">
        <w:r w:rsidR="00B60D02">
          <w:rPr>
            <w:rStyle w:val="Hyperlink"/>
            <w:rFonts w:ascii="Calibri Light" w:hAnsi="Calibri Light" w:cs="Calibri Light"/>
          </w:rPr>
          <w:t>b</w:t>
        </w:r>
        <w:r w:rsidRPr="00EF4AF6">
          <w:rPr>
            <w:rStyle w:val="Hyperlink"/>
            <w:rFonts w:ascii="Calibri Light" w:hAnsi="Calibri Light" w:cs="Calibri Light"/>
          </w:rPr>
          <w:t>rochure</w:t>
        </w:r>
      </w:hyperlink>
      <w:r w:rsidRPr="00EF4AF6">
        <w:rPr>
          <w:rFonts w:ascii="Calibri Light" w:hAnsi="Calibri Light" w:cs="Calibri Light"/>
          <w:color w:val="000000"/>
        </w:rPr>
        <w:t>)</w:t>
      </w:r>
    </w:p>
    <w:p w14:paraId="190993F6" w14:textId="3C995A35" w:rsidR="00D94E74" w:rsidRDefault="00EF4AF6">
      <w:pPr>
        <w:pStyle w:val="ListParagraph"/>
        <w:numPr>
          <w:ilvl w:val="0"/>
          <w:numId w:val="3"/>
        </w:numPr>
        <w:spacing w:after="120"/>
        <w:jc w:val="both"/>
      </w:pPr>
      <w:r w:rsidRPr="00EF4AF6">
        <w:rPr>
          <w:rFonts w:ascii="Calibri Light" w:hAnsi="Calibri Light" w:cs="Calibri Light"/>
          <w:color w:val="000000"/>
        </w:rPr>
        <w:t>BETTER FINANCE a numérisé les performances nettes</w:t>
      </w:r>
      <w:r w:rsidR="00B60D02">
        <w:rPr>
          <w:rFonts w:ascii="Calibri Light" w:hAnsi="Calibri Light" w:cs="Calibri Light"/>
          <w:color w:val="000000"/>
        </w:rPr>
        <w:t xml:space="preserve">, en termes nominaux et réels, de tous les produits de retraite couverts par le rapport. </w:t>
      </w:r>
      <w:r w:rsidR="007453FE">
        <w:rPr>
          <w:rFonts w:ascii="Calibri Light" w:hAnsi="Calibri Light" w:cs="Calibri Light"/>
          <w:color w:val="000000"/>
        </w:rPr>
        <w:t>Vous les trouverez sur une</w:t>
      </w:r>
      <w:r w:rsidR="00AA567C">
        <w:rPr>
          <w:rFonts w:ascii="Calibri Light" w:hAnsi="Calibri Light" w:cs="Calibri Light"/>
          <w:color w:val="000000"/>
        </w:rPr>
        <w:t xml:space="preserve"> </w:t>
      </w:r>
      <w:hyperlink r:id="rId13" w:history="1">
        <w:r w:rsidRPr="00EF4AF6">
          <w:rPr>
            <w:rStyle w:val="Hyperlink"/>
            <w:rFonts w:ascii="Calibri Light" w:hAnsi="Calibri Light" w:cs="Calibri Light"/>
          </w:rPr>
          <w:t>interface</w:t>
        </w:r>
        <w:r w:rsidR="007453FE">
          <w:rPr>
            <w:rStyle w:val="Hyperlink"/>
            <w:rFonts w:ascii="Calibri Light" w:hAnsi="Calibri Light" w:cs="Calibri Light"/>
          </w:rPr>
          <w:t xml:space="preserve"> </w:t>
        </w:r>
        <w:r w:rsidRPr="00EF4AF6">
          <w:rPr>
            <w:rStyle w:val="Hyperlink"/>
            <w:rFonts w:ascii="Calibri Light" w:hAnsi="Calibri Light" w:cs="Calibri Light"/>
          </w:rPr>
          <w:t>en ligne</w:t>
        </w:r>
        <w:r w:rsidR="007453FE">
          <w:rPr>
            <w:rStyle w:val="Hyperlink"/>
            <w:rFonts w:ascii="Calibri Light" w:hAnsi="Calibri Light" w:cs="Calibri Light"/>
          </w:rPr>
          <w:t xml:space="preserve"> </w:t>
        </w:r>
        <w:r w:rsidRPr="00EF4AF6">
          <w:rPr>
            <w:rStyle w:val="Hyperlink"/>
            <w:rFonts w:ascii="Calibri Light" w:hAnsi="Calibri Light" w:cs="Calibri Light"/>
          </w:rPr>
          <w:t>conviviale</w:t>
        </w:r>
      </w:hyperlink>
      <w:r w:rsidRPr="00EF4AF6">
        <w:rPr>
          <w:rFonts w:ascii="Calibri Light" w:hAnsi="Calibri Light" w:cs="Calibri Light"/>
          <w:color w:val="000000"/>
        </w:rPr>
        <w:t xml:space="preserve">. </w:t>
      </w:r>
    </w:p>
    <w:p w14:paraId="190993F7" w14:textId="77777777" w:rsidR="00D94E74" w:rsidRPr="00EF4AF6" w:rsidRDefault="00D94E74">
      <w:pPr>
        <w:spacing w:after="120" w:line="240" w:lineRule="auto"/>
        <w:jc w:val="center"/>
        <w:rPr>
          <w:rFonts w:ascii="Calibri Light" w:hAnsi="Calibri Light" w:cs="Calibri Light"/>
          <w:lang w:val="fr-BE"/>
        </w:rPr>
      </w:pPr>
    </w:p>
    <w:p w14:paraId="190993F8" w14:textId="77777777" w:rsidR="00D94E74" w:rsidRPr="00EF4AF6" w:rsidRDefault="00EF4AF6">
      <w:pPr>
        <w:spacing w:after="120" w:line="240" w:lineRule="auto"/>
        <w:jc w:val="center"/>
        <w:rPr>
          <w:rFonts w:ascii="Calibri Light" w:hAnsi="Calibri Light" w:cs="Calibri Light"/>
          <w:lang w:val="fr-BE"/>
        </w:rPr>
      </w:pPr>
      <w:r w:rsidRPr="00EF4AF6">
        <w:rPr>
          <w:rFonts w:ascii="Calibri Light" w:hAnsi="Calibri Light" w:cs="Calibri Light"/>
          <w:lang w:val="fr-BE"/>
        </w:rPr>
        <w:t>***</w:t>
      </w:r>
    </w:p>
    <w:p w14:paraId="190993F9" w14:textId="77777777" w:rsidR="00D94E74" w:rsidRPr="00EF4AF6" w:rsidRDefault="00EF4AF6">
      <w:pPr>
        <w:pStyle w:val="BodyText"/>
        <w:spacing w:after="0" w:line="240" w:lineRule="auto"/>
        <w:jc w:val="center"/>
        <w:rPr>
          <w:lang w:val="fr-BE"/>
        </w:rPr>
      </w:pPr>
      <w:r w:rsidRPr="00EF4AF6">
        <w:rPr>
          <w:rFonts w:ascii="Calibri Light" w:hAnsi="Calibri Light" w:cs="Calibri Light"/>
          <w:sz w:val="18"/>
          <w:szCs w:val="18"/>
          <w:u w:val="single"/>
          <w:lang w:val="fr-BE"/>
        </w:rPr>
        <w:t xml:space="preserve">Contact </w:t>
      </w:r>
      <w:r w:rsidRPr="00EF4AF6">
        <w:rPr>
          <w:rFonts w:ascii="Calibri Light" w:hAnsi="Calibri Light" w:cs="Calibri Light"/>
          <w:sz w:val="18"/>
          <w:szCs w:val="18"/>
          <w:lang w:val="fr-BE"/>
        </w:rPr>
        <w:t xml:space="preserve">: Directeur de la communication ǀ Arnaud Houdmont ǀ +32 (0)2 514 37 77 ǀ </w:t>
      </w:r>
      <w:hyperlink r:id="rId14" w:history="1">
        <w:r w:rsidRPr="00EF4AF6">
          <w:rPr>
            <w:rStyle w:val="Hyperlink"/>
            <w:rFonts w:ascii="Calibri Light" w:hAnsi="Calibri Light" w:cs="Calibri Light"/>
            <w:sz w:val="18"/>
            <w:szCs w:val="18"/>
            <w:lang w:val="fr-BE"/>
          </w:rPr>
          <w:t>houdmont@betterfinance.eu</w:t>
        </w:r>
      </w:hyperlink>
    </w:p>
    <w:p w14:paraId="190993FA" w14:textId="77777777" w:rsidR="00D94E74" w:rsidRPr="00EF4AF6" w:rsidRDefault="00D94E74">
      <w:pPr>
        <w:pStyle w:val="BodyText"/>
        <w:spacing w:after="0" w:line="240" w:lineRule="auto"/>
        <w:jc w:val="center"/>
        <w:rPr>
          <w:lang w:val="fr-BE"/>
        </w:rPr>
      </w:pPr>
    </w:p>
    <w:p w14:paraId="190993FB" w14:textId="77777777" w:rsidR="00D94E74" w:rsidRPr="00EF4AF6" w:rsidRDefault="00D94E74">
      <w:pPr>
        <w:pStyle w:val="BodyText"/>
        <w:spacing w:after="0" w:line="240" w:lineRule="auto"/>
        <w:jc w:val="center"/>
        <w:rPr>
          <w:lang w:val="fr-BE"/>
        </w:rPr>
      </w:pPr>
    </w:p>
    <w:p w14:paraId="190993FC" w14:textId="77777777" w:rsidR="00D94E74" w:rsidRPr="00EF4AF6" w:rsidRDefault="00D94E74">
      <w:pPr>
        <w:pStyle w:val="Heading2"/>
        <w:jc w:val="both"/>
        <w:rPr>
          <w:rFonts w:eastAsia="Calibri"/>
          <w:b/>
          <w:color w:val="365F91"/>
          <w:spacing w:val="20"/>
          <w:kern w:val="3"/>
          <w:sz w:val="28"/>
          <w:szCs w:val="28"/>
          <w:u w:val="single"/>
          <w:lang w:val="fr-BE"/>
        </w:rPr>
      </w:pPr>
    </w:p>
    <w:p w14:paraId="190993FD" w14:textId="20AC4DBF" w:rsidR="00D94E74" w:rsidRPr="00EF4AF6" w:rsidRDefault="00EF4AF6">
      <w:pPr>
        <w:pStyle w:val="Heading2"/>
        <w:jc w:val="both"/>
        <w:rPr>
          <w:lang w:val="fr-BE"/>
        </w:rPr>
      </w:pPr>
      <w:r w:rsidRPr="00EF4AF6">
        <w:rPr>
          <w:rFonts w:eastAsia="Calibri"/>
          <w:b/>
          <w:color w:val="365F91"/>
          <w:spacing w:val="20"/>
          <w:kern w:val="3"/>
          <w:sz w:val="28"/>
          <w:szCs w:val="28"/>
          <w:u w:val="single"/>
          <w:lang w:val="fr-BE"/>
        </w:rPr>
        <w:t xml:space="preserve">Annexe </w:t>
      </w:r>
      <w:r w:rsidRPr="00EF4AF6">
        <w:rPr>
          <w:rFonts w:eastAsia="Calibri"/>
          <w:b/>
          <w:color w:val="365F91"/>
          <w:spacing w:val="20"/>
          <w:kern w:val="3"/>
          <w:sz w:val="28"/>
          <w:szCs w:val="28"/>
          <w:lang w:val="fr-BE"/>
        </w:rPr>
        <w:t>: Rendements nets réels annualisés de l'épargne</w:t>
      </w:r>
      <w:r w:rsidR="007453FE">
        <w:rPr>
          <w:rFonts w:eastAsia="Calibri"/>
          <w:b/>
          <w:color w:val="365F91"/>
          <w:spacing w:val="20"/>
          <w:kern w:val="3"/>
          <w:sz w:val="28"/>
          <w:szCs w:val="28"/>
          <w:lang w:val="fr-BE"/>
        </w:rPr>
        <w:t xml:space="preserve">-retraite </w:t>
      </w:r>
      <w:r w:rsidR="008E0F28">
        <w:rPr>
          <w:rFonts w:eastAsia="Calibri"/>
          <w:b/>
          <w:color w:val="365F91"/>
          <w:spacing w:val="20"/>
          <w:kern w:val="3"/>
          <w:sz w:val="28"/>
          <w:szCs w:val="28"/>
          <w:lang w:val="fr-BE"/>
        </w:rPr>
        <w:t>–</w:t>
      </w:r>
      <w:r w:rsidRPr="00EF4AF6">
        <w:rPr>
          <w:rFonts w:eastAsia="Calibri"/>
          <w:b/>
          <w:color w:val="365F91"/>
          <w:spacing w:val="20"/>
          <w:kern w:val="3"/>
          <w:sz w:val="28"/>
          <w:szCs w:val="28"/>
          <w:lang w:val="fr-BE"/>
        </w:rPr>
        <w:t xml:space="preserve"> </w:t>
      </w:r>
      <w:r w:rsidRPr="00EF4AF6">
        <w:rPr>
          <w:rFonts w:eastAsia="Calibri"/>
          <w:b/>
          <w:color w:val="365F91"/>
          <w:spacing w:val="20"/>
          <w:kern w:val="3"/>
          <w:sz w:val="28"/>
          <w:szCs w:val="28"/>
          <w:u w:val="single"/>
          <w:lang w:val="fr-BE"/>
        </w:rPr>
        <w:t>Voir page suivante</w:t>
      </w:r>
    </w:p>
    <w:p w14:paraId="190993FE" w14:textId="77777777" w:rsidR="00D94E74" w:rsidRPr="00EF4AF6" w:rsidRDefault="00D94E74">
      <w:pPr>
        <w:rPr>
          <w:lang w:val="fr-BE"/>
        </w:rPr>
      </w:pPr>
    </w:p>
    <w:p w14:paraId="190993FF" w14:textId="77777777" w:rsidR="00D94E74" w:rsidRPr="00EF4AF6" w:rsidRDefault="00EF4AF6">
      <w:pPr>
        <w:rPr>
          <w:lang w:val="fr-BE"/>
        </w:rPr>
        <w:sectPr w:rsidR="00D94E74" w:rsidRPr="00EF4AF6">
          <w:headerReference w:type="default" r:id="rId15"/>
          <w:footerReference w:type="default" r:id="rId16"/>
          <w:pgSz w:w="11906" w:h="16838"/>
          <w:pgMar w:top="1417" w:right="1417" w:bottom="1417" w:left="1417" w:header="708" w:footer="708" w:gutter="0"/>
          <w:cols w:space="720"/>
        </w:sectPr>
      </w:pPr>
      <w:r>
        <w:rPr>
          <w:noProof/>
        </w:rPr>
        <mc:AlternateContent>
          <mc:Choice Requires="wps">
            <w:drawing>
              <wp:anchor distT="0" distB="0" distL="114300" distR="114300" simplePos="0" relativeHeight="251657728" behindDoc="0" locked="0" layoutInCell="1" allowOverlap="1" wp14:anchorId="190993E4" wp14:editId="190993E5">
                <wp:simplePos x="0" y="0"/>
                <wp:positionH relativeFrom="column">
                  <wp:posOffset>490859</wp:posOffset>
                </wp:positionH>
                <wp:positionV relativeFrom="paragraph">
                  <wp:posOffset>5715</wp:posOffset>
                </wp:positionV>
                <wp:extent cx="190496" cy="333371"/>
                <wp:effectExtent l="19050" t="0" r="19054" b="28579"/>
                <wp:wrapNone/>
                <wp:docPr id="6" name="Arrow: Down 5"/>
                <wp:cNvGraphicFramePr/>
                <a:graphic xmlns:a="http://schemas.openxmlformats.org/drawingml/2006/main">
                  <a:graphicData uri="http://schemas.microsoft.com/office/word/2010/wordprocessingShape">
                    <wps:wsp>
                      <wps:cNvSpPr/>
                      <wps:spPr>
                        <a:xfrm>
                          <a:off x="0" y="0"/>
                          <a:ext cx="190496" cy="333371"/>
                        </a:xfrm>
                        <a:custGeom>
                          <a:avLst>
                            <a:gd name="f0" fmla="val 1542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51402B8D" id="Arrow: Down 5" o:spid="_x0000_s1026" style="position:absolute;margin-left:38.65pt;margin-top:.45pt;width:15pt;height:26.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" path="m5400,r,15429l,15429r10800,6171l21600,15429r-5400,l16200,,5400,xe" fillcolor="#4472c4" strokecolor="#2f528f" strokeweight=".35281mm">
                <v:stroke joinstyle="miter"/>
                <v:path arrowok="t" o:connecttype="custom" o:connectlocs="95248,0;190496,166686;95248,333371;0,166686;0,238129;190496,238129" o:connectangles="270,0,90,180,180,0" textboxrect="5400,0,16200,18515"/>
              </v:shape>
            </w:pict>
          </mc:Fallback>
        </mc:AlternateContent>
      </w:r>
      <w:r>
        <w:rPr>
          <w:noProof/>
        </w:rPr>
        <mc:AlternateContent>
          <mc:Choice Requires="wps">
            <w:drawing>
              <wp:anchor distT="0" distB="0" distL="114300" distR="114300" simplePos="0" relativeHeight="251656704" behindDoc="0" locked="0" layoutInCell="1" allowOverlap="1" wp14:anchorId="190993E6" wp14:editId="190993E7">
                <wp:simplePos x="0" y="0"/>
                <wp:positionH relativeFrom="column">
                  <wp:posOffset>5053331</wp:posOffset>
                </wp:positionH>
                <wp:positionV relativeFrom="paragraph">
                  <wp:posOffset>5715</wp:posOffset>
                </wp:positionV>
                <wp:extent cx="190496" cy="333371"/>
                <wp:effectExtent l="19050" t="0" r="19054" b="28579"/>
                <wp:wrapNone/>
                <wp:docPr id="7" name="Arrow: Down 4"/>
                <wp:cNvGraphicFramePr/>
                <a:graphic xmlns:a="http://schemas.openxmlformats.org/drawingml/2006/main">
                  <a:graphicData uri="http://schemas.microsoft.com/office/word/2010/wordprocessingShape">
                    <wps:wsp>
                      <wps:cNvSpPr/>
                      <wps:spPr>
                        <a:xfrm>
                          <a:off x="0" y="0"/>
                          <a:ext cx="190496" cy="333371"/>
                        </a:xfrm>
                        <a:custGeom>
                          <a:avLst>
                            <a:gd name="f0" fmla="val 1542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4472C4"/>
                        </a:solidFill>
                        <a:ln w="12701" cap="flat">
                          <a:solidFill>
                            <a:srgbClr val="2F528F"/>
                          </a:solidFill>
                          <a:prstDash val="solid"/>
                          <a:miter/>
                        </a:ln>
                      </wps:spPr>
                      <wps:bodyPr lIns="0" tIns="0" rIns="0" bIns="0"/>
                    </wps:wsp>
                  </a:graphicData>
                </a:graphic>
              </wp:anchor>
            </w:drawing>
          </mc:Choice>
          <mc:Fallback>
            <w:pict>
              <v:shape w14:anchorId="277FB080" id="Arrow: Down 4" o:spid="_x0000_s1026" style="position:absolute;margin-left:397.9pt;margin-top:.45pt;width:15pt;height:26.2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" path="m5400,r,15429l,15429r10800,6171l21600,15429r-5400,l16200,,5400,xe" fillcolor="#4472c4" strokecolor="#2f528f" strokeweight=".35281mm">
                <v:stroke joinstyle="miter"/>
                <v:path arrowok="t" o:connecttype="custom" o:connectlocs="95248,0;190496,166686;95248,333371;0,166686;0,238129;190496,238129" o:connectangles="270,0,90,180,180,0" textboxrect="5400,0,16200,18515"/>
              </v:shape>
            </w:pict>
          </mc:Fallback>
        </mc:AlternateContent>
      </w:r>
    </w:p>
    <w:p w14:paraId="19099400" w14:textId="77777777" w:rsidR="00D94E74" w:rsidRPr="00EF4AF6" w:rsidRDefault="00D94E74">
      <w:pPr>
        <w:rPr>
          <w:lang w:val="fr-BE"/>
        </w:rPr>
      </w:pPr>
    </w:p>
    <w:sectPr w:rsidR="00D94E74" w:rsidRPr="00EF4AF6">
      <w:headerReference w:type="default" r:id="rId17"/>
      <w:footerReference w:type="defaul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993EC" w14:textId="77777777" w:rsidR="00481232" w:rsidRDefault="00EF4AF6">
      <w:pPr>
        <w:spacing w:after="0" w:line="240" w:lineRule="auto"/>
      </w:pPr>
      <w:r>
        <w:separator/>
      </w:r>
    </w:p>
  </w:endnote>
  <w:endnote w:type="continuationSeparator" w:id="0">
    <w:p w14:paraId="190993EE" w14:textId="77777777" w:rsidR="00481232" w:rsidRDefault="00EF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93F4" w14:textId="072DE397" w:rsidR="00CC349A" w:rsidRPr="00EF4AF6" w:rsidRDefault="00EF4AF6">
    <w:pPr>
      <w:spacing w:before="120" w:after="0" w:line="240" w:lineRule="auto"/>
      <w:ind w:left="-567"/>
      <w:jc w:val="center"/>
      <w:rPr>
        <w:b/>
        <w:color w:val="006FB4"/>
        <w:sz w:val="16"/>
        <w:szCs w:val="16"/>
        <w:lang w:val="fr-BE"/>
      </w:rPr>
    </w:pPr>
    <w:r w:rsidRPr="00EF4AF6">
      <w:rPr>
        <w:b/>
        <w:color w:val="006FB4"/>
        <w:sz w:val="16"/>
        <w:szCs w:val="16"/>
        <w:lang w:val="fr-BE"/>
      </w:rPr>
      <w:t xml:space="preserve">Fédération </w:t>
    </w:r>
    <w:r w:rsidR="00B96FC5">
      <w:rPr>
        <w:b/>
        <w:color w:val="006FB4"/>
        <w:sz w:val="16"/>
        <w:szCs w:val="16"/>
        <w:lang w:val="fr-BE"/>
      </w:rPr>
      <w:t>E</w:t>
    </w:r>
    <w:r w:rsidRPr="00EF4AF6">
      <w:rPr>
        <w:b/>
        <w:color w:val="006FB4"/>
        <w:sz w:val="16"/>
        <w:szCs w:val="16"/>
        <w:lang w:val="fr-BE"/>
      </w:rPr>
      <w:t xml:space="preserve">uropéenne des </w:t>
    </w:r>
    <w:r w:rsidR="00B96FC5">
      <w:rPr>
        <w:b/>
        <w:color w:val="006FB4"/>
        <w:sz w:val="16"/>
        <w:szCs w:val="16"/>
        <w:lang w:val="fr-BE"/>
      </w:rPr>
      <w:t>I</w:t>
    </w:r>
    <w:r w:rsidRPr="00EF4AF6">
      <w:rPr>
        <w:b/>
        <w:color w:val="006FB4"/>
        <w:sz w:val="16"/>
        <w:szCs w:val="16"/>
        <w:lang w:val="fr-BE"/>
      </w:rPr>
      <w:t xml:space="preserve">nvestisseurs et </w:t>
    </w:r>
    <w:r w:rsidR="00B96FC5">
      <w:rPr>
        <w:b/>
        <w:color w:val="006FB4"/>
        <w:sz w:val="16"/>
        <w:szCs w:val="16"/>
        <w:lang w:val="fr-BE"/>
      </w:rPr>
      <w:t>Usagers de</w:t>
    </w:r>
    <w:r w:rsidR="00160D24">
      <w:rPr>
        <w:b/>
        <w:color w:val="006FB4"/>
        <w:sz w:val="16"/>
        <w:szCs w:val="16"/>
        <w:lang w:val="fr-BE"/>
      </w:rPr>
      <w:t xml:space="preserve">s </w:t>
    </w:r>
    <w:r w:rsidR="00B96FC5">
      <w:rPr>
        <w:b/>
        <w:color w:val="006FB4"/>
        <w:sz w:val="16"/>
        <w:szCs w:val="16"/>
        <w:lang w:val="fr-BE"/>
      </w:rPr>
      <w:t>S</w:t>
    </w:r>
    <w:r w:rsidRPr="00EF4AF6">
      <w:rPr>
        <w:b/>
        <w:color w:val="006FB4"/>
        <w:sz w:val="16"/>
        <w:szCs w:val="16"/>
        <w:lang w:val="fr-BE"/>
      </w:rPr>
      <w:t xml:space="preserve">ervices </w:t>
    </w:r>
    <w:r w:rsidR="00B96FC5">
      <w:rPr>
        <w:b/>
        <w:color w:val="006FB4"/>
        <w:sz w:val="16"/>
        <w:szCs w:val="16"/>
        <w:lang w:val="fr-BE"/>
      </w:rPr>
      <w:t>Fi</w:t>
    </w:r>
    <w:r w:rsidRPr="00EF4AF6">
      <w:rPr>
        <w:b/>
        <w:color w:val="006FB4"/>
        <w:sz w:val="16"/>
        <w:szCs w:val="16"/>
        <w:lang w:val="fr-BE"/>
      </w:rPr>
      <w:t>nanciers</w:t>
    </w:r>
  </w:p>
  <w:p w14:paraId="190993F5" w14:textId="77777777" w:rsidR="00CC349A" w:rsidRDefault="00EF4AF6">
    <w:pPr>
      <w:spacing w:after="0" w:line="240" w:lineRule="auto"/>
      <w:ind w:left="-567"/>
      <w:jc w:val="center"/>
      <w:rPr>
        <w:color w:val="006FB4"/>
        <w:sz w:val="16"/>
        <w:szCs w:val="16"/>
        <w:lang w:val="de-DE"/>
      </w:rPr>
    </w:pPr>
    <w:r>
      <w:rPr>
        <w:color w:val="006FB4"/>
        <w:sz w:val="16"/>
        <w:szCs w:val="16"/>
        <w:lang w:val="de-DE"/>
      </w:rPr>
      <w:t>44, Rue d'Arenberg, 1000 Bruxelles - Belgique</w:t>
    </w:r>
  </w:p>
  <w:p w14:paraId="190993F6" w14:textId="77777777" w:rsidR="00CC349A" w:rsidRDefault="00EF4AF6">
    <w:pPr>
      <w:spacing w:after="0" w:line="240" w:lineRule="auto"/>
      <w:ind w:left="-567"/>
      <w:jc w:val="center"/>
    </w:pPr>
    <w:r>
      <w:rPr>
        <w:color w:val="006FB4"/>
        <w:sz w:val="16"/>
        <w:szCs w:val="16"/>
        <w:lang w:val="de-DE"/>
      </w:rPr>
      <w:t xml:space="preserve">Tél. (+32) 02 514 37 77 - Fax. </w:t>
    </w:r>
    <w:r>
      <w:rPr>
        <w:color w:val="006FB4"/>
        <w:sz w:val="16"/>
        <w:szCs w:val="16"/>
        <w:lang w:val="pt-PT"/>
      </w:rPr>
      <w:t>(+32) 02 514 36 66</w:t>
    </w:r>
  </w:p>
  <w:p w14:paraId="190993F7" w14:textId="77777777" w:rsidR="00CC349A" w:rsidRDefault="00EF4AF6">
    <w:pPr>
      <w:spacing w:after="0" w:line="240" w:lineRule="auto"/>
      <w:ind w:left="-567"/>
      <w:jc w:val="center"/>
    </w:pPr>
    <w:r>
      <w:rPr>
        <w:color w:val="006FB4"/>
        <w:sz w:val="16"/>
        <w:szCs w:val="16"/>
        <w:lang w:val="pt-PT"/>
      </w:rPr>
      <w:t xml:space="preserve">E-mail : info@betterfinance.eu - </w:t>
    </w:r>
    <w:hyperlink r:id="rId1" w:history="1">
      <w:r>
        <w:rPr>
          <w:color w:val="006FB4"/>
          <w:sz w:val="16"/>
          <w:szCs w:val="16"/>
          <w:u w:val="single"/>
          <w:lang w:val="it-IT"/>
        </w:rPr>
        <w:t xml:space="preserve">http://www.betterfinance.eu </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93FD" w14:textId="77777777" w:rsidR="00CC349A" w:rsidRPr="00EF4AF6" w:rsidRDefault="00EF4AF6">
    <w:pPr>
      <w:spacing w:before="120" w:after="0" w:line="240" w:lineRule="auto"/>
      <w:ind w:left="-567"/>
      <w:jc w:val="center"/>
      <w:rPr>
        <w:b/>
        <w:color w:val="006FB4"/>
        <w:sz w:val="16"/>
        <w:szCs w:val="16"/>
        <w:lang w:val="fr-BE"/>
      </w:rPr>
    </w:pPr>
    <w:r w:rsidRPr="00EF4AF6">
      <w:rPr>
        <w:b/>
        <w:color w:val="006FB4"/>
        <w:sz w:val="16"/>
        <w:szCs w:val="16"/>
        <w:lang w:val="fr-BE"/>
      </w:rPr>
      <w:t>La Fédération européenne des investisseurs et des utilisateurs de services financiers</w:t>
    </w:r>
  </w:p>
  <w:p w14:paraId="190993FE" w14:textId="77777777" w:rsidR="00CC349A" w:rsidRDefault="00EF4AF6">
    <w:pPr>
      <w:spacing w:after="0" w:line="240" w:lineRule="auto"/>
      <w:ind w:left="-567"/>
      <w:jc w:val="center"/>
      <w:rPr>
        <w:color w:val="006FB4"/>
        <w:sz w:val="16"/>
        <w:szCs w:val="16"/>
        <w:lang w:val="de-DE"/>
      </w:rPr>
    </w:pPr>
    <w:r>
      <w:rPr>
        <w:color w:val="006FB4"/>
        <w:sz w:val="16"/>
        <w:szCs w:val="16"/>
        <w:lang w:val="de-DE"/>
      </w:rPr>
      <w:t>44, Rue d'Arenberg, 1000 Bruxelles - Belgique</w:t>
    </w:r>
  </w:p>
  <w:p w14:paraId="190993FF" w14:textId="77777777" w:rsidR="00CC349A" w:rsidRDefault="00EF4AF6">
    <w:pPr>
      <w:spacing w:after="0" w:line="240" w:lineRule="auto"/>
      <w:ind w:left="-567"/>
      <w:jc w:val="center"/>
    </w:pPr>
    <w:r>
      <w:rPr>
        <w:color w:val="006FB4"/>
        <w:sz w:val="16"/>
        <w:szCs w:val="16"/>
        <w:lang w:val="de-DE"/>
      </w:rPr>
      <w:t xml:space="preserve">Tél. (+32) 02 514 37 77 - Fax. </w:t>
    </w:r>
    <w:r>
      <w:rPr>
        <w:color w:val="006FB4"/>
        <w:sz w:val="16"/>
        <w:szCs w:val="16"/>
        <w:lang w:val="pt-PT"/>
      </w:rPr>
      <w:t>(+32) 02 514 36 66</w:t>
    </w:r>
  </w:p>
  <w:p w14:paraId="19099400" w14:textId="77777777" w:rsidR="00CC349A" w:rsidRDefault="00EF4AF6">
    <w:pPr>
      <w:spacing w:after="0" w:line="240" w:lineRule="auto"/>
      <w:ind w:left="-567"/>
      <w:jc w:val="center"/>
    </w:pPr>
    <w:r>
      <w:rPr>
        <w:color w:val="006FB4"/>
        <w:sz w:val="16"/>
        <w:szCs w:val="16"/>
        <w:lang w:val="pt-PT"/>
      </w:rPr>
      <w:t xml:space="preserve">E-mail : info@betterfinance.eu - </w:t>
    </w:r>
    <w:bookmarkStart w:id="0" w:name="_Hlk944867"/>
    <w:r>
      <w:fldChar w:fldCharType="begin"/>
    </w:r>
    <w:r>
      <w:instrText xml:space="preserve"> HYPERLINK  "http://www.eurofinuse.org" </w:instrText>
    </w:r>
    <w:r>
      <w:fldChar w:fldCharType="separate"/>
    </w:r>
    <w:r>
      <w:rPr>
        <w:color w:val="006FB4"/>
        <w:sz w:val="16"/>
        <w:szCs w:val="16"/>
        <w:u w:val="single"/>
        <w:lang w:val="it-IT"/>
      </w:rPr>
      <w:t xml:space="preserve">http://www.betterfinance.eu </w:t>
    </w:r>
    <w:r>
      <w:rPr>
        <w:color w:val="006FB4"/>
        <w:sz w:val="16"/>
        <w:szCs w:val="16"/>
        <w:u w:val="single"/>
        <w:lang w:val="it-IT"/>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93E8" w14:textId="77777777" w:rsidR="00481232" w:rsidRDefault="00EF4AF6">
      <w:pPr>
        <w:spacing w:after="0" w:line="240" w:lineRule="auto"/>
      </w:pPr>
      <w:r>
        <w:rPr>
          <w:color w:val="000000"/>
        </w:rPr>
        <w:separator/>
      </w:r>
    </w:p>
  </w:footnote>
  <w:footnote w:type="continuationSeparator" w:id="0">
    <w:p w14:paraId="190993EA" w14:textId="77777777" w:rsidR="00481232" w:rsidRDefault="00EF4AF6">
      <w:pPr>
        <w:spacing w:after="0" w:line="240" w:lineRule="auto"/>
      </w:pPr>
      <w:r>
        <w:continuationSeparator/>
      </w:r>
    </w:p>
  </w:footnote>
  <w:footnote w:id="1">
    <w:p w14:paraId="190993EC" w14:textId="77777777" w:rsidR="00D94E74" w:rsidRPr="00EF4AF6" w:rsidRDefault="00EF4AF6">
      <w:pPr>
        <w:pStyle w:val="FootnoteText"/>
        <w:rPr>
          <w:lang w:val="fr-BE"/>
        </w:rPr>
      </w:pPr>
      <w:r>
        <w:rPr>
          <w:rStyle w:val="FootnoteReference"/>
        </w:rPr>
        <w:footnoteRef/>
      </w:r>
      <w:r w:rsidRPr="00EF4AF6">
        <w:rPr>
          <w:rFonts w:ascii="Calibri Light" w:hAnsi="Calibri Light" w:cs="Calibri Light"/>
          <w:lang w:val="fr-BE"/>
        </w:rPr>
        <w:t xml:space="preserve"> NB : Lorsque des données suffisantes sont disponibles.</w:t>
      </w:r>
    </w:p>
  </w:footnote>
  <w:footnote w:id="2">
    <w:p w14:paraId="190993ED" w14:textId="1A34E9B3" w:rsidR="00D94E74" w:rsidRPr="00CD07C5" w:rsidRDefault="00EF4AF6">
      <w:pPr>
        <w:pStyle w:val="FootnoteText"/>
        <w:rPr>
          <w:rFonts w:ascii="Calibri Light" w:hAnsi="Calibri Light" w:cs="Calibri Light"/>
          <w:lang w:val="fr-BE"/>
        </w:rPr>
      </w:pPr>
      <w:r>
        <w:rPr>
          <w:rStyle w:val="FootnoteReference"/>
        </w:rPr>
        <w:footnoteRef/>
      </w:r>
      <w:r w:rsidRPr="00EF4AF6">
        <w:rPr>
          <w:lang w:val="fr-BE"/>
        </w:rPr>
        <w:t xml:space="preserve"> </w:t>
      </w:r>
      <w:r w:rsidRPr="00CD07C5">
        <w:rPr>
          <w:rFonts w:ascii="Calibri Light" w:hAnsi="Calibri Light" w:cs="Calibri Light"/>
          <w:lang w:val="fr-BE"/>
        </w:rPr>
        <w:t xml:space="preserve">Voir </w:t>
      </w:r>
      <w:r w:rsidR="00CD07C5">
        <w:rPr>
          <w:rFonts w:ascii="Calibri Light" w:hAnsi="Calibri Light" w:cs="Calibri Light"/>
          <w:lang w:val="fr-BE"/>
        </w:rPr>
        <w:t>A</w:t>
      </w:r>
      <w:r w:rsidRPr="00CD07C5">
        <w:rPr>
          <w:rFonts w:ascii="Calibri Light" w:hAnsi="Calibri Light" w:cs="Calibri Light"/>
          <w:lang w:val="fr-BE"/>
        </w:rPr>
        <w:t>nnexe 1.</w:t>
      </w:r>
    </w:p>
  </w:footnote>
  <w:footnote w:id="3">
    <w:p w14:paraId="190993EE" w14:textId="4F5268FD" w:rsidR="00D94E74" w:rsidRPr="00EF4AF6" w:rsidRDefault="00EF4AF6">
      <w:pPr>
        <w:pStyle w:val="FootnoteText"/>
        <w:rPr>
          <w:lang w:val="fr-BE"/>
        </w:rPr>
      </w:pPr>
      <w:r>
        <w:rPr>
          <w:rStyle w:val="FootnoteReference"/>
        </w:rPr>
        <w:footnoteRef/>
      </w:r>
      <w:r w:rsidRPr="00EF4AF6">
        <w:rPr>
          <w:rFonts w:ascii="Calibri Light" w:hAnsi="Calibri Light" w:cs="Calibri Light"/>
          <w:lang w:val="fr-BE"/>
        </w:rPr>
        <w:t xml:space="preserve"> </w:t>
      </w:r>
      <w:r w:rsidR="00B96FC5" w:rsidRPr="00EF4AF6">
        <w:rPr>
          <w:rFonts w:ascii="Calibri Light" w:hAnsi="Calibri Light" w:cs="Calibri Light"/>
          <w:lang w:val="fr-BE"/>
        </w:rPr>
        <w:t xml:space="preserve">STOXX All Europe Total Market (NR) </w:t>
      </w:r>
      <w:r w:rsidR="00B96FC5">
        <w:rPr>
          <w:rFonts w:ascii="Calibri Light" w:hAnsi="Calibri Light" w:cs="Calibri Light"/>
          <w:lang w:val="fr-BE"/>
        </w:rPr>
        <w:t xml:space="preserve">pour la partie </w:t>
      </w:r>
      <w:r w:rsidR="00B96FC5" w:rsidRPr="00B96FC5">
        <w:rPr>
          <w:rFonts w:ascii="Calibri Light" w:hAnsi="Calibri Light" w:cs="Calibri Light"/>
          <w:i/>
          <w:iCs/>
          <w:lang w:val="fr-BE"/>
        </w:rPr>
        <w:t>actions</w:t>
      </w:r>
      <w:r w:rsidR="00B96FC5">
        <w:rPr>
          <w:rFonts w:ascii="Calibri Light" w:hAnsi="Calibri Light" w:cs="Calibri Light"/>
          <w:lang w:val="fr-BE"/>
        </w:rPr>
        <w:t xml:space="preserve"> et </w:t>
      </w:r>
      <w:r w:rsidR="00B96FC5" w:rsidRPr="00EF4AF6">
        <w:rPr>
          <w:rFonts w:ascii="Calibri Light" w:hAnsi="Calibri Light" w:cs="Calibri Light"/>
          <w:lang w:val="fr-BE"/>
        </w:rPr>
        <w:t>BBarc Pan-European Aggregate Bond Index</w:t>
      </w:r>
      <w:r w:rsidR="00B96FC5">
        <w:rPr>
          <w:rFonts w:ascii="Calibri Light" w:hAnsi="Calibri Light" w:cs="Calibri Light"/>
          <w:lang w:val="fr-BE"/>
        </w:rPr>
        <w:t xml:space="preserve"> pour la partie </w:t>
      </w:r>
      <w:r w:rsidRPr="00EF4AF6">
        <w:rPr>
          <w:rFonts w:ascii="Calibri Light" w:hAnsi="Calibri Light" w:cs="Calibri Light"/>
          <w:i/>
          <w:iCs/>
          <w:lang w:val="fr-BE"/>
        </w:rPr>
        <w:t>obligations</w:t>
      </w:r>
      <w:r w:rsidR="00B96FC5">
        <w:rPr>
          <w:rFonts w:ascii="Calibri Light" w:hAnsi="Calibri Light" w:cs="Calibri Light"/>
          <w:i/>
          <w:iCs/>
          <w:lang w:val="fr-BE"/>
        </w:rPr>
        <w:t>.</w:t>
      </w:r>
      <w:r w:rsidR="00AA567C">
        <w:rPr>
          <w:rFonts w:ascii="Calibri Light" w:hAnsi="Calibri Light" w:cs="Calibri Light"/>
          <w:i/>
          <w:iCs/>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93F0" w14:textId="77777777" w:rsidR="00CC349A" w:rsidRDefault="00EF4AF6">
    <w:pPr>
      <w:pStyle w:val="Header"/>
      <w:spacing w:after="120"/>
      <w:jc w:val="center"/>
    </w:pPr>
    <w:r>
      <w:rPr>
        <w:noProof/>
        <w:lang w:eastAsia="en-GB"/>
      </w:rPr>
      <w:drawing>
        <wp:anchor distT="0" distB="0" distL="114300" distR="114300" simplePos="0" relativeHeight="251659264" behindDoc="0" locked="0" layoutInCell="1" allowOverlap="1" wp14:anchorId="190993E8" wp14:editId="190993E9">
          <wp:simplePos x="0" y="0"/>
          <wp:positionH relativeFrom="margin">
            <wp:posOffset>2617470</wp:posOffset>
          </wp:positionH>
          <wp:positionV relativeFrom="paragraph">
            <wp:posOffset>-219712</wp:posOffset>
          </wp:positionV>
          <wp:extent cx="3138165" cy="645164"/>
          <wp:effectExtent l="0" t="0" r="5085" b="2536"/>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8165" cy="645164"/>
                  </a:xfrm>
                  <a:prstGeom prst="rect">
                    <a:avLst/>
                  </a:prstGeom>
                  <a:noFill/>
                  <a:ln>
                    <a:noFill/>
                    <a:prstDash/>
                  </a:ln>
                </pic:spPr>
              </pic:pic>
            </a:graphicData>
          </a:graphic>
        </wp:anchor>
      </w:drawing>
    </w:r>
  </w:p>
  <w:p w14:paraId="190993F1" w14:textId="77777777" w:rsidR="00CC349A" w:rsidRDefault="004B1FAC">
    <w:pPr>
      <w:pStyle w:val="Header"/>
      <w:rPr>
        <w:sz w:val="20"/>
        <w:szCs w:val="20"/>
      </w:rPr>
    </w:pPr>
  </w:p>
  <w:p w14:paraId="190993F2" w14:textId="77777777" w:rsidR="00CC349A" w:rsidRDefault="004B1FA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93F9" w14:textId="77777777" w:rsidR="00CC349A" w:rsidRDefault="00EF4AF6">
    <w:pPr>
      <w:pStyle w:val="Header"/>
      <w:spacing w:after="120"/>
      <w:jc w:val="center"/>
    </w:pPr>
    <w:r>
      <w:rPr>
        <w:noProof/>
      </w:rPr>
      <w:drawing>
        <wp:anchor distT="0" distB="0" distL="114300" distR="114300" simplePos="0" relativeHeight="251661312" behindDoc="0" locked="0" layoutInCell="1" allowOverlap="1" wp14:anchorId="190993EA" wp14:editId="67196344">
          <wp:simplePos x="0" y="0"/>
          <wp:positionH relativeFrom="page">
            <wp:posOffset>277495</wp:posOffset>
          </wp:positionH>
          <wp:positionV relativeFrom="paragraph">
            <wp:posOffset>-178435</wp:posOffset>
          </wp:positionV>
          <wp:extent cx="7559040" cy="10248265"/>
          <wp:effectExtent l="0" t="0" r="3810" b="635"/>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anchor>
      </w:drawing>
    </w:r>
  </w:p>
  <w:p w14:paraId="190993FA" w14:textId="77777777" w:rsidR="00CC349A" w:rsidRDefault="004B1FAC">
    <w:pPr>
      <w:pStyle w:val="Header"/>
      <w:rPr>
        <w:sz w:val="20"/>
        <w:szCs w:val="20"/>
      </w:rPr>
    </w:pPr>
  </w:p>
  <w:p w14:paraId="190993FB" w14:textId="77777777" w:rsidR="00CC349A" w:rsidRDefault="004B1FA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67BA0"/>
    <w:multiLevelType w:val="multilevel"/>
    <w:tmpl w:val="F42A8DBA"/>
    <w:lvl w:ilvl="0">
      <w:start w:val="1"/>
      <w:numFmt w:val="decimal"/>
      <w:lvlText w:val="%1."/>
      <w:lvlJc w:val="left"/>
      <w:pPr>
        <w:ind w:left="360" w:hanging="360"/>
      </w:pPr>
      <w:rPr>
        <w:rFonts w:ascii="Calibri Light" w:hAnsi="Calibri Light" w:cs="Calibri Light"/>
        <w:b w:val="0"/>
        <w:bCs w:val="0"/>
        <w:color w:val="0070C0"/>
        <w:sz w:val="20"/>
        <w:szCs w:val="20"/>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 w15:restartNumberingAfterBreak="0">
    <w:nsid w:val="35C45291"/>
    <w:multiLevelType w:val="multilevel"/>
    <w:tmpl w:val="7E24AB06"/>
    <w:lvl w:ilvl="0">
      <w:numFmt w:val="bullet"/>
      <w:lvlText w:val=""/>
      <w:lvlJc w:val="left"/>
      <w:pPr>
        <w:ind w:left="767" w:hanging="360"/>
      </w:pPr>
      <w:rPr>
        <w:rFonts w:ascii="Symbol" w:hAnsi="Symbol"/>
      </w:rPr>
    </w:lvl>
    <w:lvl w:ilvl="1">
      <w:numFmt w:val="bullet"/>
      <w:lvlText w:val="o"/>
      <w:lvlJc w:val="left"/>
      <w:pPr>
        <w:ind w:left="1487" w:hanging="360"/>
      </w:pPr>
      <w:rPr>
        <w:rFonts w:ascii="Courier New" w:hAnsi="Courier New" w:cs="Courier New"/>
      </w:rPr>
    </w:lvl>
    <w:lvl w:ilvl="2">
      <w:numFmt w:val="bullet"/>
      <w:lvlText w:val=""/>
      <w:lvlJc w:val="left"/>
      <w:pPr>
        <w:ind w:left="2207" w:hanging="360"/>
      </w:pPr>
      <w:rPr>
        <w:rFonts w:ascii="Wingdings" w:hAnsi="Wingdings"/>
      </w:rPr>
    </w:lvl>
    <w:lvl w:ilvl="3">
      <w:numFmt w:val="bullet"/>
      <w:lvlText w:val=""/>
      <w:lvlJc w:val="left"/>
      <w:pPr>
        <w:ind w:left="2927" w:hanging="360"/>
      </w:pPr>
      <w:rPr>
        <w:rFonts w:ascii="Symbol" w:hAnsi="Symbol"/>
      </w:rPr>
    </w:lvl>
    <w:lvl w:ilvl="4">
      <w:numFmt w:val="bullet"/>
      <w:lvlText w:val="o"/>
      <w:lvlJc w:val="left"/>
      <w:pPr>
        <w:ind w:left="3647" w:hanging="360"/>
      </w:pPr>
      <w:rPr>
        <w:rFonts w:ascii="Courier New" w:hAnsi="Courier New" w:cs="Courier New"/>
      </w:rPr>
    </w:lvl>
    <w:lvl w:ilvl="5">
      <w:numFmt w:val="bullet"/>
      <w:lvlText w:val=""/>
      <w:lvlJc w:val="left"/>
      <w:pPr>
        <w:ind w:left="4367" w:hanging="360"/>
      </w:pPr>
      <w:rPr>
        <w:rFonts w:ascii="Wingdings" w:hAnsi="Wingdings"/>
      </w:rPr>
    </w:lvl>
    <w:lvl w:ilvl="6">
      <w:numFmt w:val="bullet"/>
      <w:lvlText w:val=""/>
      <w:lvlJc w:val="left"/>
      <w:pPr>
        <w:ind w:left="5087" w:hanging="360"/>
      </w:pPr>
      <w:rPr>
        <w:rFonts w:ascii="Symbol" w:hAnsi="Symbol"/>
      </w:rPr>
    </w:lvl>
    <w:lvl w:ilvl="7">
      <w:numFmt w:val="bullet"/>
      <w:lvlText w:val="o"/>
      <w:lvlJc w:val="left"/>
      <w:pPr>
        <w:ind w:left="5807" w:hanging="360"/>
      </w:pPr>
      <w:rPr>
        <w:rFonts w:ascii="Courier New" w:hAnsi="Courier New" w:cs="Courier New"/>
      </w:rPr>
    </w:lvl>
    <w:lvl w:ilvl="8">
      <w:numFmt w:val="bullet"/>
      <w:lvlText w:val=""/>
      <w:lvlJc w:val="left"/>
      <w:pPr>
        <w:ind w:left="6527" w:hanging="360"/>
      </w:pPr>
      <w:rPr>
        <w:rFonts w:ascii="Wingdings" w:hAnsi="Wingdings"/>
      </w:rPr>
    </w:lvl>
  </w:abstractNum>
  <w:abstractNum w:abstractNumId="2" w15:restartNumberingAfterBreak="0">
    <w:nsid w:val="3B3C23AE"/>
    <w:multiLevelType w:val="multilevel"/>
    <w:tmpl w:val="EF02C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74"/>
    <w:rsid w:val="00160D24"/>
    <w:rsid w:val="004471BD"/>
    <w:rsid w:val="00481232"/>
    <w:rsid w:val="004B1FAC"/>
    <w:rsid w:val="005A68D3"/>
    <w:rsid w:val="005C7AF2"/>
    <w:rsid w:val="00672DC5"/>
    <w:rsid w:val="007453FE"/>
    <w:rsid w:val="008E0F28"/>
    <w:rsid w:val="00AA567C"/>
    <w:rsid w:val="00B60D02"/>
    <w:rsid w:val="00B96FC5"/>
    <w:rsid w:val="00BF4A6D"/>
    <w:rsid w:val="00CD07C5"/>
    <w:rsid w:val="00D05E2A"/>
    <w:rsid w:val="00D94E74"/>
    <w:rsid w:val="00EF4AF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0993DD"/>
  <w15:docId w15:val="{7846C3A4-6102-412A-B682-F6BB0E77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line="276"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spacing w:after="0" w:line="240" w:lineRule="auto"/>
      <w:ind w:left="720"/>
    </w:pPr>
    <w:rPr>
      <w:rFonts w:cs="Calibri"/>
      <w:lang w:val="fr-B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NormalWeb">
    <w:name w:val="Normal (Web)"/>
    <w:basedOn w:val="Normal"/>
    <w:pPr>
      <w:spacing w:before="100" w:after="100" w:line="240" w:lineRule="auto"/>
    </w:pPr>
    <w:rPr>
      <w:rFonts w:ascii="Times New Roman" w:eastAsia="Times New Roman" w:hAnsi="Times New Roman"/>
      <w:sz w:val="24"/>
      <w:szCs w:val="24"/>
      <w:lang w:val="fr-BE" w:eastAsia="fr-BE"/>
    </w:rPr>
  </w:style>
  <w:style w:type="paragraph" w:customStyle="1" w:styleId="bylinebarreading-time">
    <w:name w:val="bylinebar_reading-time"/>
    <w:basedOn w:val="Normal"/>
    <w:pPr>
      <w:spacing w:before="100" w:after="100"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BodyText">
    <w:name w:val="Body Text"/>
    <w:basedOn w:val="Normal"/>
    <w:pPr>
      <w:spacing w:after="200" w:line="240" w:lineRule="exact"/>
    </w:pPr>
    <w:rPr>
      <w:rFonts w:ascii="Tahoma" w:eastAsia="Times New Roman" w:hAnsi="Tahoma"/>
      <w:spacing w:val="10"/>
      <w:sz w:val="17"/>
      <w:szCs w:val="20"/>
      <w:lang w:val="en-US"/>
    </w:rPr>
  </w:style>
  <w:style w:type="character" w:customStyle="1" w:styleId="BodyTextChar">
    <w:name w:val="Body Text Char"/>
    <w:basedOn w:val="DefaultParagraphFont"/>
    <w:rPr>
      <w:rFonts w:ascii="Tahoma" w:eastAsia="Times New Roman" w:hAnsi="Tahoma" w:cs="Times New Roman"/>
      <w:spacing w:val="10"/>
      <w:sz w:val="17"/>
      <w:szCs w:val="20"/>
      <w:lang w:val="en-US"/>
    </w:rPr>
  </w:style>
  <w:style w:type="character" w:styleId="Strong">
    <w:name w:val="Strong"/>
    <w:rPr>
      <w:b/>
      <w:bCs/>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terfinance.eu/pensions-dashbo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etterfinance.eu/publication/booklet-pension-savings-the-real-return-2020-ed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tterfinance.eu/publication/pension-savings-the-real-return-2020-edi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etterfinance.eu/publication/pension-savings-the-real-return-2020-edi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udmont@betterfinance.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rofin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vert="horz" lIns="0" tIns="0" rIns="0" bIns="0"/>
          <a:lstStyle/>
          <a:p>
            <a:pPr marL="0" marR="0" indent="0" algn="ctr" defTabSz="914400" rtl="0" fontAlgn="auto" hangingPunct="1">
              <a:lnSpc>
                <a:spcPct val="100000"/>
              </a:lnSpc>
              <a:spcBef>
                <a:spcPts val="0"/>
              </a:spcBef>
              <a:spcAft>
                <a:spcPts val="0"/>
              </a:spcAft>
              <a:tabLst/>
              <a:defRPr sz="1100" b="1" i="0" u="none" strike="noStrike" kern="1200" baseline="0">
                <a:solidFill>
                  <a:srgbClr val="000000"/>
                </a:solidFill>
                <a:latin typeface="Calibri Light"/>
              </a:defRPr>
            </a:pPr>
            <a:r>
              <a:rPr lang="en-GB" sz="1100" b="1" i="0" u="none" strike="noStrike" kern="1200" cap="none" spc="0" baseline="0">
                <a:solidFill>
                  <a:srgbClr val="000000"/>
                </a:solidFill>
                <a:uFillTx/>
                <a:latin typeface="Calibri Light"/>
              </a:rPr>
              <a:t>RENDEMENTS NET ANNUALISÉ (EN TERMES RÉELS) DE L'ÉPARGNE-RETRAITE - AVANT IMPÔT</a:t>
            </a:r>
          </a:p>
        </c:rich>
      </c:tx>
      <c:layout>
        <c:manualLayout>
          <c:xMode val="edge"/>
          <c:yMode val="edge"/>
          <c:x val="0.20728994687156041"/>
          <c:y val="6.1176208850961585E-3"/>
        </c:manualLayout>
      </c:layout>
      <c:overlay val="0"/>
      <c:spPr>
        <a:noFill/>
        <a:ln>
          <a:noFill/>
        </a:ln>
      </c:spPr>
    </c:title>
    <c:autoTitleDeleted val="0"/>
    <c:plotArea>
      <c:layout>
        <c:manualLayout>
          <c:xMode val="edge"/>
          <c:yMode val="edge"/>
          <c:x val="0"/>
          <c:y val="2.4946384490042835E-2"/>
          <c:w val="1"/>
          <c:h val="0.97466781800973767"/>
        </c:manualLayout>
      </c:layout>
      <c:barChart>
        <c:barDir val="bar"/>
        <c:grouping val="clustered"/>
        <c:varyColors val="0"/>
        <c:ser>
          <c:idx val="0"/>
          <c:order val="0"/>
          <c:tx>
            <c:v>Series1</c:v>
          </c:tx>
          <c:spPr>
            <a:solidFill>
              <a:srgbClr val="0070C0"/>
            </a:solidFill>
            <a:ln>
              <a:noFill/>
            </a:ln>
          </c:spPr>
          <c:invertIfNegative val="0"/>
          <c:dPt>
            <c:idx val="13"/>
            <c:invertIfNegative val="0"/>
            <c:bubble3D val="0"/>
            <c:spPr>
              <a:solidFill>
                <a:srgbClr val="FF0000"/>
              </a:solidFill>
              <a:ln>
                <a:noFill/>
              </a:ln>
            </c:spPr>
            <c:extLst>
              <c:ext xmlns:c16="http://schemas.microsoft.com/office/drawing/2014/chart" uri="{C3380CC4-5D6E-409C-BE32-E72D297353CC}">
                <c16:uniqueId val="{00000000-A53E-499F-804F-2F1A606938D2}"/>
              </c:ext>
            </c:extLst>
          </c:dPt>
          <c:dPt>
            <c:idx val="14"/>
            <c:invertIfNegative val="0"/>
            <c:bubble3D val="0"/>
            <c:spPr>
              <a:solidFill>
                <a:srgbClr val="767171"/>
              </a:solidFill>
              <a:ln>
                <a:noFill/>
              </a:ln>
            </c:spPr>
            <c:extLst>
              <c:ext xmlns:c16="http://schemas.microsoft.com/office/drawing/2014/chart" uri="{C3380CC4-5D6E-409C-BE32-E72D297353CC}">
                <c16:uniqueId val="{00000001-A53E-499F-804F-2F1A606938D2}"/>
              </c:ext>
            </c:extLst>
          </c:dPt>
          <c:dPt>
            <c:idx val="15"/>
            <c:invertIfNegative val="0"/>
            <c:bubble3D val="0"/>
            <c:spPr>
              <a:solidFill>
                <a:srgbClr val="767171"/>
              </a:solidFill>
              <a:ln>
                <a:noFill/>
              </a:ln>
            </c:spPr>
            <c:extLst>
              <c:ext xmlns:c16="http://schemas.microsoft.com/office/drawing/2014/chart" uri="{C3380CC4-5D6E-409C-BE32-E72D297353CC}">
                <c16:uniqueId val="{00000002-A53E-499F-804F-2F1A606938D2}"/>
              </c:ext>
            </c:extLst>
          </c:dPt>
          <c:dPt>
            <c:idx val="26"/>
            <c:invertIfNegative val="0"/>
            <c:bubble3D val="0"/>
            <c:spPr>
              <a:solidFill>
                <a:srgbClr val="FF0000"/>
              </a:solidFill>
              <a:ln>
                <a:noFill/>
              </a:ln>
            </c:spPr>
            <c:extLst>
              <c:ext xmlns:c16="http://schemas.microsoft.com/office/drawing/2014/chart" uri="{C3380CC4-5D6E-409C-BE32-E72D297353CC}">
                <c16:uniqueId val="{00000003-A53E-499F-804F-2F1A606938D2}"/>
              </c:ext>
            </c:extLst>
          </c:dPt>
          <c:dPt>
            <c:idx val="30"/>
            <c:invertIfNegative val="0"/>
            <c:bubble3D val="0"/>
            <c:extLst>
              <c:ext xmlns:c16="http://schemas.microsoft.com/office/drawing/2014/chart" uri="{C3380CC4-5D6E-409C-BE32-E72D297353CC}">
                <c16:uniqueId val="{00000004-A53E-499F-804F-2F1A606938D2}"/>
              </c:ext>
            </c:extLst>
          </c:dPt>
          <c:dPt>
            <c:idx val="32"/>
            <c:invertIfNegative val="0"/>
            <c:bubble3D val="0"/>
            <c:spPr>
              <a:solidFill>
                <a:srgbClr val="FF0000"/>
              </a:solidFill>
              <a:ln>
                <a:noFill/>
              </a:ln>
            </c:spPr>
            <c:extLst>
              <c:ext xmlns:c16="http://schemas.microsoft.com/office/drawing/2014/chart" uri="{C3380CC4-5D6E-409C-BE32-E72D297353CC}">
                <c16:uniqueId val="{00000005-A53E-499F-804F-2F1A606938D2}"/>
              </c:ext>
            </c:extLst>
          </c:dPt>
          <c:dPt>
            <c:idx val="36"/>
            <c:invertIfNegative val="0"/>
            <c:bubble3D val="0"/>
            <c:spPr>
              <a:solidFill>
                <a:srgbClr val="FF0000"/>
              </a:solidFill>
              <a:ln>
                <a:noFill/>
              </a:ln>
            </c:spPr>
            <c:extLst>
              <c:ext xmlns:c16="http://schemas.microsoft.com/office/drawing/2014/chart" uri="{C3380CC4-5D6E-409C-BE32-E72D297353CC}">
                <c16:uniqueId val="{00000006-A53E-499F-804F-2F1A606938D2}"/>
              </c:ext>
            </c:extLst>
          </c:dPt>
          <c:dPt>
            <c:idx val="41"/>
            <c:invertIfNegative val="0"/>
            <c:bubble3D val="0"/>
            <c:spPr>
              <a:solidFill>
                <a:srgbClr val="FF0000"/>
              </a:solidFill>
              <a:ln>
                <a:noFill/>
              </a:ln>
            </c:spPr>
            <c:extLst>
              <c:ext xmlns:c16="http://schemas.microsoft.com/office/drawing/2014/chart" uri="{C3380CC4-5D6E-409C-BE32-E72D297353CC}">
                <c16:uniqueId val="{00000007-A53E-499F-804F-2F1A606938D2}"/>
              </c:ext>
            </c:extLst>
          </c:dPt>
          <c:dPt>
            <c:idx val="48"/>
            <c:invertIfNegative val="0"/>
            <c:bubble3D val="0"/>
            <c:spPr>
              <a:solidFill>
                <a:srgbClr val="FF0000"/>
              </a:solidFill>
              <a:ln>
                <a:noFill/>
              </a:ln>
            </c:spPr>
            <c:extLst>
              <c:ext xmlns:c16="http://schemas.microsoft.com/office/drawing/2014/chart" uri="{C3380CC4-5D6E-409C-BE32-E72D297353CC}">
                <c16:uniqueId val="{00000008-A53E-499F-804F-2F1A606938D2}"/>
              </c:ext>
            </c:extLst>
          </c:dPt>
          <c:dPt>
            <c:idx val="52"/>
            <c:invertIfNegative val="0"/>
            <c:bubble3D val="0"/>
            <c:spPr>
              <a:solidFill>
                <a:srgbClr val="767171"/>
              </a:solidFill>
              <a:ln>
                <a:noFill/>
              </a:ln>
            </c:spPr>
            <c:extLst>
              <c:ext xmlns:c16="http://schemas.microsoft.com/office/drawing/2014/chart" uri="{C3380CC4-5D6E-409C-BE32-E72D297353CC}">
                <c16:uniqueId val="{00000009-A53E-499F-804F-2F1A606938D2}"/>
              </c:ext>
            </c:extLst>
          </c:dPt>
          <c:dPt>
            <c:idx val="53"/>
            <c:invertIfNegative val="0"/>
            <c:bubble3D val="0"/>
            <c:spPr>
              <a:solidFill>
                <a:srgbClr val="767171"/>
              </a:solidFill>
              <a:ln>
                <a:noFill/>
              </a:ln>
            </c:spPr>
            <c:extLst>
              <c:ext xmlns:c16="http://schemas.microsoft.com/office/drawing/2014/chart" uri="{C3380CC4-5D6E-409C-BE32-E72D297353CC}">
                <c16:uniqueId val="{0000000A-A53E-499F-804F-2F1A606938D2}"/>
              </c:ext>
            </c:extLst>
          </c:dPt>
          <c:dLbls>
            <c:dLbl>
              <c:idx val="13"/>
              <c:spPr>
                <a:solidFill>
                  <a:srgbClr val="FFFFFF"/>
                </a:solidFill>
                <a:ln>
                  <a:noFill/>
                </a:ln>
                <a:effectLst/>
              </c:spPr>
              <c:txPr>
                <a:bodyPr lIns="0" tIns="0" rIns="0" bIns="0"/>
                <a:lstStyle/>
                <a:p>
                  <a:pPr marL="0" marR="0" indent="0" algn="ctr" defTabSz="914400" fontAlgn="auto" hangingPunct="1">
                    <a:lnSpc>
                      <a:spcPct val="100000"/>
                    </a:lnSpc>
                    <a:spcBef>
                      <a:spcPts val="0"/>
                    </a:spcBef>
                    <a:spcAft>
                      <a:spcPts val="0"/>
                    </a:spcAft>
                    <a:tabLst/>
                    <a:defRPr sz="1050" b="1" i="0" u="none" strike="noStrike" kern="1200" baseline="0">
                      <a:solidFill>
                        <a:srgbClr val="FF0000"/>
                      </a:solidFill>
                      <a:latin typeface="Calibri Light"/>
                    </a:defRPr>
                  </a:pPr>
                  <a:endParaRPr lang="fr-F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A53E-499F-804F-2F1A606938D2}"/>
                </c:ext>
              </c:extLst>
            </c:dLbl>
            <c:dLbl>
              <c:idx val="26"/>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0000"/>
                      </a:solidFill>
                      <a:latin typeface="Calibri Light"/>
                    </a:defRPr>
                  </a:pPr>
                  <a:endParaRPr lang="fr-F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A53E-499F-804F-2F1A606938D2}"/>
                </c:ext>
              </c:extLst>
            </c:dLbl>
            <c:dLbl>
              <c:idx val="30"/>
              <c:layout>
                <c:manualLayout>
                  <c:x val="-0.16245502074337476"/>
                  <c:y val="1.7455975542887137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53E-499F-804F-2F1A606938D2}"/>
                </c:ext>
              </c:extLst>
            </c:dLbl>
            <c:dLbl>
              <c:idx val="32"/>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0000"/>
                      </a:solidFill>
                      <a:latin typeface="Calibri Light"/>
                    </a:defRPr>
                  </a:pPr>
                  <a:endParaRPr lang="fr-F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A53E-499F-804F-2F1A606938D2}"/>
                </c:ext>
              </c:extLst>
            </c:dLbl>
            <c:dLbl>
              <c:idx val="36"/>
              <c:tx>
                <c:rich>
                  <a:bodyPr/>
                  <a:lstStyle/>
                  <a:p>
                    <a:r>
                      <a:rPr lang="en-US" sz="1000" b="0" i="0" u="none" strike="noStrike" kern="1200" cap="none" spc="0" baseline="0">
                        <a:solidFill>
                          <a:srgbClr val="000000"/>
                        </a:solidFill>
                        <a:uFillTx/>
                        <a:latin typeface="Calibri Light"/>
                      </a:rPr>
                      <a:t>4,27%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6-A53E-499F-804F-2F1A606938D2}"/>
                </c:ext>
              </c:extLst>
            </c:dLbl>
            <c:dLbl>
              <c:idx val="41"/>
              <c:tx>
                <c:rich>
                  <a:bodyPr/>
                  <a:lstStyle/>
                  <a:p>
                    <a:r>
                      <a:rPr lang="en-US" sz="1000" b="0" i="0" u="none" strike="noStrike" kern="1200" cap="none" spc="0" baseline="0">
                        <a:solidFill>
                          <a:srgbClr val="000000"/>
                        </a:solidFill>
                        <a:uFillTx/>
                        <a:latin typeface="Calibri Light"/>
                      </a:rPr>
                      <a:t>4,10%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A53E-499F-804F-2F1A606938D2}"/>
                </c:ext>
              </c:extLst>
            </c:dLbl>
            <c:dLbl>
              <c:idx val="48"/>
              <c:tx>
                <c:rich>
                  <a:bodyPr/>
                  <a:lstStyle/>
                  <a:p>
                    <a:r>
                      <a:rPr lang="en-US" sz="1000" b="0" i="0" u="none" strike="noStrike" kern="1200" cap="none" spc="0" baseline="0">
                        <a:solidFill>
                          <a:srgbClr val="000000"/>
                        </a:solidFill>
                        <a:uFillTx/>
                        <a:latin typeface="Calibri Light"/>
                      </a:rPr>
                      <a:t>3,31%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8-A53E-499F-804F-2F1A606938D2}"/>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fr-FR"/>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54"/>
              <c:pt idx="0">
                <c:v>BE Régimes de retraite professionnelle (IRP), 2000-2019</c:v>
              </c:pt>
              <c:pt idx="1">
                <c:v>BE Fonds d'épargne-pension, 2000-2019</c:v>
              </c:pt>
              <c:pt idx="2">
                <c:v>DE Assurances de retraite, 2000-2019</c:v>
              </c:pt>
              <c:pt idx="3">
                <c:v>ES Plans individuels, 2000-2019</c:v>
              </c:pt>
              <c:pt idx="4">
                <c:v>ES Plans professionnels, 2000-2019</c:v>
              </c:pt>
              <c:pt idx="5">
                <c:v>ES Plans associés, 2000-2019</c:v>
              </c:pt>
              <c:pt idx="6">
                <c:v>FR Assurance vie, garantie, 2000-2019</c:v>
              </c:pt>
              <c:pt idx="7">
                <c:v>FR Assurance vie, en unités de compte, 2000-2019</c:v>
              </c:pt>
              <c:pt idx="8">
                <c:v>FR Plans d'épargne des entreprises, 2000-2019</c:v>
              </c:pt>
              <c:pt idx="9">
                <c:v>IT Fonds de pension fermés, 2000-2019</c:v>
              </c:pt>
              <c:pt idx="10">
                <c:v>IT Fonds de pension ouverts, 2000-2019</c:v>
              </c:pt>
              <c:pt idx="11">
                <c:v>NL Fonds de pension, 2000-2019</c:v>
              </c:pt>
              <c:pt idx="12">
                <c:v>NL Assurance vie, 2000-2019</c:v>
              </c:pt>
              <c:pt idx="13">
                <c:v>UE Marchés des capitaux, 2000-2019</c:v>
              </c:pt>
              <c:pt idx="14">
                <c:v>DE AOPP, 2002-2018</c:v>
              </c:pt>
              <c:pt idx="15">
                <c:v>ROYAUME-UNI Fonds de pension, 2000-2017</c:v>
              </c:pt>
              <c:pt idx="16">
                <c:v>- -</c:v>
              </c:pt>
              <c:pt idx="17">
                <c:v>AT Fonds de pension, 2002-2019</c:v>
              </c:pt>
              <c:pt idx="18">
                <c:v>AT Assurances vie, 2002-2019</c:v>
              </c:pt>
              <c:pt idx="19">
                <c:v>BG Fonds de pension universels, 2002-2019</c:v>
              </c:pt>
              <c:pt idx="20">
                <c:v>BG Fonds de pension volontaire, 2002-2019</c:v>
              </c:pt>
              <c:pt idx="21">
                <c:v>HR Fonds de pension obligatoires, 2002-2019</c:v>
              </c:pt>
              <c:pt idx="22">
                <c:v>HR Fonds de pension volontaire, 2002-2019</c:v>
              </c:pt>
              <c:pt idx="23">
                <c:v>PL Fonds de pension des employés, 2002-2019</c:v>
              </c:pt>
              <c:pt idx="24">
                <c:v>SE Fonds de pension AP7, option par défaut, 2002-2019</c:v>
              </c:pt>
              <c:pt idx="25">
                <c:v>SE Fonds de pension AP7, choix personnel, 2002-2019</c:v>
              </c:pt>
              <c:pt idx="26">
                <c:v>UE Marchés des capitaux, 2002-2019</c:v>
              </c:pt>
              <c:pt idx="27">
                <c:v>- -</c:v>
              </c:pt>
              <c:pt idx="28">
                <c:v>EE Fonds de pension obligatoires, 2003-2019</c:v>
              </c:pt>
              <c:pt idx="29">
                <c:v>EE Fonds de pension complémentaire, 2003-2019</c:v>
              </c:pt>
              <c:pt idx="30">
                <c:v>FR Pension des fonctionnaires, 2003-2019</c:v>
              </c:pt>
              <c:pt idx="31">
                <c:v>LV Fonds de pension financés par l'État, 2003-2019</c:v>
              </c:pt>
              <c:pt idx="32">
                <c:v>UE Marchés des capitaux, 2003 - 2019</c:v>
              </c:pt>
              <c:pt idx="33">
                <c:v>- -</c:v>
              </c:pt>
              <c:pt idx="34">
                <c:v>LT Régimes de retraite professionnels, 2004-2019</c:v>
              </c:pt>
              <c:pt idx="35">
                <c:v>LT Régimes de retraite complémentaire, 2004-2019</c:v>
              </c:pt>
              <c:pt idx="36">
                <c:v>UE Marchés des capitaux, 2004 - 2019</c:v>
              </c:pt>
              <c:pt idx="37">
                <c:v>- -</c:v>
              </c:pt>
              <c:pt idx="38">
                <c:v>DE Assurance pension Riester, 2005-2019</c:v>
              </c:pt>
              <c:pt idx="39">
                <c:v>DE RÃ¼rup Assurance pension, 2005-2019</c:v>
              </c:pt>
              <c:pt idx="40">
                <c:v>SK Pilier II Pension par capitalisation, 2005-2019</c:v>
              </c:pt>
              <c:pt idx="41">
                <c:v>UE Marchés des capitaux, 2005 - 2019</c:v>
              </c:pt>
              <c:pt idx="42">
                <c:v>- -</c:v>
              </c:pt>
              <c:pt idx="43">
                <c:v>RO Pensions privées volontaires, 2007-2019</c:v>
              </c:pt>
              <c:pt idx="44">
                <c:v>IT PIP avec bénéfices, 2008-2019</c:v>
              </c:pt>
              <c:pt idx="45">
                <c:v>IT PIP en unités, 2008-2019</c:v>
              </c:pt>
              <c:pt idx="46">
                <c:v>SK Fonds de pension complémentaire, 2009-2019</c:v>
              </c:pt>
              <c:pt idx="47">
                <c:v>RO Deuxième pilier - Pensions par capitalisation, 2008-2019</c:v>
              </c:pt>
              <c:pt idx="48">
                <c:v>UE Marchés des capitaux, 2008 - 2019</c:v>
              </c:pt>
              <c:pt idx="49">
                <c:v>- -</c:v>
              </c:pt>
              <c:pt idx="50">
                <c:v>LV Pension privée volontaire, 2011-2019</c:v>
              </c:pt>
              <c:pt idx="51">
                <c:v>PL Fonds de pension volontaire (DFE), 2013-2019</c:v>
              </c:pt>
              <c:pt idx="52">
                <c:v>BE OPP-IC (Branche 21), 2002-2014</c:v>
              </c:pt>
              <c:pt idx="53">
                <c:v>BE Contrats individuels (branche 23), 2005-2014</c:v>
              </c:pt>
            </c:strLit>
          </c:cat>
          <c:val>
            <c:numLit>
              <c:formatCode>General</c:formatCode>
              <c:ptCount val="54"/>
              <c:pt idx="0">
                <c:v>2.1399999999999999E-2</c:v>
              </c:pt>
              <c:pt idx="1">
                <c:v>1.7999999999999999E-2</c:v>
              </c:pt>
              <c:pt idx="2">
                <c:v>2.07E-2</c:v>
              </c:pt>
              <c:pt idx="3">
                <c:v>1.6999999999999999E-3</c:v>
              </c:pt>
              <c:pt idx="4">
                <c:v>7.0000000000000001E-3</c:v>
              </c:pt>
              <c:pt idx="5">
                <c:v>9.5999999999999992E-3</c:v>
              </c:pt>
              <c:pt idx="6">
                <c:v>1.18E-2</c:v>
              </c:pt>
              <c:pt idx="7">
                <c:v>-6.6E-3</c:v>
              </c:pt>
              <c:pt idx="8">
                <c:v>8.0000000000000002E-3</c:v>
              </c:pt>
              <c:pt idx="9">
                <c:v>1.41E-2</c:v>
              </c:pt>
              <c:pt idx="10">
                <c:v>2.8E-3</c:v>
              </c:pt>
              <c:pt idx="11">
                <c:v>2.7099999999999999E-2</c:v>
              </c:pt>
              <c:pt idx="12">
                <c:v>2.9999999999999997E-4</c:v>
              </c:pt>
              <c:pt idx="13">
                <c:v>2.7359227055127056E-2</c:v>
              </c:pt>
              <c:pt idx="14">
                <c:v>2.24E-2</c:v>
              </c:pt>
              <c:pt idx="15">
                <c:v>3.0599999999999999E-2</c:v>
              </c:pt>
              <c:pt idx="16">
                <c:v>0</c:v>
              </c:pt>
              <c:pt idx="17">
                <c:v>1.4E-2</c:v>
              </c:pt>
              <c:pt idx="18">
                <c:v>2.0899999999999998E-2</c:v>
              </c:pt>
              <c:pt idx="19">
                <c:v>-9.1000000000000004E-3</c:v>
              </c:pt>
              <c:pt idx="20">
                <c:v>-1.4E-3</c:v>
              </c:pt>
              <c:pt idx="21">
                <c:v>3.5900000000000001E-2</c:v>
              </c:pt>
              <c:pt idx="22">
                <c:v>3.8800000000000001E-2</c:v>
              </c:pt>
              <c:pt idx="23">
                <c:v>3.7499999999999999E-2</c:v>
              </c:pt>
              <c:pt idx="24">
                <c:v>7.0900000000000005E-2</c:v>
              </c:pt>
              <c:pt idx="25">
                <c:v>0.04</c:v>
              </c:pt>
              <c:pt idx="26">
                <c:v>3.5220577580413748E-2</c:v>
              </c:pt>
              <c:pt idx="27">
                <c:v>0</c:v>
              </c:pt>
              <c:pt idx="28">
                <c:v>4.3E-3</c:v>
              </c:pt>
              <c:pt idx="29">
                <c:v>1.5800000000000002E-2</c:v>
              </c:pt>
              <c:pt idx="30">
                <c:v>-1.44E-2</c:v>
              </c:pt>
              <c:pt idx="31">
                <c:v>-2E-3</c:v>
              </c:pt>
              <c:pt idx="32">
                <c:v>4.4318930127988265E-2</c:v>
              </c:pt>
              <c:pt idx="33">
                <c:v>0</c:v>
              </c:pt>
              <c:pt idx="34">
                <c:v>1.4999999999999999E-2</c:v>
              </c:pt>
              <c:pt idx="35">
                <c:v>8.2000000000000007E-3</c:v>
              </c:pt>
              <c:pt idx="36">
                <c:v>4.2676850815281719E-2</c:v>
              </c:pt>
              <c:pt idx="37">
                <c:v>0</c:v>
              </c:pt>
              <c:pt idx="38">
                <c:v>1.43E-2</c:v>
              </c:pt>
              <c:pt idx="39">
                <c:v>1.4500000000000001E-2</c:v>
              </c:pt>
              <c:pt idx="40">
                <c:v>-2.9999999999999997E-4</c:v>
              </c:pt>
              <c:pt idx="41">
                <c:v>4.098423239384319E-2</c:v>
              </c:pt>
              <c:pt idx="42">
                <c:v>0</c:v>
              </c:pt>
              <c:pt idx="43">
                <c:v>2.6100000000000002E-2</c:v>
              </c:pt>
              <c:pt idx="44">
                <c:v>1.3100000000000001E-2</c:v>
              </c:pt>
              <c:pt idx="45">
                <c:v>8.9999999999999993E-3</c:v>
              </c:pt>
              <c:pt idx="46">
                <c:v>5.0000000000000001E-3</c:v>
              </c:pt>
              <c:pt idx="47">
                <c:v>4.9299999999999997E-2</c:v>
              </c:pt>
              <c:pt idx="48">
                <c:v>3.3110578265880042E-2</c:v>
              </c:pt>
              <c:pt idx="49">
                <c:v>0</c:v>
              </c:pt>
              <c:pt idx="50">
                <c:v>1.5180000000000001E-2</c:v>
              </c:pt>
              <c:pt idx="51">
                <c:v>4.3299999999999998E-2</c:v>
              </c:pt>
              <c:pt idx="52">
                <c:v>2.5700000000000001E-2</c:v>
              </c:pt>
              <c:pt idx="53">
                <c:v>1.5699999999999999E-2</c:v>
              </c:pt>
            </c:numLit>
          </c:val>
          <c:extLst>
            <c:ext xmlns:c16="http://schemas.microsoft.com/office/drawing/2014/chart" uri="{C3380CC4-5D6E-409C-BE32-E72D297353CC}">
              <c16:uniqueId val="{00000015-A579-4329-B049-31688AA90476}"/>
            </c:ext>
          </c:extLst>
        </c:ser>
        <c:dLbls>
          <c:showLegendKey val="0"/>
          <c:showVal val="0"/>
          <c:showCatName val="0"/>
          <c:showSerName val="0"/>
          <c:showPercent val="0"/>
          <c:showBubbleSize val="0"/>
        </c:dLbls>
        <c:gapWidth val="150"/>
        <c:axId val="1627048527"/>
        <c:axId val="1636199311"/>
      </c:barChart>
      <c:valAx>
        <c:axId val="1636199311"/>
        <c:scaling>
          <c:orientation val="minMax"/>
        </c:scaling>
        <c:delete val="0"/>
        <c:axPos val="t"/>
        <c:majorGridlines>
          <c:spPr>
            <a:ln w="6345" cap="flat">
              <a:solidFill>
                <a:srgbClr val="898989"/>
              </a:solidFill>
              <a:prstDash val="solid"/>
              <a:round/>
            </a:ln>
          </c:spPr>
        </c:majorGridlines>
        <c:numFmt formatCode="0%" sourceLinked="0"/>
        <c:majorTickMark val="out"/>
        <c:minorTickMark val="none"/>
        <c:tickLblPos val="nextTo"/>
        <c:spPr>
          <a:noFill/>
          <a:ln w="6345" cap="flat">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fr-FR"/>
          </a:p>
        </c:txPr>
        <c:crossAx val="1627048527"/>
        <c:crosses val="autoZero"/>
        <c:crossBetween val="between"/>
      </c:valAx>
      <c:catAx>
        <c:axId val="1627048527"/>
        <c:scaling>
          <c:orientation val="maxMin"/>
        </c:scaling>
        <c:delete val="0"/>
        <c:axPos val="l"/>
        <c:numFmt formatCode="General" sourceLinked="0"/>
        <c:majorTickMark val="out"/>
        <c:minorTickMark val="none"/>
        <c:tickLblPos val="low"/>
        <c:spPr>
          <a:noFill/>
          <a:ln w="6345" cap="flat">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Light"/>
              </a:defRPr>
            </a:pPr>
            <a:endParaRPr lang="fr-FR"/>
          </a:p>
        </c:txPr>
        <c:crossAx val="1636199311"/>
        <c:crossesAt val="0"/>
        <c:auto val="1"/>
        <c:lblAlgn val="ctr"/>
        <c:lblOffset val="100"/>
        <c:noMultiLvlLbl val="0"/>
      </c:catAx>
      <c:spPr>
        <a:noFill/>
        <a:ln>
          <a:noFill/>
        </a:ln>
      </c:spPr>
    </c:plotArea>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Light"/>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926AE-947B-4E3E-8478-307B5E842CC0}">
  <ds:schemaRefs>
    <ds:schemaRef ds:uri="http://schemas.microsoft.com/sharepoint/v3/contenttype/forms"/>
  </ds:schemaRefs>
</ds:datastoreItem>
</file>

<file path=customXml/itemProps2.xml><?xml version="1.0" encoding="utf-8"?>
<ds:datastoreItem xmlns:ds="http://schemas.openxmlformats.org/officeDocument/2006/customXml" ds:itemID="{062BF1DC-65CA-44BA-AE28-9FA8279C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6260E-C3E3-4954-890D-37DBF052C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860</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Voicu</dc:creator>
  <dc:description/>
  <cp:lastModifiedBy>ISO Translation</cp:lastModifiedBy>
  <cp:revision>5</cp:revision>
  <dcterms:created xsi:type="dcterms:W3CDTF">2020-12-11T10:21:00Z</dcterms:created>
  <dcterms:modified xsi:type="dcterms:W3CDTF">2020-12-15T12:53:00Z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ies>
</file>