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FF943" w14:textId="58896730" w:rsidR="00C82D7F" w:rsidRDefault="00C82D7F"/>
    <w:p w14:paraId="340FF944" w14:textId="2E40EF92" w:rsidR="00C82D7F" w:rsidRDefault="00DA46BD">
      <w:pPr>
        <w:pStyle w:val="Heading2"/>
        <w:spacing w:after="80"/>
        <w:jc w:val="both"/>
        <w:rPr>
          <w:rFonts w:ascii="Calibri Light" w:eastAsia="Calibri" w:hAnsi="Calibri Light" w:cs="Calibri Light"/>
          <w:b/>
          <w:spacing w:val="20"/>
          <w:kern w:val="3"/>
          <w:lang w:val="fr-BE"/>
        </w:rPr>
      </w:pPr>
      <w:bookmarkStart w:id="0" w:name="_Hlk4143464"/>
      <w:r w:rsidRPr="00DA46BD">
        <w:rPr>
          <w:rFonts w:ascii="Calibri Light" w:eastAsia="Calibri" w:hAnsi="Calibri Light" w:cs="Calibri Light"/>
          <w:b/>
          <w:spacing w:val="20"/>
          <w:kern w:val="3"/>
          <w:lang w:val="fr-BE"/>
        </w:rPr>
        <w:t>Les autorités nationales de surveillance rejettent les règles relatives aux documents d'information</w:t>
      </w:r>
      <w:r w:rsidR="004D24BD">
        <w:rPr>
          <w:rFonts w:ascii="Calibri Light" w:eastAsia="Calibri" w:hAnsi="Calibri Light" w:cs="Calibri Light"/>
          <w:b/>
          <w:spacing w:val="20"/>
          <w:kern w:val="3"/>
          <w:lang w:val="fr-BE"/>
        </w:rPr>
        <w:t>s</w:t>
      </w:r>
      <w:r w:rsidRPr="00DA46BD">
        <w:rPr>
          <w:rFonts w:ascii="Calibri Light" w:eastAsia="Calibri" w:hAnsi="Calibri Light" w:cs="Calibri Light"/>
          <w:b/>
          <w:spacing w:val="20"/>
          <w:kern w:val="3"/>
          <w:lang w:val="fr-BE"/>
        </w:rPr>
        <w:t xml:space="preserve"> clés pour les produits d'investissement de détail : il est grand temps de mettre en œuvre les recommandations du Forum de haut niveau de la Commission européenne</w:t>
      </w:r>
    </w:p>
    <w:p w14:paraId="0C338318" w14:textId="2F38D509" w:rsidR="004D24BD" w:rsidRDefault="004D24BD" w:rsidP="004D24BD">
      <w:pPr>
        <w:rPr>
          <w:lang w:val="fr-BE"/>
        </w:rPr>
      </w:pPr>
    </w:p>
    <w:p w14:paraId="340FF945" w14:textId="616A3309" w:rsidR="00C82D7F" w:rsidRDefault="00DA46BD">
      <w:pPr>
        <w:pStyle w:val="xmsonormal"/>
        <w:spacing w:after="240"/>
        <w:jc w:val="both"/>
        <w:rPr>
          <w:rFonts w:ascii="Calibri Light" w:hAnsi="Calibri Light" w:cs="Calibri Light"/>
          <w:lang w:val="fr-BE"/>
        </w:rPr>
      </w:pPr>
      <w:r w:rsidRPr="00DA46BD">
        <w:rPr>
          <w:rFonts w:ascii="Calibri Light" w:eastAsia="Times New Roman" w:hAnsi="Calibri Light" w:cs="Calibri Light"/>
          <w:b/>
          <w:bCs/>
          <w:lang w:val="fr-BE"/>
        </w:rPr>
        <w:t xml:space="preserve">Bruxelles, 31 juillet 2020 </w:t>
      </w:r>
      <w:bookmarkEnd w:id="0"/>
      <w:r w:rsidR="006338FA">
        <w:rPr>
          <w:rFonts w:ascii="Calibri Light" w:eastAsia="Times New Roman" w:hAnsi="Calibri Light" w:cs="Calibri Light"/>
          <w:lang w:val="fr-BE"/>
        </w:rPr>
        <w:t>–</w:t>
      </w:r>
      <w:r w:rsidRPr="00DA46BD">
        <w:rPr>
          <w:rFonts w:ascii="Calibri Light" w:eastAsia="Times New Roman" w:hAnsi="Calibri Light" w:cs="Calibri Light"/>
          <w:lang w:val="fr-BE"/>
        </w:rPr>
        <w:t xml:space="preserve"> </w:t>
      </w:r>
      <w:r w:rsidRPr="00DA46BD">
        <w:rPr>
          <w:rFonts w:ascii="Calibri Light" w:hAnsi="Calibri Light" w:cs="Calibri Light"/>
          <w:lang w:val="fr-BE"/>
        </w:rPr>
        <w:t xml:space="preserve">Dans une </w:t>
      </w:r>
      <w:hyperlink r:id="rId9" w:history="1">
        <w:r w:rsidR="004D24BD">
          <w:rPr>
            <w:rStyle w:val="Hyperlink"/>
            <w:rFonts w:ascii="Calibri Light" w:hAnsi="Calibri Light" w:cs="Calibri Light"/>
            <w:lang w:val="fr-BE"/>
          </w:rPr>
          <w:t>lettre</w:t>
        </w:r>
      </w:hyperlink>
      <w:r w:rsidR="004D24BD">
        <w:rPr>
          <w:rFonts w:ascii="Calibri Light" w:hAnsi="Calibri Light" w:cs="Calibri Light"/>
          <w:lang w:val="fr-BE"/>
        </w:rPr>
        <w:t xml:space="preserve"> ad</w:t>
      </w:r>
      <w:r w:rsidRPr="00DA46BD">
        <w:rPr>
          <w:rFonts w:ascii="Calibri Light" w:hAnsi="Calibri Light" w:cs="Calibri Light"/>
          <w:lang w:val="fr-BE"/>
        </w:rPr>
        <w:t xml:space="preserve">ressée à la </w:t>
      </w:r>
      <w:r w:rsidR="004D24BD">
        <w:rPr>
          <w:rFonts w:ascii="Calibri Light" w:hAnsi="Calibri Light" w:cs="Calibri Light"/>
          <w:lang w:val="fr-BE"/>
        </w:rPr>
        <w:t>d</w:t>
      </w:r>
      <w:r w:rsidRPr="00DA46BD">
        <w:rPr>
          <w:rFonts w:ascii="Calibri Light" w:hAnsi="Calibri Light" w:cs="Calibri Light"/>
          <w:lang w:val="fr-BE"/>
        </w:rPr>
        <w:t xml:space="preserve">irection générale de la Commission européenne de la stabilité financière, des services </w:t>
      </w:r>
      <w:r w:rsidR="004D24BD">
        <w:rPr>
          <w:rFonts w:ascii="Calibri Light" w:hAnsi="Calibri Light" w:cs="Calibri Light"/>
          <w:lang w:val="fr-BE"/>
        </w:rPr>
        <w:t xml:space="preserve">financiers </w:t>
      </w:r>
      <w:r w:rsidRPr="00DA46BD">
        <w:rPr>
          <w:rFonts w:ascii="Calibri Light" w:hAnsi="Calibri Light" w:cs="Calibri Light"/>
          <w:lang w:val="fr-BE"/>
        </w:rPr>
        <w:t xml:space="preserve">et des marchés de capitaux (DG FISMA) en date du 20 juin 2020, les </w:t>
      </w:r>
      <w:r w:rsidR="004D24BD">
        <w:rPr>
          <w:rFonts w:ascii="Calibri Light" w:hAnsi="Calibri Light" w:cs="Calibri Light"/>
          <w:lang w:val="fr-BE"/>
        </w:rPr>
        <w:t>A</w:t>
      </w:r>
      <w:r w:rsidRPr="00DA46BD">
        <w:rPr>
          <w:rFonts w:ascii="Calibri Light" w:hAnsi="Calibri Light" w:cs="Calibri Light"/>
          <w:lang w:val="fr-BE"/>
        </w:rPr>
        <w:t xml:space="preserve">utorités européennes de surveillance (AES) ont </w:t>
      </w:r>
      <w:r w:rsidR="004D24BD">
        <w:rPr>
          <w:rFonts w:ascii="Calibri Light" w:hAnsi="Calibri Light" w:cs="Calibri Light"/>
          <w:lang w:val="fr-BE"/>
        </w:rPr>
        <w:t xml:space="preserve">indiqué qu’un de leurs </w:t>
      </w:r>
      <w:r w:rsidRPr="00DA46BD">
        <w:rPr>
          <w:rFonts w:ascii="Calibri Light" w:hAnsi="Calibri Light" w:cs="Calibri Light"/>
          <w:lang w:val="fr-BE"/>
        </w:rPr>
        <w:t xml:space="preserve">conseils de surveillance n'avait pas approuvé le projet de normes techniques </w:t>
      </w:r>
      <w:r w:rsidR="004D24BD">
        <w:rPr>
          <w:rFonts w:ascii="Calibri Light" w:hAnsi="Calibri Light" w:cs="Calibri Light"/>
          <w:lang w:val="fr-BE"/>
        </w:rPr>
        <w:t>de réglementation</w:t>
      </w:r>
      <w:r w:rsidR="006338FA">
        <w:rPr>
          <w:rFonts w:ascii="Calibri Light" w:hAnsi="Calibri Light" w:cs="Calibri Light"/>
          <w:lang w:val="fr-BE"/>
        </w:rPr>
        <w:t xml:space="preserve"> </w:t>
      </w:r>
      <w:r w:rsidRPr="00DA46BD">
        <w:rPr>
          <w:rFonts w:ascii="Calibri Light" w:hAnsi="Calibri Light" w:cs="Calibri Light"/>
          <w:lang w:val="fr-BE"/>
        </w:rPr>
        <w:t>(RTS) de niveau 2 pour le règlement délégué sur les documents d'information</w:t>
      </w:r>
      <w:r w:rsidR="004D24BD">
        <w:rPr>
          <w:rFonts w:ascii="Calibri Light" w:hAnsi="Calibri Light" w:cs="Calibri Light"/>
          <w:lang w:val="fr-BE"/>
        </w:rPr>
        <w:t>s</w:t>
      </w:r>
      <w:r w:rsidRPr="00DA46BD">
        <w:rPr>
          <w:rFonts w:ascii="Calibri Light" w:hAnsi="Calibri Light" w:cs="Calibri Light"/>
          <w:lang w:val="fr-BE"/>
        </w:rPr>
        <w:t xml:space="preserve"> clés</w:t>
      </w:r>
      <w:r w:rsidR="004D24BD">
        <w:rPr>
          <w:rFonts w:ascii="Calibri Light" w:hAnsi="Calibri Light" w:cs="Calibri Light"/>
          <w:lang w:val="fr-BE"/>
        </w:rPr>
        <w:t xml:space="preserve"> pour l’investisseur</w:t>
      </w:r>
      <w:r w:rsidRPr="00DA46BD">
        <w:rPr>
          <w:rFonts w:ascii="Calibri Light" w:hAnsi="Calibri Light" w:cs="Calibri Light"/>
          <w:lang w:val="fr-BE"/>
        </w:rPr>
        <w:t xml:space="preserve"> (</w:t>
      </w:r>
      <w:r w:rsidR="004D24BD">
        <w:rPr>
          <w:rFonts w:ascii="Calibri Light" w:hAnsi="Calibri Light" w:cs="Calibri Light"/>
          <w:lang w:val="fr-BE"/>
        </w:rPr>
        <w:t>DICI</w:t>
      </w:r>
      <w:r w:rsidRPr="00DA46BD">
        <w:rPr>
          <w:rFonts w:ascii="Calibri Light" w:hAnsi="Calibri Light" w:cs="Calibri Light"/>
          <w:lang w:val="fr-BE"/>
        </w:rPr>
        <w:t xml:space="preserve">) </w:t>
      </w:r>
      <w:r w:rsidR="004D24BD">
        <w:rPr>
          <w:rFonts w:ascii="Calibri Light" w:hAnsi="Calibri Light" w:cs="Calibri Light"/>
          <w:lang w:val="fr-BE"/>
        </w:rPr>
        <w:t xml:space="preserve">relatifs aux produits d’investissement packagés de détail et fondés sur l’assurance </w:t>
      </w:r>
      <w:r w:rsidRPr="00DA46BD">
        <w:rPr>
          <w:rFonts w:ascii="Calibri Light" w:hAnsi="Calibri Light" w:cs="Calibri Light"/>
          <w:lang w:val="fr-BE"/>
        </w:rPr>
        <w:t xml:space="preserve">(PRIIP). Cette impasse est due à des </w:t>
      </w:r>
      <w:r w:rsidR="007659CD">
        <w:rPr>
          <w:rFonts w:ascii="Calibri Light" w:hAnsi="Calibri Light" w:cs="Calibri Light"/>
          <w:lang w:val="fr-BE"/>
        </w:rPr>
        <w:t xml:space="preserve">divergences de vues entre </w:t>
      </w:r>
      <w:r w:rsidRPr="00DA46BD">
        <w:rPr>
          <w:rFonts w:ascii="Calibri Light" w:hAnsi="Calibri Light" w:cs="Calibri Light"/>
          <w:lang w:val="fr-BE"/>
        </w:rPr>
        <w:t xml:space="preserve">les présidents de </w:t>
      </w:r>
      <w:r w:rsidR="007659CD">
        <w:rPr>
          <w:rFonts w:ascii="Calibri Light" w:hAnsi="Calibri Light" w:cs="Calibri Light"/>
          <w:lang w:val="fr-BE"/>
        </w:rPr>
        <w:t xml:space="preserve">différentes </w:t>
      </w:r>
      <w:r w:rsidRPr="00DA46BD">
        <w:rPr>
          <w:rFonts w:ascii="Calibri Light" w:hAnsi="Calibri Light" w:cs="Calibri Light"/>
          <w:lang w:val="fr-BE"/>
        </w:rPr>
        <w:t xml:space="preserve">autorités nationales de surveillance </w:t>
      </w:r>
      <w:r w:rsidR="006338FA">
        <w:rPr>
          <w:rFonts w:ascii="Calibri Light" w:hAnsi="Calibri Light" w:cs="Calibri Light"/>
          <w:lang w:val="fr-BE"/>
        </w:rPr>
        <w:t xml:space="preserve">quant à la </w:t>
      </w:r>
      <w:r w:rsidRPr="00DA46BD">
        <w:rPr>
          <w:rFonts w:ascii="Calibri Light" w:hAnsi="Calibri Light" w:cs="Calibri Light"/>
          <w:lang w:val="fr-BE"/>
        </w:rPr>
        <w:t>nécessité d</w:t>
      </w:r>
      <w:r w:rsidR="007659CD">
        <w:rPr>
          <w:rFonts w:ascii="Calibri Light" w:hAnsi="Calibri Light" w:cs="Calibri Light"/>
          <w:lang w:val="fr-BE"/>
        </w:rPr>
        <w:t xml:space="preserve">e réexaminer d’abord </w:t>
      </w:r>
      <w:r w:rsidR="00B81941">
        <w:rPr>
          <w:rFonts w:ascii="Calibri Light" w:hAnsi="Calibri Light" w:cs="Calibri Light"/>
          <w:lang w:val="fr-BE"/>
        </w:rPr>
        <w:t xml:space="preserve">en </w:t>
      </w:r>
      <w:r w:rsidR="007659CD">
        <w:rPr>
          <w:rFonts w:ascii="Calibri Light" w:hAnsi="Calibri Light" w:cs="Calibri Light"/>
          <w:lang w:val="fr-BE"/>
        </w:rPr>
        <w:t xml:space="preserve">niveau 1 et ensuite </w:t>
      </w:r>
      <w:r w:rsidR="00B81941">
        <w:rPr>
          <w:rFonts w:ascii="Calibri Light" w:hAnsi="Calibri Light" w:cs="Calibri Light"/>
          <w:lang w:val="fr-BE"/>
        </w:rPr>
        <w:t>en</w:t>
      </w:r>
      <w:r w:rsidR="007659CD">
        <w:rPr>
          <w:rFonts w:ascii="Calibri Light" w:hAnsi="Calibri Light" w:cs="Calibri Light"/>
          <w:lang w:val="fr-BE"/>
        </w:rPr>
        <w:t xml:space="preserve"> niveau 2</w:t>
      </w:r>
      <w:r w:rsidR="00B81941">
        <w:rPr>
          <w:rFonts w:ascii="Calibri Light" w:hAnsi="Calibri Light" w:cs="Calibri Light"/>
          <w:lang w:val="fr-BE"/>
        </w:rPr>
        <w:t>,</w:t>
      </w:r>
      <w:r w:rsidR="006338FA">
        <w:rPr>
          <w:rFonts w:ascii="Calibri Light" w:hAnsi="Calibri Light" w:cs="Calibri Light"/>
          <w:lang w:val="fr-BE"/>
        </w:rPr>
        <w:t xml:space="preserve"> et la conception</w:t>
      </w:r>
      <w:r w:rsidRPr="00DA46BD">
        <w:rPr>
          <w:rFonts w:ascii="Calibri Light" w:hAnsi="Calibri Light" w:cs="Calibri Light"/>
          <w:lang w:val="fr-BE"/>
        </w:rPr>
        <w:t xml:space="preserve"> de la section </w:t>
      </w:r>
      <w:r w:rsidR="006338FA">
        <w:rPr>
          <w:rFonts w:ascii="Calibri Light" w:hAnsi="Calibri Light" w:cs="Calibri Light"/>
          <w:lang w:val="fr-BE"/>
        </w:rPr>
        <w:t>du DICI r</w:t>
      </w:r>
      <w:r w:rsidRPr="00DA46BD">
        <w:rPr>
          <w:rFonts w:ascii="Calibri Light" w:hAnsi="Calibri Light" w:cs="Calibri Light"/>
          <w:lang w:val="fr-BE"/>
        </w:rPr>
        <w:t>elative aux performances</w:t>
      </w:r>
      <w:r w:rsidR="007659CD">
        <w:rPr>
          <w:rFonts w:ascii="Calibri Light" w:hAnsi="Calibri Light" w:cs="Calibri Light"/>
          <w:lang w:val="fr-BE"/>
        </w:rPr>
        <w:t>.</w:t>
      </w:r>
      <w:r>
        <w:rPr>
          <w:rStyle w:val="FootnoteReference"/>
          <w:rFonts w:ascii="Calibri Light" w:hAnsi="Calibri Light" w:cs="Calibri Light"/>
        </w:rPr>
        <w:footnoteReference w:id="1"/>
      </w:r>
    </w:p>
    <w:p w14:paraId="340FF946" w14:textId="55167984" w:rsidR="00C82D7F" w:rsidRDefault="00DA46BD">
      <w:pPr>
        <w:pStyle w:val="xmsonormal"/>
        <w:spacing w:after="240"/>
        <w:jc w:val="both"/>
        <w:rPr>
          <w:rFonts w:ascii="Calibri Light" w:hAnsi="Calibri Light" w:cs="Calibri Light"/>
          <w:lang w:val="fr-BE"/>
        </w:rPr>
      </w:pPr>
      <w:r w:rsidRPr="00DA46BD">
        <w:rPr>
          <w:rFonts w:ascii="Calibri Light" w:hAnsi="Calibri Light" w:cs="Calibri Light"/>
          <w:lang w:val="fr-BE"/>
        </w:rPr>
        <w:t>BETTER FINANCE regrette qu'une période aussi longue (2 ans) de consultations intenses des parties prenantes et de tests auprès des consommateurs</w:t>
      </w:r>
      <w:r w:rsidR="007659CD">
        <w:rPr>
          <w:rFonts w:ascii="Calibri Light" w:hAnsi="Calibri Light" w:cs="Calibri Light"/>
          <w:lang w:val="fr-BE"/>
        </w:rPr>
        <w:t xml:space="preserve"> menés par les AES et la </w:t>
      </w:r>
      <w:r w:rsidRPr="00DA46BD">
        <w:rPr>
          <w:rFonts w:ascii="Calibri Light" w:hAnsi="Calibri Light" w:cs="Calibri Light"/>
          <w:lang w:val="fr-BE"/>
        </w:rPr>
        <w:t xml:space="preserve">DG FISMA ait finalement abouti à un rejet </w:t>
      </w:r>
      <w:r w:rsidR="00DB65F7">
        <w:rPr>
          <w:rFonts w:ascii="Calibri Light" w:hAnsi="Calibri Light" w:cs="Calibri Light"/>
          <w:lang w:val="fr-BE"/>
        </w:rPr>
        <w:t xml:space="preserve">des </w:t>
      </w:r>
      <w:r w:rsidR="007659CD">
        <w:rPr>
          <w:rFonts w:ascii="Calibri Light" w:hAnsi="Calibri Light" w:cs="Calibri Light"/>
          <w:lang w:val="fr-BE"/>
        </w:rPr>
        <w:t>modification</w:t>
      </w:r>
      <w:r w:rsidR="00DB65F7">
        <w:rPr>
          <w:rFonts w:ascii="Calibri Light" w:hAnsi="Calibri Light" w:cs="Calibri Light"/>
          <w:lang w:val="fr-BE"/>
        </w:rPr>
        <w:t>s</w:t>
      </w:r>
      <w:r w:rsidR="007659CD">
        <w:rPr>
          <w:rFonts w:ascii="Calibri Light" w:hAnsi="Calibri Light" w:cs="Calibri Light"/>
          <w:lang w:val="fr-BE"/>
        </w:rPr>
        <w:t xml:space="preserve"> des règles </w:t>
      </w:r>
      <w:r w:rsidR="00B81941">
        <w:rPr>
          <w:rFonts w:ascii="Calibri Light" w:hAnsi="Calibri Light" w:cs="Calibri Light"/>
          <w:lang w:val="fr-BE"/>
        </w:rPr>
        <w:t>au</w:t>
      </w:r>
      <w:r w:rsidR="007659CD">
        <w:rPr>
          <w:rFonts w:ascii="Calibri Light" w:hAnsi="Calibri Light" w:cs="Calibri Light"/>
          <w:lang w:val="fr-BE"/>
        </w:rPr>
        <w:t xml:space="preserve"> niveau 2, mais ne s’en étonne toutefois pas. </w:t>
      </w:r>
      <w:r w:rsidRPr="00DA46BD">
        <w:rPr>
          <w:rFonts w:ascii="Calibri Light" w:hAnsi="Calibri Light" w:cs="Calibri Light"/>
          <w:lang w:val="fr-BE"/>
        </w:rPr>
        <w:t>Comme</w:t>
      </w:r>
      <w:r w:rsidR="007659CD">
        <w:rPr>
          <w:rFonts w:ascii="Calibri Light" w:hAnsi="Calibri Light" w:cs="Calibri Light"/>
          <w:lang w:val="fr-BE"/>
        </w:rPr>
        <w:t xml:space="preserve"> indiqué à de n</w:t>
      </w:r>
      <w:r w:rsidRPr="00DA46BD">
        <w:rPr>
          <w:rFonts w:ascii="Calibri Light" w:hAnsi="Calibri Light" w:cs="Calibri Light"/>
          <w:lang w:val="fr-BE"/>
        </w:rPr>
        <w:t xml:space="preserve">ombreuses reprises, les principales questions relatives aux PRIIP ne peuvent être </w:t>
      </w:r>
      <w:r w:rsidR="00F2539C">
        <w:rPr>
          <w:rFonts w:ascii="Calibri Light" w:hAnsi="Calibri Light" w:cs="Calibri Light"/>
          <w:lang w:val="fr-BE"/>
        </w:rPr>
        <w:t xml:space="preserve">examinées par les colégislateurs qu’au niveau 1, </w:t>
      </w:r>
      <w:r w:rsidR="00DB65F7">
        <w:rPr>
          <w:rFonts w:ascii="Calibri Light" w:hAnsi="Calibri Light" w:cs="Calibri Light"/>
          <w:lang w:val="fr-BE"/>
        </w:rPr>
        <w:t xml:space="preserve">ainsi que </w:t>
      </w:r>
      <w:r w:rsidRPr="00DA46BD">
        <w:rPr>
          <w:rFonts w:ascii="Calibri Light" w:hAnsi="Calibri Light" w:cs="Calibri Light"/>
          <w:lang w:val="fr-BE"/>
        </w:rPr>
        <w:t xml:space="preserve">l'ont souligné les AES elles-mêmes. À la lumière de ce rejet et conformément à la recommandation formulée dans le </w:t>
      </w:r>
      <w:hyperlink r:id="rId10" w:history="1">
        <w:r w:rsidRPr="00DA46BD">
          <w:rPr>
            <w:rStyle w:val="Hyperlink"/>
            <w:rFonts w:ascii="Calibri Light" w:hAnsi="Calibri Light" w:cs="Calibri Light"/>
            <w:lang w:val="fr-BE"/>
          </w:rPr>
          <w:t xml:space="preserve">rapport final du </w:t>
        </w:r>
        <w:r w:rsidR="00F2539C">
          <w:rPr>
            <w:rStyle w:val="Hyperlink"/>
            <w:rFonts w:ascii="Calibri Light" w:hAnsi="Calibri Light" w:cs="Calibri Light"/>
            <w:lang w:val="fr-BE"/>
          </w:rPr>
          <w:t>F</w:t>
        </w:r>
        <w:r w:rsidRPr="00DA46BD">
          <w:rPr>
            <w:rStyle w:val="Hyperlink"/>
            <w:rFonts w:ascii="Calibri Light" w:hAnsi="Calibri Light" w:cs="Calibri Light"/>
            <w:lang w:val="fr-BE"/>
          </w:rPr>
          <w:t xml:space="preserve">orum de haut niveau </w:t>
        </w:r>
        <w:r w:rsidR="00F2539C">
          <w:rPr>
            <w:rStyle w:val="Hyperlink"/>
            <w:rFonts w:ascii="Calibri Light" w:hAnsi="Calibri Light" w:cs="Calibri Light"/>
            <w:lang w:val="fr-BE"/>
          </w:rPr>
          <w:t>sur l’Union des marchés de capitaux</w:t>
        </w:r>
      </w:hyperlink>
      <w:r w:rsidRPr="00DA46BD">
        <w:rPr>
          <w:rFonts w:ascii="Calibri Light" w:hAnsi="Calibri Light" w:cs="Calibri Light"/>
          <w:lang w:val="fr-BE"/>
        </w:rPr>
        <w:t xml:space="preserve">, BETTER FINANCE </w:t>
      </w:r>
      <w:r w:rsidR="00F2539C">
        <w:rPr>
          <w:rFonts w:ascii="Calibri Light" w:hAnsi="Calibri Light" w:cs="Calibri Light"/>
          <w:lang w:val="fr-BE"/>
        </w:rPr>
        <w:t xml:space="preserve">appelle les </w:t>
      </w:r>
      <w:r w:rsidRPr="00DA46BD">
        <w:rPr>
          <w:rFonts w:ascii="Calibri Light" w:hAnsi="Calibri Light" w:cs="Calibri Light"/>
          <w:lang w:val="fr-BE"/>
        </w:rPr>
        <w:t xml:space="preserve">colégislateurs </w:t>
      </w:r>
      <w:r w:rsidR="00F2539C">
        <w:rPr>
          <w:rFonts w:ascii="Calibri Light" w:hAnsi="Calibri Light" w:cs="Calibri Light"/>
          <w:lang w:val="fr-BE"/>
        </w:rPr>
        <w:t xml:space="preserve">à </w:t>
      </w:r>
      <w:r w:rsidRPr="00DA46BD">
        <w:rPr>
          <w:rFonts w:ascii="Calibri Light" w:hAnsi="Calibri Light" w:cs="Calibri Light"/>
          <w:lang w:val="fr-BE"/>
        </w:rPr>
        <w:t>prolonger immédiatement l'exemption</w:t>
      </w:r>
      <w:r w:rsidR="00F2539C">
        <w:rPr>
          <w:rFonts w:ascii="Calibri Light" w:hAnsi="Calibri Light" w:cs="Calibri Light"/>
          <w:lang w:val="fr-BE"/>
        </w:rPr>
        <w:t xml:space="preserve"> du </w:t>
      </w:r>
      <w:r w:rsidR="00C844CF">
        <w:rPr>
          <w:rFonts w:ascii="Calibri Light" w:hAnsi="Calibri Light" w:cs="Calibri Light"/>
          <w:lang w:val="fr-BE"/>
        </w:rPr>
        <w:t>DICI</w:t>
      </w:r>
      <w:r w:rsidR="00F2539C">
        <w:rPr>
          <w:rFonts w:ascii="Calibri Light" w:hAnsi="Calibri Light" w:cs="Calibri Light"/>
          <w:lang w:val="fr-BE"/>
        </w:rPr>
        <w:t xml:space="preserve"> PRIIP pour les fonds OPCVM (organismes</w:t>
      </w:r>
      <w:r w:rsidRPr="00DA46BD">
        <w:rPr>
          <w:rFonts w:ascii="Calibri Light" w:hAnsi="Calibri Light" w:cs="Calibri Light"/>
          <w:lang w:val="fr-BE"/>
        </w:rPr>
        <w:t xml:space="preserve"> de placement collectif en valeurs mobilières</w:t>
      </w:r>
      <w:r w:rsidR="00F2539C">
        <w:rPr>
          <w:rFonts w:ascii="Calibri Light" w:hAnsi="Calibri Light" w:cs="Calibri Light"/>
          <w:lang w:val="fr-BE"/>
        </w:rPr>
        <w:t>), au minimum jusqu’à la fin d</w:t>
      </w:r>
      <w:r w:rsidR="00DB65F7">
        <w:rPr>
          <w:rFonts w:ascii="Calibri Light" w:hAnsi="Calibri Light" w:cs="Calibri Light"/>
          <w:lang w:val="fr-BE"/>
        </w:rPr>
        <w:t xml:space="preserve">e la procédure de révision aux </w:t>
      </w:r>
      <w:r w:rsidR="00F2539C">
        <w:rPr>
          <w:rFonts w:ascii="Calibri Light" w:hAnsi="Calibri Light" w:cs="Calibri Light"/>
          <w:lang w:val="fr-BE"/>
        </w:rPr>
        <w:t>niveaux 1 et 2.</w:t>
      </w:r>
      <w:r w:rsidR="006338FA">
        <w:rPr>
          <w:rFonts w:ascii="Calibri Light" w:hAnsi="Calibri Light" w:cs="Calibri Light"/>
          <w:lang w:val="fr-BE"/>
        </w:rPr>
        <w:t xml:space="preserve"> </w:t>
      </w:r>
    </w:p>
    <w:p w14:paraId="340FF947" w14:textId="5909BCB2" w:rsidR="00C82D7F" w:rsidRPr="00DA46BD" w:rsidRDefault="00DA46BD">
      <w:pPr>
        <w:pStyle w:val="xmsonormal"/>
        <w:spacing w:after="240"/>
        <w:jc w:val="both"/>
        <w:rPr>
          <w:lang w:val="fr-BE"/>
        </w:rPr>
      </w:pPr>
      <w:r w:rsidRPr="00DA46BD">
        <w:rPr>
          <w:rFonts w:ascii="Calibri Light" w:hAnsi="Calibri Light" w:cs="Calibri Light"/>
          <w:lang w:val="fr-BE"/>
        </w:rPr>
        <w:t xml:space="preserve">Tout </w:t>
      </w:r>
      <w:r w:rsidR="00DB65F7">
        <w:rPr>
          <w:rFonts w:ascii="Calibri Light" w:hAnsi="Calibri Light" w:cs="Calibri Light"/>
          <w:lang w:val="fr-BE"/>
        </w:rPr>
        <w:t>rée</w:t>
      </w:r>
      <w:r w:rsidR="00DB65F7" w:rsidRPr="00DA46BD">
        <w:rPr>
          <w:rFonts w:ascii="Calibri Light" w:hAnsi="Calibri Light" w:cs="Calibri Light"/>
          <w:lang w:val="fr-BE"/>
        </w:rPr>
        <w:t>xamen</w:t>
      </w:r>
      <w:r w:rsidRPr="00DA46BD">
        <w:rPr>
          <w:rFonts w:ascii="Calibri Light" w:hAnsi="Calibri Light" w:cs="Calibri Light"/>
          <w:lang w:val="fr-BE"/>
        </w:rPr>
        <w:t xml:space="preserve"> doit commencer par le niveau 1, et non l'inverse. Comme le montrent de plus en plus les </w:t>
      </w:r>
      <w:r w:rsidR="00F2539C">
        <w:rPr>
          <w:rFonts w:ascii="Calibri Light" w:hAnsi="Calibri Light" w:cs="Calibri Light"/>
          <w:lang w:val="fr-BE"/>
        </w:rPr>
        <w:t xml:space="preserve">éléments et données probantes </w:t>
      </w:r>
      <w:r w:rsidRPr="00DA46BD">
        <w:rPr>
          <w:rFonts w:ascii="Calibri Light" w:hAnsi="Calibri Light" w:cs="Calibri Light"/>
          <w:lang w:val="fr-BE"/>
        </w:rPr>
        <w:t>présenté</w:t>
      </w:r>
      <w:r w:rsidR="00F2539C">
        <w:rPr>
          <w:rFonts w:ascii="Calibri Light" w:hAnsi="Calibri Light" w:cs="Calibri Light"/>
          <w:lang w:val="fr-BE"/>
        </w:rPr>
        <w:t>s</w:t>
      </w:r>
      <w:r w:rsidRPr="00DA46BD">
        <w:rPr>
          <w:rFonts w:ascii="Calibri Light" w:hAnsi="Calibri Light" w:cs="Calibri Light"/>
          <w:lang w:val="fr-BE"/>
        </w:rPr>
        <w:t xml:space="preserve"> par les parties</w:t>
      </w:r>
      <w:r w:rsidR="00C844CF">
        <w:rPr>
          <w:rFonts w:ascii="Calibri Light" w:hAnsi="Calibri Light" w:cs="Calibri Light"/>
          <w:lang w:val="fr-BE"/>
        </w:rPr>
        <w:t xml:space="preserve"> intéressées et les </w:t>
      </w:r>
      <w:r w:rsidRPr="00DA46BD">
        <w:rPr>
          <w:rFonts w:ascii="Calibri Light" w:hAnsi="Calibri Light" w:cs="Calibri Light"/>
          <w:lang w:val="fr-BE"/>
        </w:rPr>
        <w:t>autorités nationales compétentes (ANC)</w:t>
      </w:r>
      <w:r w:rsidR="00C844CF">
        <w:rPr>
          <w:rFonts w:ascii="Calibri Light" w:hAnsi="Calibri Light" w:cs="Calibri Light"/>
          <w:lang w:val="fr-BE"/>
        </w:rPr>
        <w:t>, et ainsi que le proposent les AES</w:t>
      </w:r>
      <w:r w:rsidRPr="00DA46BD">
        <w:rPr>
          <w:rFonts w:ascii="Calibri Light" w:hAnsi="Calibri Light" w:cs="Calibri Light"/>
          <w:lang w:val="fr-BE"/>
        </w:rPr>
        <w:t xml:space="preserve">, </w:t>
      </w:r>
      <w:r w:rsidR="00DB65F7">
        <w:rPr>
          <w:rFonts w:ascii="Calibri Light" w:hAnsi="Calibri Light" w:cs="Calibri Light"/>
          <w:lang w:val="fr-BE"/>
        </w:rPr>
        <w:t xml:space="preserve">les nouvelles règles devraient </w:t>
      </w:r>
      <w:r w:rsidRPr="00DA46BD">
        <w:rPr>
          <w:rFonts w:ascii="Calibri Light" w:hAnsi="Calibri Light" w:cs="Calibri Light"/>
          <w:lang w:val="fr-BE"/>
        </w:rPr>
        <w:t xml:space="preserve">rétablir d'urgence l'exigence d'inclure </w:t>
      </w:r>
      <w:r w:rsidR="00C844CF">
        <w:rPr>
          <w:rFonts w:ascii="Calibri Light" w:hAnsi="Calibri Light" w:cs="Calibri Light"/>
          <w:lang w:val="fr-BE"/>
        </w:rPr>
        <w:t>dans la section « performances » du DICI PRIIP un</w:t>
      </w:r>
      <w:r w:rsidR="00DB65F7">
        <w:rPr>
          <w:rFonts w:ascii="Calibri Light" w:hAnsi="Calibri Light" w:cs="Calibri Light"/>
          <w:lang w:val="fr-BE"/>
        </w:rPr>
        <w:t>e</w:t>
      </w:r>
      <w:r w:rsidR="00C844CF">
        <w:rPr>
          <w:rFonts w:ascii="Calibri Light" w:hAnsi="Calibri Light" w:cs="Calibri Light"/>
          <w:lang w:val="fr-BE"/>
        </w:rPr>
        <w:t xml:space="preserve"> comparaison des </w:t>
      </w:r>
      <w:r w:rsidRPr="00DA46BD">
        <w:rPr>
          <w:rFonts w:ascii="Calibri Light" w:eastAsia="Times New Roman" w:hAnsi="Calibri Light" w:cs="Calibri Light"/>
          <w:lang w:val="fr-BE"/>
        </w:rPr>
        <w:t>performances réelles à long terme par rapport à l'indice de référence du gestionnaire, comme c'est actuellement le cas pour le document d'information</w:t>
      </w:r>
      <w:r w:rsidR="00C844CF">
        <w:rPr>
          <w:rFonts w:ascii="Calibri Light" w:eastAsia="Times New Roman" w:hAnsi="Calibri Light" w:cs="Calibri Light"/>
          <w:lang w:val="fr-BE"/>
        </w:rPr>
        <w:t>s clés pour l’investisseur remis pour les fonds d’organismes de placement collectif en valeurs mobilières (DICI OPCVM).</w:t>
      </w:r>
      <w:r w:rsidR="006338FA">
        <w:rPr>
          <w:rFonts w:ascii="Calibri Light" w:eastAsia="Times New Roman" w:hAnsi="Calibri Light" w:cs="Calibri Light"/>
          <w:lang w:val="fr-BE"/>
        </w:rPr>
        <w:t xml:space="preserve"> </w:t>
      </w:r>
    </w:p>
    <w:p w14:paraId="340FF948" w14:textId="4A928945" w:rsidR="00C82D7F" w:rsidRPr="00DA46BD" w:rsidRDefault="00DA46BD">
      <w:pPr>
        <w:pStyle w:val="xmsonormal"/>
        <w:spacing w:after="240"/>
        <w:jc w:val="both"/>
        <w:rPr>
          <w:lang w:val="fr-BE"/>
        </w:rPr>
      </w:pPr>
      <w:r w:rsidRPr="00DA46BD">
        <w:rPr>
          <w:rFonts w:ascii="Calibri Light" w:eastAsia="Times New Roman" w:hAnsi="Calibri Light" w:cs="Calibri Light"/>
          <w:lang w:val="fr-BE"/>
        </w:rPr>
        <w:t xml:space="preserve">Guillaume Prache, directeur général de BETTER FINANCE, souligne le fait que </w:t>
      </w:r>
      <w:r w:rsidR="00C844CF">
        <w:rPr>
          <w:rFonts w:ascii="Calibri Light" w:eastAsia="Times New Roman" w:hAnsi="Calibri Light" w:cs="Calibri Light"/>
          <w:i/>
          <w:iCs/>
          <w:lang w:val="fr-BE"/>
        </w:rPr>
        <w:t>« </w:t>
      </w:r>
      <w:r w:rsidRPr="00DA46BD">
        <w:rPr>
          <w:rFonts w:ascii="Calibri Light" w:eastAsia="Times New Roman" w:hAnsi="Calibri Light" w:cs="Calibri Light"/>
          <w:i/>
          <w:iCs/>
          <w:lang w:val="fr-BE"/>
        </w:rPr>
        <w:t>la</w:t>
      </w:r>
      <w:r w:rsidR="00C844CF">
        <w:rPr>
          <w:rFonts w:ascii="Calibri Light" w:eastAsia="Times New Roman" w:hAnsi="Calibri Light" w:cs="Calibri Light"/>
          <w:i/>
          <w:iCs/>
          <w:lang w:val="fr-BE"/>
        </w:rPr>
        <w:t xml:space="preserve"> structure et le contenu actuels du DICI PRIIP sont très contestables en termes de protection des consommateurs. Les</w:t>
      </w:r>
      <w:r w:rsidR="006338FA">
        <w:rPr>
          <w:rFonts w:ascii="Calibri Light" w:eastAsia="Times New Roman" w:hAnsi="Calibri Light" w:cs="Calibri Light"/>
          <w:i/>
          <w:iCs/>
          <w:lang w:val="fr-BE"/>
        </w:rPr>
        <w:t xml:space="preserve"> </w:t>
      </w:r>
      <w:r w:rsidRPr="00DA46BD">
        <w:rPr>
          <w:rFonts w:ascii="Calibri Light" w:eastAsia="Times New Roman" w:hAnsi="Calibri Light" w:cs="Calibri Light"/>
          <w:i/>
          <w:iCs/>
          <w:lang w:val="fr-BE"/>
        </w:rPr>
        <w:t>AES ont été prises au milieu d</w:t>
      </w:r>
      <w:r w:rsidR="00C844CF">
        <w:rPr>
          <w:rFonts w:ascii="Calibri Light" w:eastAsia="Times New Roman" w:hAnsi="Calibri Light" w:cs="Calibri Light"/>
          <w:i/>
          <w:iCs/>
          <w:lang w:val="fr-BE"/>
        </w:rPr>
        <w:t xml:space="preserve">e tirs croisés des </w:t>
      </w:r>
      <w:r w:rsidR="00FB382C">
        <w:rPr>
          <w:rFonts w:ascii="Calibri Light" w:eastAsia="Times New Roman" w:hAnsi="Calibri Light" w:cs="Calibri Light"/>
          <w:i/>
          <w:iCs/>
          <w:lang w:val="fr-BE"/>
        </w:rPr>
        <w:t>parties intéressées, des consommateurs, des décideurs et des autorités nationales de surveillance, aux points de vue inconciliables.</w:t>
      </w:r>
      <w:r w:rsidR="006338FA">
        <w:rPr>
          <w:rFonts w:ascii="Calibri Light" w:eastAsia="Times New Roman" w:hAnsi="Calibri Light" w:cs="Calibri Light"/>
          <w:i/>
          <w:iCs/>
          <w:lang w:val="fr-BE"/>
        </w:rPr>
        <w:t xml:space="preserve"> </w:t>
      </w:r>
    </w:p>
    <w:p w14:paraId="340FF949" w14:textId="0FF930C1" w:rsidR="00C82D7F" w:rsidRPr="00DA46BD" w:rsidRDefault="00FB382C">
      <w:pPr>
        <w:pStyle w:val="xmsonormal"/>
        <w:spacing w:after="240"/>
        <w:jc w:val="both"/>
        <w:rPr>
          <w:lang w:val="fr-BE"/>
        </w:rPr>
      </w:pPr>
      <w:r>
        <w:rPr>
          <w:rFonts w:ascii="Calibri Light" w:eastAsia="Times New Roman" w:hAnsi="Calibri Light" w:cs="Calibri Light"/>
          <w:i/>
          <w:iCs/>
          <w:lang w:val="fr-BE"/>
        </w:rPr>
        <w:t>« </w:t>
      </w:r>
      <w:r w:rsidR="00DA46BD" w:rsidRPr="00DA46BD">
        <w:rPr>
          <w:rFonts w:ascii="Calibri Light" w:eastAsia="Times New Roman" w:hAnsi="Calibri Light" w:cs="Calibri Light"/>
          <w:i/>
          <w:iCs/>
          <w:lang w:val="fr-BE"/>
        </w:rPr>
        <w:t>D'un autre côté</w:t>
      </w:r>
      <w:r>
        <w:rPr>
          <w:rFonts w:ascii="Calibri Light" w:eastAsia="Times New Roman" w:hAnsi="Calibri Light" w:cs="Calibri Light"/>
          <w:i/>
          <w:iCs/>
          <w:lang w:val="fr-BE"/>
        </w:rPr>
        <w:t xml:space="preserve"> », </w:t>
      </w:r>
      <w:r>
        <w:rPr>
          <w:rFonts w:ascii="Calibri Light" w:eastAsia="Times New Roman" w:hAnsi="Calibri Light" w:cs="Calibri Light"/>
          <w:lang w:val="fr-BE"/>
        </w:rPr>
        <w:t xml:space="preserve">poursuit </w:t>
      </w:r>
      <w:r w:rsidR="00DA46BD" w:rsidRPr="00DA46BD">
        <w:rPr>
          <w:rFonts w:ascii="Calibri Light" w:eastAsia="Times New Roman" w:hAnsi="Calibri Light" w:cs="Calibri Light"/>
          <w:lang w:val="fr-BE"/>
        </w:rPr>
        <w:t>M</w:t>
      </w:r>
      <w:r w:rsidR="00DA46BD" w:rsidRPr="00DA46BD">
        <w:rPr>
          <w:rFonts w:ascii="Calibri Light" w:eastAsia="Times New Roman" w:hAnsi="Calibri Light" w:cs="Calibri Light"/>
          <w:i/>
          <w:iCs/>
          <w:lang w:val="fr-BE"/>
        </w:rPr>
        <w:t>.</w:t>
      </w:r>
      <w:r w:rsidR="00DA46BD" w:rsidRPr="00DA46BD">
        <w:rPr>
          <w:rFonts w:ascii="Calibri Light" w:eastAsia="Times New Roman" w:hAnsi="Calibri Light" w:cs="Calibri Light"/>
          <w:lang w:val="fr-BE"/>
        </w:rPr>
        <w:t xml:space="preserve"> Prache, </w:t>
      </w:r>
      <w:r>
        <w:rPr>
          <w:rFonts w:ascii="Calibri Light" w:eastAsia="Times New Roman" w:hAnsi="Calibri Light" w:cs="Calibri Light"/>
          <w:i/>
          <w:iCs/>
          <w:lang w:val="fr-BE"/>
        </w:rPr>
        <w:t xml:space="preserve">« ce malheureux retard est peut-être aussi d’une certaine façon une bonne chose, car ce </w:t>
      </w:r>
      <w:r w:rsidR="00DA46BD" w:rsidRPr="00DA46BD">
        <w:rPr>
          <w:rFonts w:ascii="Calibri Light" w:eastAsia="Times New Roman" w:hAnsi="Calibri Light" w:cs="Calibri Light"/>
          <w:i/>
          <w:iCs/>
          <w:lang w:val="fr-BE"/>
        </w:rPr>
        <w:t>rejet d</w:t>
      </w:r>
      <w:r>
        <w:rPr>
          <w:rFonts w:ascii="Calibri Light" w:eastAsia="Times New Roman" w:hAnsi="Calibri Light" w:cs="Calibri Light"/>
          <w:i/>
          <w:iCs/>
          <w:lang w:val="fr-BE"/>
        </w:rPr>
        <w:t>es NTR pour les PRIIP</w:t>
      </w:r>
      <w:r w:rsidR="00DA46BD" w:rsidRPr="00DA46BD">
        <w:rPr>
          <w:rFonts w:ascii="Calibri Light" w:eastAsia="Times New Roman" w:hAnsi="Calibri Light" w:cs="Calibri Light"/>
          <w:i/>
          <w:iCs/>
          <w:lang w:val="fr-BE"/>
        </w:rPr>
        <w:t xml:space="preserve"> par le </w:t>
      </w:r>
      <w:r>
        <w:rPr>
          <w:rFonts w:ascii="Calibri Light" w:eastAsia="Times New Roman" w:hAnsi="Calibri Light" w:cs="Calibri Light"/>
          <w:i/>
          <w:iCs/>
          <w:lang w:val="fr-BE"/>
        </w:rPr>
        <w:t>C</w:t>
      </w:r>
      <w:r w:rsidR="00DA46BD" w:rsidRPr="00DA46BD">
        <w:rPr>
          <w:rFonts w:ascii="Calibri Light" w:eastAsia="Times New Roman" w:hAnsi="Calibri Light" w:cs="Calibri Light"/>
          <w:i/>
          <w:iCs/>
          <w:lang w:val="fr-BE"/>
        </w:rPr>
        <w:t xml:space="preserve">omité </w:t>
      </w:r>
      <w:r>
        <w:rPr>
          <w:rFonts w:ascii="Calibri Light" w:eastAsia="Times New Roman" w:hAnsi="Calibri Light" w:cs="Calibri Light"/>
          <w:i/>
          <w:iCs/>
          <w:lang w:val="fr-BE"/>
        </w:rPr>
        <w:t>mixte</w:t>
      </w:r>
      <w:r w:rsidR="00DA46BD" w:rsidRPr="00DA46BD">
        <w:rPr>
          <w:rFonts w:ascii="Calibri Light" w:eastAsia="Times New Roman" w:hAnsi="Calibri Light" w:cs="Calibri Light"/>
          <w:i/>
          <w:iCs/>
          <w:lang w:val="fr-BE"/>
        </w:rPr>
        <w:t xml:space="preserve"> des AES pourrait très bien représenter une opportunité de procéder à une révision bien nécessaire des </w:t>
      </w:r>
      <w:r>
        <w:rPr>
          <w:rFonts w:ascii="Calibri Light" w:eastAsia="Times New Roman" w:hAnsi="Calibri Light" w:cs="Calibri Light"/>
          <w:i/>
          <w:iCs/>
          <w:lang w:val="fr-BE"/>
        </w:rPr>
        <w:t xml:space="preserve">règles </w:t>
      </w:r>
      <w:r w:rsidR="00DA46BD" w:rsidRPr="00DA46BD">
        <w:rPr>
          <w:rFonts w:ascii="Calibri Light" w:eastAsia="Times New Roman" w:hAnsi="Calibri Light" w:cs="Calibri Light"/>
          <w:i/>
          <w:iCs/>
          <w:lang w:val="fr-BE"/>
        </w:rPr>
        <w:t xml:space="preserve">PRIIP de niveau 1 et 2, à condition que l'exemption </w:t>
      </w:r>
      <w:r>
        <w:rPr>
          <w:rFonts w:ascii="Calibri Light" w:eastAsia="Times New Roman" w:hAnsi="Calibri Light" w:cs="Calibri Light"/>
          <w:i/>
          <w:iCs/>
          <w:lang w:val="fr-BE"/>
        </w:rPr>
        <w:t>du DICI pour les</w:t>
      </w:r>
      <w:r w:rsidR="00DB65F7">
        <w:rPr>
          <w:rFonts w:ascii="Calibri Light" w:eastAsia="Times New Roman" w:hAnsi="Calibri Light" w:cs="Calibri Light"/>
          <w:i/>
          <w:iCs/>
          <w:lang w:val="fr-BE"/>
        </w:rPr>
        <w:t xml:space="preserve"> fonds</w:t>
      </w:r>
      <w:r>
        <w:rPr>
          <w:rFonts w:ascii="Calibri Light" w:eastAsia="Times New Roman" w:hAnsi="Calibri Light" w:cs="Calibri Light"/>
          <w:i/>
          <w:iCs/>
          <w:lang w:val="fr-BE"/>
        </w:rPr>
        <w:t xml:space="preserve"> OPCVM </w:t>
      </w:r>
      <w:r w:rsidR="00DA46BD" w:rsidRPr="00DA46BD">
        <w:rPr>
          <w:rFonts w:ascii="Calibri Light" w:eastAsia="Times New Roman" w:hAnsi="Calibri Light" w:cs="Calibri Light"/>
          <w:i/>
          <w:iCs/>
          <w:lang w:val="fr-BE"/>
        </w:rPr>
        <w:t>soit prolongée au-delà de</w:t>
      </w:r>
      <w:r>
        <w:rPr>
          <w:rFonts w:ascii="Calibri Light" w:eastAsia="Times New Roman" w:hAnsi="Calibri Light" w:cs="Calibri Light"/>
          <w:i/>
          <w:iCs/>
          <w:lang w:val="fr-BE"/>
        </w:rPr>
        <w:t xml:space="preserve"> la fin de cette </w:t>
      </w:r>
      <w:r>
        <w:rPr>
          <w:rFonts w:ascii="Calibri Light" w:eastAsia="Times New Roman" w:hAnsi="Calibri Light" w:cs="Calibri Light"/>
          <w:i/>
          <w:iCs/>
          <w:lang w:val="fr-BE"/>
        </w:rPr>
        <w:lastRenderedPageBreak/>
        <w:t>procédure de révision, comme le Groupe de haut niveau sur l’Union des marchés de capitaux, mis en place par la CE elle-même, l’a vivement recommandé le mois dernier. »</w:t>
      </w:r>
      <w:r w:rsidR="006338FA">
        <w:rPr>
          <w:rFonts w:ascii="Calibri Light" w:eastAsia="Times New Roman" w:hAnsi="Calibri Light" w:cs="Calibri Light"/>
          <w:i/>
          <w:iCs/>
          <w:lang w:val="fr-BE"/>
        </w:rPr>
        <w:t xml:space="preserve"> </w:t>
      </w:r>
    </w:p>
    <w:p w14:paraId="340FF94A" w14:textId="0A251583" w:rsidR="00C82D7F" w:rsidRPr="00DA46BD" w:rsidRDefault="00FB382C">
      <w:pPr>
        <w:pStyle w:val="xmsonormal"/>
        <w:jc w:val="both"/>
        <w:rPr>
          <w:lang w:val="fr-BE"/>
        </w:rPr>
      </w:pPr>
      <w:r>
        <w:rPr>
          <w:rFonts w:ascii="Calibri Light" w:hAnsi="Calibri Light" w:cs="Calibri Light"/>
          <w:lang w:val="fr-BE"/>
        </w:rPr>
        <w:t xml:space="preserve">M. Prache ajoute </w:t>
      </w:r>
      <w:r w:rsidR="006338FA">
        <w:rPr>
          <w:rFonts w:ascii="Calibri Light" w:hAnsi="Calibri Light" w:cs="Calibri Light"/>
          <w:i/>
          <w:iCs/>
          <w:lang w:val="fr-BE"/>
        </w:rPr>
        <w:t xml:space="preserve">« qu’il se réjouit aussi que de </w:t>
      </w:r>
      <w:r w:rsidR="00DA46BD" w:rsidRPr="00DA46BD">
        <w:rPr>
          <w:rFonts w:ascii="Calibri Light" w:hAnsi="Calibri Light" w:cs="Calibri Light"/>
          <w:i/>
          <w:iCs/>
          <w:lang w:val="fr-BE"/>
        </w:rPr>
        <w:t xml:space="preserve">nombreux amendements proposés ou soutenus par BETTER FINANCE </w:t>
      </w:r>
      <w:r w:rsidR="00B81941">
        <w:rPr>
          <w:rFonts w:ascii="Calibri Light" w:hAnsi="Calibri Light" w:cs="Calibri Light"/>
          <w:i/>
          <w:iCs/>
          <w:lang w:val="fr-BE"/>
        </w:rPr>
        <w:t xml:space="preserve">aient </w:t>
      </w:r>
      <w:r w:rsidR="006338FA">
        <w:rPr>
          <w:rFonts w:ascii="Calibri Light" w:hAnsi="Calibri Light" w:cs="Calibri Light"/>
          <w:i/>
          <w:iCs/>
          <w:lang w:val="fr-BE"/>
        </w:rPr>
        <w:t xml:space="preserve">bénéficié du </w:t>
      </w:r>
      <w:r w:rsidR="00DA46BD" w:rsidRPr="00DA46BD">
        <w:rPr>
          <w:rFonts w:ascii="Calibri Light" w:hAnsi="Calibri Light" w:cs="Calibri Light"/>
          <w:i/>
          <w:iCs/>
          <w:lang w:val="fr-BE"/>
        </w:rPr>
        <w:t>soutien d'une majorité qualifiée au sein de l'Autorité bancaire européenne (ABE) et de l'Autorité européenne des marchés financiers (AEMF)</w:t>
      </w:r>
      <w:r w:rsidR="00DB65F7">
        <w:rPr>
          <w:rFonts w:ascii="Calibri Light" w:hAnsi="Calibri Light" w:cs="Calibri Light"/>
          <w:i/>
          <w:iCs/>
          <w:lang w:val="fr-BE"/>
        </w:rPr>
        <w:t> »</w:t>
      </w:r>
      <w:r w:rsidR="00DA46BD" w:rsidRPr="00DA46BD">
        <w:rPr>
          <w:rFonts w:ascii="Calibri Light" w:hAnsi="Calibri Light" w:cs="Calibri Light"/>
          <w:i/>
          <w:iCs/>
          <w:lang w:val="fr-BE"/>
        </w:rPr>
        <w:t>.</w:t>
      </w:r>
    </w:p>
    <w:p w14:paraId="340FF94B" w14:textId="77777777" w:rsidR="00C82D7F" w:rsidRPr="00DA46BD" w:rsidRDefault="00DA46BD">
      <w:pPr>
        <w:spacing w:before="120" w:after="0" w:line="240" w:lineRule="auto"/>
        <w:jc w:val="center"/>
        <w:rPr>
          <w:rFonts w:ascii="Calibri Light" w:hAnsi="Calibri Light" w:cs="Calibri Light"/>
          <w:lang w:val="fr-BE"/>
        </w:rPr>
      </w:pPr>
      <w:r w:rsidRPr="00DA46BD">
        <w:rPr>
          <w:rFonts w:ascii="Calibri Light" w:hAnsi="Calibri Light" w:cs="Calibri Light"/>
          <w:lang w:val="fr-BE"/>
        </w:rPr>
        <w:t>***</w:t>
      </w:r>
    </w:p>
    <w:p w14:paraId="340FF94C" w14:textId="75671CA5" w:rsidR="00C82D7F" w:rsidRDefault="00DA46BD">
      <w:pPr>
        <w:pStyle w:val="BodyText"/>
        <w:spacing w:after="0" w:line="240" w:lineRule="auto"/>
        <w:jc w:val="center"/>
        <w:rPr>
          <w:rFonts w:ascii="Calibri Light" w:hAnsi="Calibri Light" w:cs="Calibri Light"/>
          <w:sz w:val="20"/>
          <w:lang w:val="fr-BE"/>
        </w:rPr>
      </w:pPr>
      <w:r w:rsidRPr="00DA46BD">
        <w:rPr>
          <w:rFonts w:ascii="Calibri Light" w:hAnsi="Calibri Light" w:cs="Calibri Light"/>
          <w:sz w:val="20"/>
          <w:u w:val="single"/>
          <w:lang w:val="fr-BE"/>
        </w:rPr>
        <w:t xml:space="preserve">Contact </w:t>
      </w:r>
      <w:r w:rsidRPr="00DA46BD">
        <w:rPr>
          <w:rFonts w:ascii="Calibri Light" w:hAnsi="Calibri Light" w:cs="Calibri Light"/>
          <w:sz w:val="20"/>
          <w:lang w:val="fr-BE"/>
        </w:rPr>
        <w:t xml:space="preserve">: Directeur de la communication ǀ Arnaud Houdmont ǀ +32 (0)2 514 37 77 ǀ </w:t>
      </w:r>
      <w:hyperlink r:id="rId11" w:history="1">
        <w:r w:rsidRPr="00DA46BD">
          <w:rPr>
            <w:rStyle w:val="Hyperlink"/>
            <w:rFonts w:ascii="Calibri Light" w:hAnsi="Calibri Light" w:cs="Calibri Light"/>
            <w:sz w:val="20"/>
            <w:lang w:val="fr-BE"/>
          </w:rPr>
          <w:t xml:space="preserve">houdmont@betterfinance.eu </w:t>
        </w:r>
      </w:hyperlink>
    </w:p>
    <w:p w14:paraId="0FC2D8F6" w14:textId="410A01F3" w:rsidR="006338FA" w:rsidRPr="006338FA" w:rsidRDefault="006338FA" w:rsidP="006338FA">
      <w:pPr>
        <w:rPr>
          <w:lang w:val="fr-BE"/>
        </w:rPr>
      </w:pPr>
    </w:p>
    <w:p w14:paraId="37F9A40A" w14:textId="7F16E886" w:rsidR="006338FA" w:rsidRPr="006338FA" w:rsidRDefault="006338FA" w:rsidP="006338FA">
      <w:pPr>
        <w:rPr>
          <w:lang w:val="fr-BE"/>
        </w:rPr>
      </w:pPr>
    </w:p>
    <w:p w14:paraId="2CE3552A" w14:textId="28470919" w:rsidR="006338FA" w:rsidRPr="006338FA" w:rsidRDefault="006338FA" w:rsidP="006338FA">
      <w:pPr>
        <w:rPr>
          <w:lang w:val="fr-BE"/>
        </w:rPr>
      </w:pPr>
    </w:p>
    <w:p w14:paraId="4834B995" w14:textId="29C05722" w:rsidR="006338FA" w:rsidRPr="006338FA" w:rsidRDefault="006338FA" w:rsidP="006338FA">
      <w:pPr>
        <w:rPr>
          <w:lang w:val="fr-BE"/>
        </w:rPr>
      </w:pPr>
    </w:p>
    <w:p w14:paraId="52DB6A33" w14:textId="4685FEDE" w:rsidR="006338FA" w:rsidRPr="006338FA" w:rsidRDefault="006338FA" w:rsidP="006338FA">
      <w:pPr>
        <w:rPr>
          <w:lang w:val="fr-BE"/>
        </w:rPr>
      </w:pPr>
    </w:p>
    <w:p w14:paraId="1D8F6A69" w14:textId="21F1F6DE" w:rsidR="006338FA" w:rsidRPr="006338FA" w:rsidRDefault="006338FA" w:rsidP="006338FA">
      <w:pPr>
        <w:rPr>
          <w:lang w:val="fr-BE"/>
        </w:rPr>
      </w:pPr>
    </w:p>
    <w:p w14:paraId="5A986961" w14:textId="240F9A10" w:rsidR="006338FA" w:rsidRPr="006338FA" w:rsidRDefault="006338FA" w:rsidP="006338FA">
      <w:pPr>
        <w:rPr>
          <w:lang w:val="fr-BE"/>
        </w:rPr>
      </w:pPr>
    </w:p>
    <w:p w14:paraId="059619E7" w14:textId="6A6C6E55" w:rsidR="006338FA" w:rsidRPr="006338FA" w:rsidRDefault="006338FA" w:rsidP="006338FA">
      <w:pPr>
        <w:rPr>
          <w:lang w:val="fr-BE"/>
        </w:rPr>
      </w:pPr>
    </w:p>
    <w:p w14:paraId="5CD1B4A7" w14:textId="740C5B95" w:rsidR="006338FA" w:rsidRPr="006338FA" w:rsidRDefault="006338FA" w:rsidP="006338FA">
      <w:pPr>
        <w:rPr>
          <w:lang w:val="fr-BE"/>
        </w:rPr>
      </w:pPr>
    </w:p>
    <w:p w14:paraId="19225912" w14:textId="55BFB76B" w:rsidR="006338FA" w:rsidRPr="006338FA" w:rsidRDefault="006338FA" w:rsidP="006338FA">
      <w:pPr>
        <w:rPr>
          <w:lang w:val="fr-BE"/>
        </w:rPr>
      </w:pPr>
    </w:p>
    <w:p w14:paraId="36EC6055" w14:textId="25387C44" w:rsidR="006338FA" w:rsidRPr="006338FA" w:rsidRDefault="006338FA" w:rsidP="006338FA">
      <w:pPr>
        <w:rPr>
          <w:lang w:val="fr-BE"/>
        </w:rPr>
      </w:pPr>
    </w:p>
    <w:p w14:paraId="0303F8F3" w14:textId="4A723740" w:rsidR="006338FA" w:rsidRPr="006338FA" w:rsidRDefault="006338FA" w:rsidP="006338FA">
      <w:pPr>
        <w:rPr>
          <w:lang w:val="fr-BE"/>
        </w:rPr>
      </w:pPr>
    </w:p>
    <w:p w14:paraId="1ABE7C34" w14:textId="18AF9B3A" w:rsidR="006338FA" w:rsidRPr="006338FA" w:rsidRDefault="006338FA" w:rsidP="006338FA">
      <w:pPr>
        <w:rPr>
          <w:lang w:val="fr-BE"/>
        </w:rPr>
      </w:pPr>
    </w:p>
    <w:p w14:paraId="23E2CCB9" w14:textId="4ED4A814" w:rsidR="006338FA" w:rsidRPr="006338FA" w:rsidRDefault="006338FA" w:rsidP="006338FA">
      <w:pPr>
        <w:rPr>
          <w:lang w:val="fr-BE"/>
        </w:rPr>
      </w:pPr>
    </w:p>
    <w:p w14:paraId="4F40DD0F" w14:textId="066D6178" w:rsidR="006338FA" w:rsidRPr="006338FA" w:rsidRDefault="006338FA" w:rsidP="006338FA">
      <w:pPr>
        <w:rPr>
          <w:lang w:val="fr-BE"/>
        </w:rPr>
      </w:pPr>
    </w:p>
    <w:p w14:paraId="2D40E3FB" w14:textId="2D76CE2E" w:rsidR="006338FA" w:rsidRPr="006338FA" w:rsidRDefault="006338FA" w:rsidP="006338FA">
      <w:pPr>
        <w:rPr>
          <w:lang w:val="fr-BE"/>
        </w:rPr>
      </w:pPr>
    </w:p>
    <w:p w14:paraId="41D084D1" w14:textId="7784120D" w:rsidR="006338FA" w:rsidRPr="006338FA" w:rsidRDefault="006338FA" w:rsidP="006338FA">
      <w:pPr>
        <w:rPr>
          <w:lang w:val="fr-BE"/>
        </w:rPr>
      </w:pPr>
    </w:p>
    <w:p w14:paraId="20B56B8B" w14:textId="6AEB7FD9" w:rsidR="006338FA" w:rsidRPr="006338FA" w:rsidRDefault="006338FA" w:rsidP="006338FA">
      <w:pPr>
        <w:rPr>
          <w:lang w:val="fr-BE"/>
        </w:rPr>
      </w:pPr>
    </w:p>
    <w:p w14:paraId="67948531" w14:textId="47C68F3A" w:rsidR="006338FA" w:rsidRPr="006338FA" w:rsidRDefault="006338FA" w:rsidP="006338FA">
      <w:pPr>
        <w:rPr>
          <w:lang w:val="fr-BE"/>
        </w:rPr>
      </w:pPr>
    </w:p>
    <w:p w14:paraId="27718986" w14:textId="49B5B145" w:rsidR="006338FA" w:rsidRPr="006338FA" w:rsidRDefault="006338FA" w:rsidP="006338FA">
      <w:pPr>
        <w:rPr>
          <w:lang w:val="fr-BE"/>
        </w:rPr>
      </w:pPr>
    </w:p>
    <w:p w14:paraId="5A5E8ADE" w14:textId="78024894" w:rsidR="006338FA" w:rsidRPr="006338FA" w:rsidRDefault="006338FA" w:rsidP="006338FA">
      <w:pPr>
        <w:rPr>
          <w:lang w:val="fr-BE"/>
        </w:rPr>
      </w:pPr>
    </w:p>
    <w:p w14:paraId="0AA73F1E" w14:textId="4D2D245C" w:rsidR="006338FA" w:rsidRPr="006338FA" w:rsidRDefault="006338FA" w:rsidP="006338FA">
      <w:pPr>
        <w:tabs>
          <w:tab w:val="left" w:pos="2908"/>
        </w:tabs>
        <w:rPr>
          <w:lang w:val="fr-BE"/>
        </w:rPr>
      </w:pPr>
      <w:r>
        <w:rPr>
          <w:lang w:val="fr-BE"/>
        </w:rPr>
        <w:tab/>
      </w:r>
    </w:p>
    <w:sectPr w:rsidR="006338FA" w:rsidRPr="006338F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FF94E" w14:textId="77777777" w:rsidR="0018596B" w:rsidRDefault="00DA46BD">
      <w:pPr>
        <w:spacing w:after="0" w:line="240" w:lineRule="auto"/>
      </w:pPr>
      <w:r>
        <w:separator/>
      </w:r>
    </w:p>
  </w:endnote>
  <w:endnote w:type="continuationSeparator" w:id="0">
    <w:p w14:paraId="340FF950" w14:textId="77777777" w:rsidR="0018596B" w:rsidRDefault="00DA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FF958" w14:textId="59DD5152" w:rsidR="00702A8B" w:rsidRPr="00DA46BD" w:rsidRDefault="00DA46BD">
    <w:pPr>
      <w:spacing w:before="120" w:after="0" w:line="240" w:lineRule="auto"/>
      <w:ind w:left="-567"/>
      <w:jc w:val="center"/>
      <w:rPr>
        <w:b/>
        <w:color w:val="006FB4"/>
        <w:sz w:val="16"/>
        <w:szCs w:val="16"/>
        <w:lang w:val="fr-BE"/>
      </w:rPr>
    </w:pPr>
    <w:r w:rsidRPr="00DA46BD">
      <w:rPr>
        <w:b/>
        <w:color w:val="006FB4"/>
        <w:sz w:val="16"/>
        <w:szCs w:val="16"/>
        <w:lang w:val="fr-BE"/>
      </w:rPr>
      <w:t xml:space="preserve">Fédération </w:t>
    </w:r>
    <w:r w:rsidR="006338FA">
      <w:rPr>
        <w:b/>
        <w:color w:val="006FB4"/>
        <w:sz w:val="16"/>
        <w:szCs w:val="16"/>
        <w:lang w:val="fr-BE"/>
      </w:rPr>
      <w:t>E</w:t>
    </w:r>
    <w:r w:rsidRPr="00DA46BD">
      <w:rPr>
        <w:b/>
        <w:color w:val="006FB4"/>
        <w:sz w:val="16"/>
        <w:szCs w:val="16"/>
        <w:lang w:val="fr-BE"/>
      </w:rPr>
      <w:t xml:space="preserve">uropéenne des </w:t>
    </w:r>
    <w:r w:rsidR="006338FA">
      <w:rPr>
        <w:b/>
        <w:color w:val="006FB4"/>
        <w:sz w:val="16"/>
        <w:szCs w:val="16"/>
        <w:lang w:val="fr-BE"/>
      </w:rPr>
      <w:t>In</w:t>
    </w:r>
    <w:r w:rsidRPr="00DA46BD">
      <w:rPr>
        <w:b/>
        <w:color w:val="006FB4"/>
        <w:sz w:val="16"/>
        <w:szCs w:val="16"/>
        <w:lang w:val="fr-BE"/>
      </w:rPr>
      <w:t xml:space="preserve">vestisseurs et </w:t>
    </w:r>
    <w:r w:rsidR="006338FA">
      <w:rPr>
        <w:b/>
        <w:color w:val="006FB4"/>
        <w:sz w:val="16"/>
        <w:szCs w:val="16"/>
        <w:lang w:val="fr-BE"/>
      </w:rPr>
      <w:t>Usagers de</w:t>
    </w:r>
    <w:r w:rsidR="00B81941">
      <w:rPr>
        <w:b/>
        <w:color w:val="006FB4"/>
        <w:sz w:val="16"/>
        <w:szCs w:val="16"/>
        <w:lang w:val="fr-BE"/>
      </w:rPr>
      <w:t>s</w:t>
    </w:r>
    <w:r w:rsidR="006338FA">
      <w:rPr>
        <w:b/>
        <w:color w:val="006FB4"/>
        <w:sz w:val="16"/>
        <w:szCs w:val="16"/>
        <w:lang w:val="fr-BE"/>
      </w:rPr>
      <w:t xml:space="preserve"> S</w:t>
    </w:r>
    <w:r w:rsidRPr="00DA46BD">
      <w:rPr>
        <w:b/>
        <w:color w:val="006FB4"/>
        <w:sz w:val="16"/>
        <w:szCs w:val="16"/>
        <w:lang w:val="fr-BE"/>
      </w:rPr>
      <w:t xml:space="preserve">ervices </w:t>
    </w:r>
    <w:r w:rsidR="006338FA">
      <w:rPr>
        <w:b/>
        <w:color w:val="006FB4"/>
        <w:sz w:val="16"/>
        <w:szCs w:val="16"/>
        <w:lang w:val="fr-BE"/>
      </w:rPr>
      <w:t>F</w:t>
    </w:r>
    <w:r w:rsidRPr="00DA46BD">
      <w:rPr>
        <w:b/>
        <w:color w:val="006FB4"/>
        <w:sz w:val="16"/>
        <w:szCs w:val="16"/>
        <w:lang w:val="fr-BE"/>
      </w:rPr>
      <w:t>inanciers</w:t>
    </w:r>
  </w:p>
  <w:p w14:paraId="340FF959" w14:textId="77777777" w:rsidR="00702A8B" w:rsidRDefault="00DA46BD">
    <w:pPr>
      <w:spacing w:after="0" w:line="240" w:lineRule="auto"/>
      <w:ind w:left="-567"/>
      <w:jc w:val="center"/>
      <w:rPr>
        <w:color w:val="006FB4"/>
        <w:sz w:val="16"/>
        <w:szCs w:val="16"/>
        <w:lang w:val="de-DE"/>
      </w:rPr>
    </w:pPr>
    <w:r>
      <w:rPr>
        <w:color w:val="006FB4"/>
        <w:sz w:val="16"/>
        <w:szCs w:val="16"/>
        <w:lang w:val="de-DE"/>
      </w:rPr>
      <w:t>44, Rue d'Arenberg, 1000 Bruxelles - Belgique</w:t>
    </w:r>
  </w:p>
  <w:p w14:paraId="340FF95A" w14:textId="77777777" w:rsidR="00702A8B" w:rsidRDefault="00DA46BD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de-DE"/>
      </w:rPr>
      <w:t xml:space="preserve">Tél. (+32) 02 514 37 77 - Fax. </w:t>
    </w:r>
    <w:r>
      <w:rPr>
        <w:color w:val="006FB4"/>
        <w:sz w:val="16"/>
        <w:szCs w:val="16"/>
        <w:lang w:val="pt-PT"/>
      </w:rPr>
      <w:t>(+32) 02 514 36 66</w:t>
    </w:r>
  </w:p>
  <w:p w14:paraId="340FF95B" w14:textId="77777777" w:rsidR="00702A8B" w:rsidRDefault="00DA46BD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pt-PT"/>
      </w:rPr>
      <w:t xml:space="preserve">E-mail : info@betterfinance.eu - </w:t>
    </w:r>
    <w:bookmarkStart w:id="1" w:name="_Hlk944867"/>
    <w:r>
      <w:fldChar w:fldCharType="begin"/>
    </w:r>
    <w:r>
      <w:instrText xml:space="preserve"> HYPERLINK  "http://www.eurofinuse.org" </w:instrText>
    </w:r>
    <w:r>
      <w:fldChar w:fldCharType="separate"/>
    </w:r>
    <w:r>
      <w:rPr>
        <w:color w:val="006FB4"/>
        <w:sz w:val="16"/>
        <w:szCs w:val="16"/>
        <w:u w:val="single"/>
        <w:lang w:val="it-IT"/>
      </w:rPr>
      <w:t xml:space="preserve">http://www.betterfinance.eu </w:t>
    </w:r>
    <w:r>
      <w:rPr>
        <w:color w:val="006FB4"/>
        <w:sz w:val="16"/>
        <w:szCs w:val="16"/>
        <w:u w:val="single"/>
        <w:lang w:val="it-IT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FF94A" w14:textId="77777777" w:rsidR="0018596B" w:rsidRDefault="00DA46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0FF94C" w14:textId="77777777" w:rsidR="0018596B" w:rsidRDefault="00DA46BD">
      <w:pPr>
        <w:spacing w:after="0" w:line="240" w:lineRule="auto"/>
      </w:pPr>
      <w:r>
        <w:continuationSeparator/>
      </w:r>
    </w:p>
  </w:footnote>
  <w:footnote w:id="1">
    <w:p w14:paraId="340FF94C" w14:textId="749F45E8" w:rsidR="00C82D7F" w:rsidRPr="00DA46BD" w:rsidRDefault="00DA46BD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DA46BD">
        <w:rPr>
          <w:rFonts w:ascii="Calibri Light" w:hAnsi="Calibri Light" w:cs="Calibri Light"/>
          <w:sz w:val="16"/>
          <w:szCs w:val="16"/>
          <w:lang w:val="fr-BE"/>
        </w:rPr>
        <w:t xml:space="preserve"> Voir, par exemple, le BaFin Journal de novembre 2019 </w:t>
      </w:r>
      <w:r w:rsidR="006338FA">
        <w:rPr>
          <w:rFonts w:ascii="Calibri Light" w:hAnsi="Calibri Light" w:cs="Calibri Light"/>
          <w:sz w:val="16"/>
          <w:szCs w:val="16"/>
          <w:lang w:val="fr-BE"/>
        </w:rPr>
        <w:t xml:space="preserve">qui explique </w:t>
      </w:r>
      <w:r w:rsidRPr="00DA46BD">
        <w:rPr>
          <w:rFonts w:ascii="Calibri Light" w:hAnsi="Calibri Light" w:cs="Calibri Light"/>
          <w:sz w:val="16"/>
          <w:szCs w:val="16"/>
          <w:lang w:val="fr-BE"/>
        </w:rPr>
        <w:t>que certain</w:t>
      </w:r>
      <w:r w:rsidR="006338FA">
        <w:rPr>
          <w:rFonts w:ascii="Calibri Light" w:hAnsi="Calibri Light" w:cs="Calibri Light"/>
          <w:sz w:val="16"/>
          <w:szCs w:val="16"/>
          <w:lang w:val="fr-BE"/>
        </w:rPr>
        <w:t xml:space="preserve">es questions peuvent être réglées par une révision du règlement PRIIP lui-même </w:t>
      </w:r>
      <w:r w:rsidRPr="00DA46BD">
        <w:rPr>
          <w:rFonts w:ascii="Calibri Light" w:hAnsi="Calibri Light" w:cs="Calibri Light"/>
          <w:sz w:val="16"/>
          <w:szCs w:val="16"/>
          <w:lang w:val="fr-BE"/>
        </w:rPr>
        <w:t>- Bundesanstalt fur Finanzdienstleistungsaufischt, Der Kunden im der Blick, Seite 16, p. 10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FF952" w14:textId="77777777" w:rsidR="00702A8B" w:rsidRDefault="00DA46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40FF94A" wp14:editId="340FF94B">
          <wp:simplePos x="0" y="0"/>
          <wp:positionH relativeFrom="margin">
            <wp:posOffset>2564133</wp:posOffset>
          </wp:positionH>
          <wp:positionV relativeFrom="paragraph">
            <wp:posOffset>-189225</wp:posOffset>
          </wp:positionV>
          <wp:extent cx="3138165" cy="645164"/>
          <wp:effectExtent l="0" t="0" r="5085" b="2536"/>
          <wp:wrapSquare wrapText="bothSides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8165" cy="6451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40FF953" w14:textId="77777777" w:rsidR="00702A8B" w:rsidRDefault="00B81941">
    <w:pPr>
      <w:pStyle w:val="Header"/>
    </w:pPr>
  </w:p>
  <w:p w14:paraId="340FF954" w14:textId="77777777" w:rsidR="00702A8B" w:rsidRDefault="00B81941">
    <w:pPr>
      <w:pStyle w:val="Header"/>
      <w:rPr>
        <w:sz w:val="12"/>
        <w:szCs w:val="12"/>
      </w:rPr>
    </w:pPr>
  </w:p>
  <w:p w14:paraId="340FF955" w14:textId="77777777" w:rsidR="00702A8B" w:rsidRDefault="00B81941">
    <w:pPr>
      <w:pStyle w:val="Header"/>
      <w:rPr>
        <w:sz w:val="12"/>
        <w:szCs w:val="12"/>
      </w:rPr>
    </w:pPr>
  </w:p>
  <w:p w14:paraId="340FF956" w14:textId="77777777" w:rsidR="00702A8B" w:rsidRDefault="00B81941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D7F"/>
    <w:rsid w:val="0018596B"/>
    <w:rsid w:val="004D24BD"/>
    <w:rsid w:val="006338FA"/>
    <w:rsid w:val="007659CD"/>
    <w:rsid w:val="00B81941"/>
    <w:rsid w:val="00C82D7F"/>
    <w:rsid w:val="00C844CF"/>
    <w:rsid w:val="00DA46BD"/>
    <w:rsid w:val="00DB65F7"/>
    <w:rsid w:val="00F2539C"/>
    <w:rsid w:val="00FB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F943"/>
  <w15:docId w15:val="{6504ED92-225C-4833-AB75-213AAB65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SimSu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mbria" w:eastAsia="SimSun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odyText">
    <w:name w:val="Body Text"/>
    <w:basedOn w:val="Normal"/>
    <w:pPr>
      <w:spacing w:line="240" w:lineRule="exact"/>
    </w:pPr>
    <w:rPr>
      <w:rFonts w:ascii="Tahoma" w:eastAsia="Times New Roman" w:hAnsi="Tahoma" w:cs="Times New Roman"/>
      <w:spacing w:val="10"/>
      <w:sz w:val="17"/>
      <w:szCs w:val="20"/>
      <w:lang w:val="en-US"/>
    </w:rPr>
  </w:style>
  <w:style w:type="character" w:customStyle="1" w:styleId="BodyTextChar">
    <w:name w:val="Body Text Char"/>
    <w:basedOn w:val="DefaultParagraphFont"/>
    <w:rPr>
      <w:rFonts w:ascii="Tahoma" w:eastAsia="Times New Roman" w:hAnsi="Tahoma" w:cs="Times New Roman"/>
      <w:spacing w:val="10"/>
      <w:sz w:val="17"/>
      <w:szCs w:val="20"/>
      <w:lang w:val="en-US"/>
    </w:r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SimSun" w:hAnsi="Cambria" w:cs="Times New Roman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mbria" w:eastAsia="SimSun" w:hAnsi="Cambria" w:cs="Times New Roman"/>
      <w:spacing w:val="-10"/>
      <w:kern w:val="3"/>
      <w:sz w:val="56"/>
      <w:szCs w:val="56"/>
    </w:rPr>
  </w:style>
  <w:style w:type="paragraph" w:styleId="BalloonText">
    <w:name w:val="Balloon Text"/>
    <w:basedOn w:val="Normal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Strong">
    <w:name w:val="Strong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2Char">
    <w:name w:val="Heading 2 Char"/>
    <w:basedOn w:val="DefaultParagraphFont"/>
    <w:rPr>
      <w:rFonts w:ascii="Cambria" w:eastAsia="SimSun" w:hAnsi="Cambria" w:cs="Times New Roman"/>
      <w:color w:val="365F91"/>
      <w:sz w:val="26"/>
      <w:szCs w:val="26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1Char">
    <w:name w:val="Heading 1 Char"/>
    <w:basedOn w:val="DefaultParagraphFont"/>
    <w:rPr>
      <w:rFonts w:ascii="Cambria" w:eastAsia="SimSun" w:hAnsi="Cambria" w:cs="Times New Roman"/>
      <w:color w:val="365F91"/>
      <w:sz w:val="32"/>
      <w:szCs w:val="32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pPr>
      <w:spacing w:after="0" w:line="240" w:lineRule="auto"/>
    </w:pPr>
    <w:rPr>
      <w:rFonts w:cs="Calibri"/>
      <w:lang w:eastAsia="en-GB"/>
    </w:rPr>
  </w:style>
  <w:style w:type="character" w:customStyle="1" w:styleId="acopre">
    <w:name w:val="acopre"/>
    <w:basedOn w:val="DefaultParagraphFont"/>
    <w:rsid w:val="004D24BD"/>
  </w:style>
  <w:style w:type="character" w:customStyle="1" w:styleId="hgkelc">
    <w:name w:val="hgkelc"/>
    <w:basedOn w:val="DefaultParagraphFont"/>
    <w:rsid w:val="004D2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udmont@betterfinance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c.europa.eu/info/sites/info/files/business_economy_euro/growth_and_investment/documents/200610-cmu-high-level-forum-final-report_en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sma.europa.eu/sites/default/files/library/esas_2020_19_outcome_of_esa_review_on_priip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08A9776426D41840A8C2CCB15B3F3" ma:contentTypeVersion="12" ma:contentTypeDescription="Create a new document." ma:contentTypeScope="" ma:versionID="fad30e866c7e5bd87e01b4be7e13f445">
  <xsd:schema xmlns:xsd="http://www.w3.org/2001/XMLSchema" xmlns:xs="http://www.w3.org/2001/XMLSchema" xmlns:p="http://schemas.microsoft.com/office/2006/metadata/properties" xmlns:ns2="fd160c09-1844-45b0-b4f1-cf53e6c3c76a" xmlns:ns3="8e72f4a7-cae9-4e97-b541-2580a12d1989" targetNamespace="http://schemas.microsoft.com/office/2006/metadata/properties" ma:root="true" ma:fieldsID="3d251b770648fbf44b28e39a1ec2cbaa" ns2:_="" ns3:_="">
    <xsd:import namespace="fd160c09-1844-45b0-b4f1-cf53e6c3c76a"/>
    <xsd:import namespace="8e72f4a7-cae9-4e97-b541-2580a12d1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0c09-1844-45b0-b4f1-cf53e6c3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2f4a7-cae9-4e97-b541-2580a12d1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78D2F-0228-47FF-8C4F-A8828D9D0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60c09-1844-45b0-b4f1-cf53e6c3c76a"/>
    <ds:schemaRef ds:uri="8e72f4a7-cae9-4e97-b541-2580a12d1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72F8A-565E-422E-A3AE-13C93D320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EE506-F901-4C39-B27C-9C4FFFB2DF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Houdmont</dc:creator>
  <dc:description/>
  <cp:lastModifiedBy>ISO Translation</cp:lastModifiedBy>
  <cp:revision>3</cp:revision>
  <cp:lastPrinted>2020-06-09T11:09:00Z</cp:lastPrinted>
  <dcterms:created xsi:type="dcterms:W3CDTF">2020-12-11T09:23:00Z</dcterms:created>
  <dcterms:modified xsi:type="dcterms:W3CDTF">2020-12-14T16:35:00Z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0x010100B5308A9776426D41840A8C2CCB15B3F3</vt:lpwstr>
  </property>
</Properties>
</file>