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4F2DE" w14:textId="3E81B306" w:rsidR="00ED50C2" w:rsidRDefault="00ED50C2"/>
    <w:p w14:paraId="0004F2DF" w14:textId="77777777" w:rsidR="00ED50C2" w:rsidRPr="00C60956" w:rsidRDefault="00C60956">
      <w:pPr>
        <w:pStyle w:val="BodyText"/>
        <w:spacing w:after="120" w:line="312" w:lineRule="auto"/>
        <w:jc w:val="both"/>
        <w:rPr>
          <w:lang w:val="fr-BE"/>
        </w:rPr>
      </w:pPr>
      <w:bookmarkStart w:id="0" w:name="_Hlk4143464"/>
      <w:r w:rsidRPr="00C60956">
        <w:rPr>
          <w:rStyle w:val="Strong"/>
          <w:sz w:val="18"/>
          <w:lang w:val="fr-BE"/>
        </w:rPr>
        <w:t xml:space="preserve">COMMUNIQUÉ DE PRESSE </w:t>
      </w:r>
    </w:p>
    <w:p w14:paraId="0004F2E0" w14:textId="77777777" w:rsidR="00ED50C2" w:rsidRPr="00C60956" w:rsidRDefault="00C60956">
      <w:pPr>
        <w:pStyle w:val="Heading2"/>
        <w:spacing w:after="80"/>
        <w:jc w:val="both"/>
        <w:rPr>
          <w:lang w:val="fr-BE"/>
        </w:rPr>
      </w:pPr>
      <w:r w:rsidRPr="00C60956">
        <w:rPr>
          <w:rFonts w:eastAsia="Calibri" w:cs="Arial"/>
          <w:b/>
          <w:spacing w:val="20"/>
          <w:kern w:val="3"/>
          <w:sz w:val="30"/>
          <w:szCs w:val="30"/>
          <w:lang w:val="fr-BE"/>
        </w:rPr>
        <w:t xml:space="preserve">La proposition européenne de taxe sur les transactions financières (TTF) cible de manière disproportionnée les citoyens européens plutôt que les institutions financières </w:t>
      </w:r>
    </w:p>
    <w:p w14:paraId="0004F2E1" w14:textId="046623FE" w:rsidR="00ED50C2" w:rsidRDefault="00C60956">
      <w:pPr>
        <w:spacing w:after="120"/>
        <w:jc w:val="both"/>
        <w:rPr>
          <w:rFonts w:ascii="Calibri Light" w:hAnsi="Calibri Light" w:cs="Calibri Light"/>
          <w:lang w:val="fr-BE"/>
        </w:rPr>
      </w:pPr>
      <w:r w:rsidRPr="00C60956">
        <w:rPr>
          <w:rFonts w:ascii="Calibri Light" w:hAnsi="Calibri Light" w:cs="Calibri Light"/>
          <w:b/>
          <w:lang w:val="fr-BE"/>
        </w:rPr>
        <w:t xml:space="preserve">Bruxelles, 21 janvier 2019 </w:t>
      </w:r>
      <w:r w:rsidRPr="00C60956">
        <w:rPr>
          <w:rFonts w:ascii="Calibri Light" w:hAnsi="Calibri Light" w:cs="Calibri Light"/>
          <w:lang w:val="fr-BE"/>
        </w:rPr>
        <w:t>-</w:t>
      </w:r>
      <w:bookmarkEnd w:id="0"/>
      <w:r w:rsidRPr="00C60956">
        <w:rPr>
          <w:rFonts w:ascii="Calibri Light" w:hAnsi="Calibri Light" w:cs="Calibri Light"/>
          <w:lang w:val="fr-BE"/>
        </w:rPr>
        <w:t xml:space="preserve"> En 2013</w:t>
      </w:r>
      <w:r w:rsidR="00086262">
        <w:rPr>
          <w:rFonts w:ascii="Calibri Light" w:hAnsi="Calibri Light" w:cs="Calibri Light"/>
          <w:lang w:val="fr-BE"/>
        </w:rPr>
        <w:t xml:space="preserve"> déjà</w:t>
      </w:r>
      <w:r w:rsidRPr="00C60956">
        <w:rPr>
          <w:rFonts w:ascii="Calibri Light" w:hAnsi="Calibri Light" w:cs="Calibri Light"/>
          <w:lang w:val="fr-BE"/>
        </w:rPr>
        <w:t>, BETTER FINANCE a</w:t>
      </w:r>
      <w:r w:rsidR="00086262">
        <w:rPr>
          <w:rFonts w:ascii="Calibri Light" w:hAnsi="Calibri Light" w:cs="Calibri Light"/>
          <w:lang w:val="fr-BE"/>
        </w:rPr>
        <w:t>vait</w:t>
      </w:r>
      <w:r w:rsidRPr="00C60956">
        <w:rPr>
          <w:rFonts w:ascii="Calibri Light" w:hAnsi="Calibri Light" w:cs="Calibri Light"/>
          <w:lang w:val="fr-BE"/>
        </w:rPr>
        <w:t xml:space="preserve"> clairement exprimé son soutien à une taxe européenne sur les transactions financières (TTF) et à son principal objectif </w:t>
      </w:r>
      <w:r w:rsidR="00086262">
        <w:rPr>
          <w:rFonts w:ascii="Calibri Light" w:hAnsi="Calibri Light" w:cs="Calibri Light"/>
          <w:i/>
          <w:iCs/>
          <w:lang w:val="fr-BE"/>
        </w:rPr>
        <w:t>«</w:t>
      </w:r>
      <w:r w:rsidR="007F444A">
        <w:rPr>
          <w:rFonts w:ascii="Calibri Light" w:hAnsi="Calibri Light" w:cs="Calibri Light"/>
          <w:i/>
          <w:iCs/>
          <w:lang w:val="fr-BE"/>
        </w:rPr>
        <w:t xml:space="preserve"> </w:t>
      </w:r>
      <w:r w:rsidRPr="00C60956">
        <w:rPr>
          <w:rFonts w:ascii="Calibri Light" w:hAnsi="Calibri Light" w:cs="Calibri Light"/>
          <w:i/>
          <w:iCs/>
          <w:lang w:val="fr-BE"/>
        </w:rPr>
        <w:t>[de</w:t>
      </w:r>
      <w:r w:rsidR="00086262">
        <w:rPr>
          <w:rFonts w:ascii="Calibri Light" w:hAnsi="Calibri Light" w:cs="Calibri Light"/>
          <w:i/>
          <w:iCs/>
          <w:lang w:val="fr-BE"/>
        </w:rPr>
        <w:t xml:space="preserve"> faire en sorte que</w:t>
      </w:r>
      <w:r w:rsidRPr="00C60956">
        <w:rPr>
          <w:rFonts w:ascii="Calibri Light" w:hAnsi="Calibri Light" w:cs="Calibri Light"/>
          <w:i/>
          <w:iCs/>
          <w:lang w:val="fr-BE"/>
        </w:rPr>
        <w:t>] les institutions financières</w:t>
      </w:r>
      <w:r w:rsidR="00086262">
        <w:rPr>
          <w:rFonts w:ascii="Calibri Light" w:hAnsi="Calibri Light" w:cs="Calibri Light"/>
          <w:i/>
          <w:iCs/>
          <w:lang w:val="fr-BE"/>
        </w:rPr>
        <w:t xml:space="preserve"> </w:t>
      </w:r>
      <w:r w:rsidR="00D7115D">
        <w:rPr>
          <w:rFonts w:ascii="Calibri Light" w:hAnsi="Calibri Light" w:cs="Calibri Light"/>
          <w:i/>
          <w:iCs/>
          <w:lang w:val="fr-BE"/>
        </w:rPr>
        <w:t>contribuent de manière équitable et substantielle à la couverture du coût de la récente crise…</w:t>
      </w:r>
      <w:r w:rsidRPr="00C60956">
        <w:rPr>
          <w:rFonts w:ascii="Calibri Light" w:hAnsi="Calibri Light" w:cs="Calibri Light"/>
          <w:i/>
          <w:iCs/>
          <w:lang w:val="fr-BE"/>
        </w:rPr>
        <w:t xml:space="preserve"> et à la protection de l'économie réelle, des PME, des ménages, etc</w:t>
      </w:r>
      <w:r w:rsidRPr="00C60956">
        <w:rPr>
          <w:rFonts w:ascii="Calibri Light" w:hAnsi="Calibri Light" w:cs="Calibri Light"/>
          <w:lang w:val="fr-BE"/>
        </w:rPr>
        <w:t>.</w:t>
      </w:r>
      <w:r w:rsidR="00805785">
        <w:rPr>
          <w:rFonts w:ascii="Calibri Light" w:hAnsi="Calibri Light" w:cs="Calibri Light"/>
          <w:lang w:val="fr-BE"/>
        </w:rPr>
        <w:t> </w:t>
      </w:r>
      <w:r w:rsidR="00805785" w:rsidRPr="00805785">
        <w:rPr>
          <w:rFonts w:ascii="Calibri Light" w:hAnsi="Calibri Light" w:cs="Calibri Light"/>
          <w:i/>
          <w:iCs/>
          <w:lang w:val="fr-BE"/>
        </w:rPr>
        <w:t>»</w:t>
      </w:r>
      <w:r w:rsidRPr="00C60956">
        <w:rPr>
          <w:rFonts w:ascii="Calibri Light" w:hAnsi="Calibri Light" w:cs="Calibri Light"/>
          <w:lang w:val="fr-BE"/>
        </w:rPr>
        <w:t xml:space="preserve"> </w:t>
      </w:r>
    </w:p>
    <w:p w14:paraId="0004F2E2" w14:textId="0BBBE337" w:rsidR="00ED50C2" w:rsidRPr="00C60956" w:rsidRDefault="00C60956">
      <w:pPr>
        <w:spacing w:after="120"/>
        <w:jc w:val="both"/>
        <w:rPr>
          <w:lang w:val="fr-BE"/>
        </w:rPr>
      </w:pPr>
      <w:r w:rsidRPr="00C60956">
        <w:rPr>
          <w:rFonts w:ascii="Calibri Light" w:hAnsi="Calibri Light" w:cs="Calibri Light"/>
          <w:lang w:val="fr-BE"/>
        </w:rPr>
        <w:t xml:space="preserve">Dans le même temps, </w:t>
      </w:r>
      <w:hyperlink r:id="rId10" w:history="1">
        <w:r w:rsidRPr="00C60956">
          <w:rPr>
            <w:rStyle w:val="Hyperlink"/>
            <w:rFonts w:ascii="Calibri Light" w:hAnsi="Calibri Light" w:cs="Calibri Light"/>
            <w:lang w:val="fr-BE"/>
          </w:rPr>
          <w:t xml:space="preserve">BETTER FINANCE </w:t>
        </w:r>
        <w:r w:rsidR="00D7115D">
          <w:rPr>
            <w:rStyle w:val="Hyperlink"/>
            <w:rFonts w:ascii="Calibri Light" w:hAnsi="Calibri Light" w:cs="Calibri Light"/>
            <w:lang w:val="fr-BE"/>
          </w:rPr>
          <w:t xml:space="preserve">exprimait aussi de vives </w:t>
        </w:r>
        <w:r w:rsidRPr="00C60956">
          <w:rPr>
            <w:rStyle w:val="Hyperlink"/>
            <w:rFonts w:ascii="Calibri Light" w:hAnsi="Calibri Light" w:cs="Calibri Light"/>
            <w:lang w:val="fr-BE"/>
          </w:rPr>
          <w:t xml:space="preserve">préoccupations </w:t>
        </w:r>
        <w:r w:rsidR="00D7115D">
          <w:rPr>
            <w:rStyle w:val="Hyperlink"/>
            <w:rFonts w:ascii="Calibri Light" w:hAnsi="Calibri Light" w:cs="Calibri Light"/>
            <w:lang w:val="fr-BE"/>
          </w:rPr>
          <w:t xml:space="preserve">au sujet de la </w:t>
        </w:r>
        <w:r w:rsidRPr="00C60956">
          <w:rPr>
            <w:rStyle w:val="Hyperlink"/>
            <w:rFonts w:ascii="Calibri Light" w:hAnsi="Calibri Light" w:cs="Calibri Light"/>
            <w:lang w:val="fr-BE"/>
          </w:rPr>
          <w:t>proposition de TTF présentée par la Commission européenne (CE) en février 2013,</w:t>
        </w:r>
        <w:r w:rsidRPr="00D7115D">
          <w:rPr>
            <w:rStyle w:val="Hyperlink"/>
            <w:rFonts w:ascii="Calibri Light" w:hAnsi="Calibri Light" w:cs="Calibri Light"/>
            <w:u w:val="none"/>
            <w:lang w:val="fr-BE"/>
          </w:rPr>
          <w:t xml:space="preserve"> </w:t>
        </w:r>
      </w:hyperlink>
      <w:r w:rsidRPr="00C60956">
        <w:rPr>
          <w:rFonts w:ascii="Calibri Light" w:hAnsi="Calibri Light" w:cs="Calibri Light"/>
          <w:lang w:val="fr-BE"/>
        </w:rPr>
        <w:t xml:space="preserve">soulignant que la proposition ne répondait pas à cet objectif et </w:t>
      </w:r>
      <w:r w:rsidR="00D7115D">
        <w:rPr>
          <w:rFonts w:ascii="Calibri Light" w:hAnsi="Calibri Light" w:cs="Calibri Light"/>
          <w:lang w:val="fr-BE"/>
        </w:rPr>
        <w:t xml:space="preserve">qu’une fois de plus, les </w:t>
      </w:r>
      <w:r w:rsidRPr="00C60956">
        <w:rPr>
          <w:rFonts w:ascii="Calibri Light" w:hAnsi="Calibri Light" w:cs="Calibri Light"/>
          <w:lang w:val="fr-BE"/>
        </w:rPr>
        <w:t>citoyens de l'UE supporteraient l'essentiel de cette TTF à la place des institutions financières.</w:t>
      </w:r>
    </w:p>
    <w:p w14:paraId="0004F2E3" w14:textId="04EB36EC" w:rsidR="00ED50C2" w:rsidRPr="00C60956" w:rsidRDefault="00C60956">
      <w:pPr>
        <w:spacing w:after="120"/>
        <w:jc w:val="both"/>
        <w:rPr>
          <w:rFonts w:ascii="Calibri Light" w:hAnsi="Calibri Light" w:cs="Calibri Light"/>
          <w:lang w:val="fr-BE"/>
        </w:rPr>
      </w:pPr>
      <w:r w:rsidRPr="00C60956">
        <w:rPr>
          <w:rFonts w:ascii="Calibri Light" w:hAnsi="Calibri Light" w:cs="Calibri Light"/>
          <w:lang w:val="fr-BE"/>
        </w:rPr>
        <w:t xml:space="preserve">En effet, plutôt que de cibler les transactions entre institutions financières, comme le prévoit l'objectif louable de la TTF, la proposition actuelle cible une fois de plus les citoyens européens en tant qu'épargnants et investisseurs finaux, </w:t>
      </w:r>
      <w:r w:rsidR="00D7115D">
        <w:rPr>
          <w:rFonts w:ascii="Calibri Light" w:hAnsi="Calibri Light" w:cs="Calibri Light"/>
          <w:lang w:val="fr-BE"/>
        </w:rPr>
        <w:t xml:space="preserve">permettant au </w:t>
      </w:r>
      <w:r w:rsidRPr="00C60956">
        <w:rPr>
          <w:rFonts w:ascii="Calibri Light" w:hAnsi="Calibri Light" w:cs="Calibri Light"/>
          <w:lang w:val="fr-BE"/>
        </w:rPr>
        <w:t xml:space="preserve">secteur financier </w:t>
      </w:r>
      <w:r w:rsidR="00D7115D">
        <w:rPr>
          <w:rFonts w:ascii="Calibri Light" w:hAnsi="Calibri Light" w:cs="Calibri Light"/>
          <w:lang w:val="fr-BE"/>
        </w:rPr>
        <w:t>de s’en</w:t>
      </w:r>
      <w:r w:rsidRPr="00C60956">
        <w:rPr>
          <w:rFonts w:ascii="Calibri Light" w:hAnsi="Calibri Light" w:cs="Calibri Light"/>
          <w:lang w:val="fr-BE"/>
        </w:rPr>
        <w:t xml:space="preserve"> tire</w:t>
      </w:r>
      <w:r w:rsidR="00D7115D">
        <w:rPr>
          <w:rFonts w:ascii="Calibri Light" w:hAnsi="Calibri Light" w:cs="Calibri Light"/>
          <w:lang w:val="fr-BE"/>
        </w:rPr>
        <w:t>r</w:t>
      </w:r>
      <w:r w:rsidRPr="00C60956">
        <w:rPr>
          <w:rFonts w:ascii="Calibri Light" w:hAnsi="Calibri Light" w:cs="Calibri Light"/>
          <w:lang w:val="fr-BE"/>
        </w:rPr>
        <w:t xml:space="preserve"> à bon compte.</w:t>
      </w:r>
    </w:p>
    <w:p w14:paraId="0004F2E4" w14:textId="34DE22F5" w:rsidR="00ED50C2" w:rsidRPr="00C60956" w:rsidRDefault="00C60956">
      <w:pPr>
        <w:spacing w:after="120"/>
        <w:jc w:val="both"/>
        <w:rPr>
          <w:lang w:val="fr-BE"/>
        </w:rPr>
      </w:pPr>
      <w:r w:rsidRPr="00C60956">
        <w:rPr>
          <w:rFonts w:ascii="Calibri Light" w:hAnsi="Calibri Light" w:cs="Calibri Light"/>
          <w:lang w:val="fr-BE"/>
        </w:rPr>
        <w:t>Une véritable TTF,</w:t>
      </w:r>
      <w:r w:rsidR="00D7115D">
        <w:rPr>
          <w:rFonts w:ascii="Calibri Light" w:hAnsi="Calibri Light" w:cs="Calibri Light"/>
          <w:lang w:val="fr-BE"/>
        </w:rPr>
        <w:t xml:space="preserve"> qui entend réellement associer </w:t>
      </w:r>
      <w:r w:rsidRPr="00C60956">
        <w:rPr>
          <w:rFonts w:ascii="Calibri Light" w:hAnsi="Calibri Light" w:cs="Calibri Light"/>
          <w:lang w:val="fr-BE"/>
        </w:rPr>
        <w:t xml:space="preserve">les institutions financières </w:t>
      </w:r>
      <w:r w:rsidR="00D7115D">
        <w:rPr>
          <w:rFonts w:ascii="Calibri Light" w:hAnsi="Calibri Light" w:cs="Calibri Light"/>
          <w:lang w:val="fr-BE"/>
        </w:rPr>
        <w:t>à</w:t>
      </w:r>
      <w:r w:rsidRPr="00C60956">
        <w:rPr>
          <w:rFonts w:ascii="Calibri Light" w:hAnsi="Calibri Light" w:cs="Calibri Light"/>
          <w:lang w:val="fr-BE"/>
        </w:rPr>
        <w:t xml:space="preserve"> la protection de l'économie réelle et des citoyens de l'UE, devrait </w:t>
      </w:r>
      <w:r w:rsidR="00D7115D">
        <w:rPr>
          <w:rFonts w:ascii="Calibri Light" w:hAnsi="Calibri Light" w:cs="Calibri Light"/>
          <w:lang w:val="fr-BE"/>
        </w:rPr>
        <w:t xml:space="preserve">être prélevée sur les </w:t>
      </w:r>
      <w:r w:rsidRPr="00C60956">
        <w:rPr>
          <w:rFonts w:ascii="Calibri Light" w:hAnsi="Calibri Light" w:cs="Calibri Light"/>
          <w:lang w:val="fr-BE"/>
        </w:rPr>
        <w:t xml:space="preserve">opérations </w:t>
      </w:r>
      <w:r w:rsidR="00D7115D">
        <w:rPr>
          <w:rFonts w:ascii="Calibri Light" w:hAnsi="Calibri Light" w:cs="Calibri Light"/>
          <w:lang w:val="fr-BE"/>
        </w:rPr>
        <w:t xml:space="preserve">sur devises, </w:t>
      </w:r>
      <w:r w:rsidRPr="00C60956">
        <w:rPr>
          <w:rFonts w:ascii="Calibri Light" w:hAnsi="Calibri Light" w:cs="Calibri Light"/>
          <w:lang w:val="fr-BE"/>
        </w:rPr>
        <w:t xml:space="preserve">en particulier </w:t>
      </w:r>
      <w:r w:rsidR="00C6530E">
        <w:rPr>
          <w:rFonts w:ascii="Calibri Light" w:hAnsi="Calibri Light" w:cs="Calibri Light"/>
          <w:lang w:val="fr-BE"/>
        </w:rPr>
        <w:t xml:space="preserve">les </w:t>
      </w:r>
      <w:r w:rsidR="00D7115D">
        <w:rPr>
          <w:rFonts w:ascii="Calibri Light" w:hAnsi="Calibri Light" w:cs="Calibri Light"/>
          <w:lang w:val="fr-BE"/>
        </w:rPr>
        <w:t xml:space="preserve">produits </w:t>
      </w:r>
      <w:r w:rsidRPr="00C60956">
        <w:rPr>
          <w:rFonts w:ascii="Calibri Light" w:hAnsi="Calibri Light" w:cs="Calibri Light"/>
          <w:lang w:val="fr-BE"/>
        </w:rPr>
        <w:t>dérivés d</w:t>
      </w:r>
      <w:r w:rsidR="00D7115D">
        <w:rPr>
          <w:rFonts w:ascii="Calibri Light" w:hAnsi="Calibri Light" w:cs="Calibri Light"/>
          <w:lang w:val="fr-BE"/>
        </w:rPr>
        <w:t>u</w:t>
      </w:r>
      <w:r w:rsidRPr="00C60956">
        <w:rPr>
          <w:rFonts w:ascii="Calibri Light" w:hAnsi="Calibri Light" w:cs="Calibri Light"/>
          <w:lang w:val="fr-BE"/>
        </w:rPr>
        <w:t xml:space="preserve"> change, ainsi que d'autres produits dérivés, plutôt que de</w:t>
      </w:r>
      <w:r w:rsidR="00D7115D">
        <w:rPr>
          <w:rFonts w:ascii="Calibri Light" w:hAnsi="Calibri Light" w:cs="Calibri Light"/>
          <w:lang w:val="fr-BE"/>
        </w:rPr>
        <w:t xml:space="preserve"> cibler essentiellement les </w:t>
      </w:r>
      <w:r w:rsidR="00A84E34">
        <w:rPr>
          <w:rFonts w:ascii="Calibri Light" w:hAnsi="Calibri Light" w:cs="Calibri Light"/>
          <w:lang w:val="fr-BE"/>
        </w:rPr>
        <w:t xml:space="preserve">transactions portant sur </w:t>
      </w:r>
      <w:r w:rsidR="00805785">
        <w:rPr>
          <w:rFonts w:ascii="Calibri Light" w:hAnsi="Calibri Light" w:cs="Calibri Light"/>
          <w:lang w:val="fr-BE"/>
        </w:rPr>
        <w:t>d</w:t>
      </w:r>
      <w:r w:rsidR="00A84E34">
        <w:rPr>
          <w:rFonts w:ascii="Calibri Light" w:hAnsi="Calibri Light" w:cs="Calibri Light"/>
          <w:lang w:val="fr-BE"/>
        </w:rPr>
        <w:t xml:space="preserve">es </w:t>
      </w:r>
      <w:r w:rsidRPr="00C60956">
        <w:rPr>
          <w:rFonts w:ascii="Calibri Light" w:hAnsi="Calibri Light" w:cs="Calibri Light"/>
          <w:lang w:val="fr-BE"/>
        </w:rPr>
        <w:t xml:space="preserve">actions et </w:t>
      </w:r>
      <w:r w:rsidR="00805785">
        <w:rPr>
          <w:rFonts w:ascii="Calibri Light" w:hAnsi="Calibri Light" w:cs="Calibri Light"/>
          <w:lang w:val="fr-BE"/>
        </w:rPr>
        <w:t>d</w:t>
      </w:r>
      <w:r w:rsidRPr="00C60956">
        <w:rPr>
          <w:rFonts w:ascii="Calibri Light" w:hAnsi="Calibri Light" w:cs="Calibri Light"/>
          <w:lang w:val="fr-BE"/>
        </w:rPr>
        <w:t xml:space="preserve">es obligations cotées en bourse. </w:t>
      </w:r>
    </w:p>
    <w:p w14:paraId="0004F2E5" w14:textId="7E0DADE1" w:rsidR="00ED50C2" w:rsidRPr="00C60956" w:rsidRDefault="00C60956">
      <w:pPr>
        <w:spacing w:after="120"/>
        <w:jc w:val="both"/>
        <w:rPr>
          <w:lang w:val="fr-BE"/>
        </w:rPr>
      </w:pPr>
      <w:r w:rsidRPr="00C60956">
        <w:rPr>
          <w:rFonts w:ascii="Calibri Light" w:hAnsi="Calibri Light" w:cs="Calibri Light"/>
          <w:lang w:val="fr-BE"/>
        </w:rPr>
        <w:t xml:space="preserve">Avec plus d'un </w:t>
      </w:r>
      <w:r w:rsidR="00A84E34">
        <w:rPr>
          <w:rFonts w:ascii="Calibri Light" w:hAnsi="Calibri Light" w:cs="Calibri Light"/>
          <w:lang w:val="fr-BE"/>
        </w:rPr>
        <w:t xml:space="preserve">million de milliards de </w:t>
      </w:r>
      <w:r w:rsidRPr="00C60956">
        <w:rPr>
          <w:rFonts w:ascii="Calibri Light" w:hAnsi="Calibri Light" w:cs="Calibri Light"/>
          <w:lang w:val="fr-BE"/>
        </w:rPr>
        <w:t xml:space="preserve">transactions par an </w:t>
      </w:r>
      <w:r w:rsidR="00A84E34">
        <w:rPr>
          <w:rFonts w:ascii="Calibri Light" w:hAnsi="Calibri Light" w:cs="Calibri Light"/>
          <w:lang w:val="fr-BE"/>
        </w:rPr>
        <w:t>–</w:t>
      </w:r>
      <w:r w:rsidRPr="00C60956">
        <w:rPr>
          <w:rFonts w:ascii="Calibri Light" w:hAnsi="Calibri Light" w:cs="Calibri Light"/>
          <w:lang w:val="fr-BE"/>
        </w:rPr>
        <w:t xml:space="preserve"> soit plus de </w:t>
      </w:r>
      <w:hyperlink r:id="rId11" w:history="1">
        <w:r w:rsidRPr="00C60956">
          <w:rPr>
            <w:rStyle w:val="Hyperlink"/>
            <w:rFonts w:ascii="Calibri Light" w:hAnsi="Calibri Light" w:cs="Calibri Light"/>
            <w:lang w:val="fr-BE"/>
          </w:rPr>
          <w:t>5</w:t>
        </w:r>
        <w:r w:rsidR="00A84E34">
          <w:rPr>
            <w:rStyle w:val="Hyperlink"/>
            <w:rFonts w:ascii="Calibri Light" w:hAnsi="Calibri Light" w:cs="Calibri Light"/>
            <w:lang w:val="fr-BE"/>
          </w:rPr>
          <w:t> </w:t>
        </w:r>
        <w:r w:rsidRPr="00C60956">
          <w:rPr>
            <w:rStyle w:val="Hyperlink"/>
            <w:rFonts w:ascii="Calibri Light" w:hAnsi="Calibri Light" w:cs="Calibri Light"/>
            <w:lang w:val="fr-BE"/>
          </w:rPr>
          <w:t>000 milliards</w:t>
        </w:r>
      </w:hyperlink>
      <w:r w:rsidR="00A84E34">
        <w:rPr>
          <w:rFonts w:ascii="Calibri Light" w:hAnsi="Calibri Light" w:cs="Calibri Light"/>
          <w:lang w:val="fr-BE"/>
        </w:rPr>
        <w:t xml:space="preserve"> de dollars échangés chaque jour – </w:t>
      </w:r>
      <w:r w:rsidRPr="00C60956">
        <w:rPr>
          <w:rFonts w:ascii="Calibri Light" w:hAnsi="Calibri Light" w:cs="Calibri Light"/>
          <w:lang w:val="fr-BE"/>
        </w:rPr>
        <w:t>le marché des devises (</w:t>
      </w:r>
      <w:r w:rsidR="00A84E34">
        <w:rPr>
          <w:rFonts w:ascii="Calibri Light" w:hAnsi="Calibri Light" w:cs="Calibri Light"/>
          <w:lang w:val="fr-BE"/>
        </w:rPr>
        <w:t>représenté essentiellement par les produits</w:t>
      </w:r>
      <w:r w:rsidRPr="00C60956">
        <w:rPr>
          <w:rFonts w:ascii="Calibri Light" w:hAnsi="Calibri Light" w:cs="Calibri Light"/>
          <w:lang w:val="fr-BE"/>
        </w:rPr>
        <w:t xml:space="preserve"> dérivés d</w:t>
      </w:r>
      <w:r w:rsidR="00A84E34">
        <w:rPr>
          <w:rFonts w:ascii="Calibri Light" w:hAnsi="Calibri Light" w:cs="Calibri Light"/>
          <w:lang w:val="fr-BE"/>
        </w:rPr>
        <w:t>u</w:t>
      </w:r>
      <w:r w:rsidRPr="00C60956">
        <w:rPr>
          <w:rFonts w:ascii="Calibri Light" w:hAnsi="Calibri Light" w:cs="Calibri Light"/>
          <w:lang w:val="fr-BE"/>
        </w:rPr>
        <w:t xml:space="preserve"> change) est </w:t>
      </w:r>
      <w:r w:rsidR="00A84E34">
        <w:rPr>
          <w:rFonts w:ascii="Calibri Light" w:hAnsi="Calibri Light" w:cs="Calibri Light"/>
          <w:lang w:val="fr-BE"/>
        </w:rPr>
        <w:t xml:space="preserve">sans conteste le </w:t>
      </w:r>
      <w:r w:rsidRPr="00C60956">
        <w:rPr>
          <w:rFonts w:ascii="Calibri Light" w:hAnsi="Calibri Light" w:cs="Calibri Light"/>
          <w:lang w:val="fr-BE"/>
        </w:rPr>
        <w:t>p</w:t>
      </w:r>
      <w:r w:rsidR="00A84E34">
        <w:rPr>
          <w:rFonts w:ascii="Calibri Light" w:hAnsi="Calibri Light" w:cs="Calibri Light"/>
          <w:lang w:val="fr-BE"/>
        </w:rPr>
        <w:t xml:space="preserve">remier marché </w:t>
      </w:r>
      <w:r w:rsidRPr="00C60956">
        <w:rPr>
          <w:rFonts w:ascii="Calibri Light" w:hAnsi="Calibri Light" w:cs="Calibri Light"/>
          <w:lang w:val="fr-BE"/>
        </w:rPr>
        <w:t xml:space="preserve">financier du monde, </w:t>
      </w:r>
      <w:r w:rsidR="00A84E34">
        <w:rPr>
          <w:rFonts w:ascii="Calibri Light" w:hAnsi="Calibri Light" w:cs="Calibri Light"/>
          <w:lang w:val="fr-BE"/>
        </w:rPr>
        <w:t>loin devant tous les autres</w:t>
      </w:r>
      <w:r w:rsidR="00805785">
        <w:rPr>
          <w:rFonts w:ascii="Calibri Light" w:hAnsi="Calibri Light" w:cs="Calibri Light"/>
          <w:lang w:val="fr-BE"/>
        </w:rPr>
        <w:t xml:space="preserve">. </w:t>
      </w:r>
      <w:r w:rsidR="00A84E34">
        <w:rPr>
          <w:rFonts w:ascii="Calibri Light" w:hAnsi="Calibri Light" w:cs="Calibri Light"/>
          <w:lang w:val="fr-BE"/>
        </w:rPr>
        <w:t>Les</w:t>
      </w:r>
      <w:r w:rsidRPr="00C60956">
        <w:rPr>
          <w:rFonts w:ascii="Calibri Light" w:hAnsi="Calibri Light" w:cs="Calibri Light"/>
          <w:lang w:val="fr-BE"/>
        </w:rPr>
        <w:t xml:space="preserve"> marché</w:t>
      </w:r>
      <w:r w:rsidR="00A84E34">
        <w:rPr>
          <w:rFonts w:ascii="Calibri Light" w:hAnsi="Calibri Light" w:cs="Calibri Light"/>
          <w:lang w:val="fr-BE"/>
        </w:rPr>
        <w:t xml:space="preserve">s </w:t>
      </w:r>
      <w:r w:rsidR="00C6530E">
        <w:rPr>
          <w:rFonts w:ascii="Calibri Light" w:hAnsi="Calibri Light" w:cs="Calibri Light"/>
          <w:lang w:val="fr-BE"/>
        </w:rPr>
        <w:t xml:space="preserve">d’actions </w:t>
      </w:r>
      <w:r w:rsidR="00A84E34">
        <w:rPr>
          <w:rFonts w:ascii="Calibri Light" w:hAnsi="Calibri Light" w:cs="Calibri Light"/>
          <w:lang w:val="fr-BE"/>
        </w:rPr>
        <w:t>mondiaux, bien plus connus, ne représente</w:t>
      </w:r>
      <w:r w:rsidR="00C6530E">
        <w:rPr>
          <w:rFonts w:ascii="Calibri Light" w:hAnsi="Calibri Light" w:cs="Calibri Light"/>
          <w:lang w:val="fr-BE"/>
        </w:rPr>
        <w:t>nt</w:t>
      </w:r>
      <w:r w:rsidR="00A84E34">
        <w:rPr>
          <w:rFonts w:ascii="Calibri Light" w:hAnsi="Calibri Light" w:cs="Calibri Light"/>
          <w:lang w:val="fr-BE"/>
        </w:rPr>
        <w:t xml:space="preserve"> qu’une petite fraction</w:t>
      </w:r>
      <w:r w:rsidR="007F444A">
        <w:rPr>
          <w:rFonts w:ascii="Calibri Light" w:hAnsi="Calibri Light" w:cs="Calibri Light"/>
          <w:lang w:val="fr-BE"/>
        </w:rPr>
        <w:t xml:space="preserve"> </w:t>
      </w:r>
      <w:r w:rsidRPr="00C60956">
        <w:rPr>
          <w:rFonts w:ascii="Calibri Light" w:hAnsi="Calibri Light" w:cs="Calibri Light"/>
          <w:lang w:val="fr-BE"/>
        </w:rPr>
        <w:t xml:space="preserve"> </w:t>
      </w:r>
      <w:r w:rsidR="00A84E34">
        <w:rPr>
          <w:rFonts w:ascii="Calibri Light" w:hAnsi="Calibri Light" w:cs="Calibri Light"/>
          <w:lang w:val="fr-BE"/>
        </w:rPr>
        <w:t>–</w:t>
      </w:r>
      <w:r w:rsidR="007F444A">
        <w:rPr>
          <w:rFonts w:ascii="Calibri Light" w:hAnsi="Calibri Light" w:cs="Calibri Light"/>
          <w:lang w:val="fr-BE"/>
        </w:rPr>
        <w:t xml:space="preserve"> </w:t>
      </w:r>
      <w:r w:rsidRPr="00C60956">
        <w:rPr>
          <w:rFonts w:ascii="Calibri Light" w:hAnsi="Calibri Light" w:cs="Calibri Light"/>
          <w:lang w:val="fr-BE"/>
        </w:rPr>
        <w:t>environ 5</w:t>
      </w:r>
      <w:r w:rsidR="00A84E34">
        <w:rPr>
          <w:rFonts w:ascii="Calibri Light" w:hAnsi="Calibri Light" w:cs="Calibri Light"/>
          <w:lang w:val="fr-BE"/>
        </w:rPr>
        <w:t> </w:t>
      </w:r>
      <w:r w:rsidRPr="00C60956">
        <w:rPr>
          <w:rFonts w:ascii="Calibri Light" w:hAnsi="Calibri Light" w:cs="Calibri Light"/>
          <w:lang w:val="fr-BE"/>
        </w:rPr>
        <w:t xml:space="preserve">% </w:t>
      </w:r>
      <w:r w:rsidR="00A84E34">
        <w:rPr>
          <w:rFonts w:ascii="Calibri Light" w:hAnsi="Calibri Light" w:cs="Calibri Light"/>
          <w:lang w:val="fr-BE"/>
        </w:rPr>
        <w:t>–</w:t>
      </w:r>
      <w:r w:rsidRPr="00C60956">
        <w:rPr>
          <w:rFonts w:ascii="Calibri Light" w:hAnsi="Calibri Light" w:cs="Calibri Light"/>
          <w:lang w:val="fr-BE"/>
        </w:rPr>
        <w:t xml:space="preserve"> du marché des devises. Pourtant, </w:t>
      </w:r>
      <w:r w:rsidR="00C6530E">
        <w:rPr>
          <w:rFonts w:ascii="Calibri Light" w:hAnsi="Calibri Light" w:cs="Calibri Light"/>
          <w:lang w:val="fr-BE"/>
        </w:rPr>
        <w:t xml:space="preserve">ce marché – le </w:t>
      </w:r>
      <w:r w:rsidRPr="00C60956">
        <w:rPr>
          <w:rFonts w:ascii="Calibri Light" w:hAnsi="Calibri Light" w:cs="Calibri Light"/>
          <w:lang w:val="fr-BE"/>
        </w:rPr>
        <w:t xml:space="preserve">plus grand </w:t>
      </w:r>
      <w:r w:rsidR="00A84E34">
        <w:rPr>
          <w:rFonts w:ascii="Calibri Light" w:hAnsi="Calibri Light" w:cs="Calibri Light"/>
          <w:lang w:val="fr-BE"/>
        </w:rPr>
        <w:t>de tous les marchés financiers</w:t>
      </w:r>
      <w:r w:rsidR="00361E5F">
        <w:rPr>
          <w:rFonts w:ascii="Calibri Light" w:hAnsi="Calibri Light" w:cs="Calibri Light"/>
          <w:lang w:val="fr-BE"/>
        </w:rPr>
        <w:t xml:space="preserve">, qui </w:t>
      </w:r>
      <w:r w:rsidR="00C6530E">
        <w:rPr>
          <w:rFonts w:ascii="Calibri Light" w:hAnsi="Calibri Light" w:cs="Calibri Light"/>
          <w:lang w:val="fr-BE"/>
        </w:rPr>
        <w:t xml:space="preserve">est aussi </w:t>
      </w:r>
      <w:r w:rsidR="00361E5F">
        <w:rPr>
          <w:rFonts w:ascii="Calibri Light" w:hAnsi="Calibri Light" w:cs="Calibri Light"/>
          <w:lang w:val="fr-BE"/>
        </w:rPr>
        <w:t xml:space="preserve">le terrain de jeu </w:t>
      </w:r>
      <w:r w:rsidRPr="00C60956">
        <w:rPr>
          <w:rFonts w:ascii="Calibri Light" w:hAnsi="Calibri Light" w:cs="Calibri Light"/>
          <w:lang w:val="fr-BE"/>
        </w:rPr>
        <w:t xml:space="preserve">privilégié des institutions financières </w:t>
      </w:r>
      <w:r w:rsidR="00C6530E">
        <w:rPr>
          <w:rFonts w:ascii="Calibri Light" w:hAnsi="Calibri Light" w:cs="Calibri Light"/>
          <w:lang w:val="fr-BE"/>
        </w:rPr>
        <w:t xml:space="preserve">– </w:t>
      </w:r>
      <w:r w:rsidRPr="00C60956">
        <w:rPr>
          <w:rFonts w:ascii="Calibri Light" w:hAnsi="Calibri Light" w:cs="Calibri Light"/>
          <w:lang w:val="fr-BE"/>
        </w:rPr>
        <w:t xml:space="preserve">ne serait pas </w:t>
      </w:r>
      <w:r w:rsidR="00361E5F">
        <w:rPr>
          <w:rFonts w:ascii="Calibri Light" w:hAnsi="Calibri Light" w:cs="Calibri Light"/>
          <w:lang w:val="fr-BE"/>
        </w:rPr>
        <w:t xml:space="preserve">affecté par le prélèvement d’une </w:t>
      </w:r>
      <w:r w:rsidRPr="00C60956">
        <w:rPr>
          <w:rFonts w:ascii="Calibri Light" w:hAnsi="Calibri Light" w:cs="Calibri Light"/>
          <w:lang w:val="fr-BE"/>
        </w:rPr>
        <w:t>TTF</w:t>
      </w:r>
      <w:r w:rsidR="00805785">
        <w:rPr>
          <w:rFonts w:ascii="Calibri Light" w:hAnsi="Calibri Light" w:cs="Calibri Light"/>
          <w:lang w:val="fr-BE"/>
        </w:rPr>
        <w:t>,</w:t>
      </w:r>
      <w:r w:rsidRPr="00C60956">
        <w:rPr>
          <w:rFonts w:ascii="Calibri Light" w:hAnsi="Calibri Light" w:cs="Calibri Light"/>
          <w:lang w:val="fr-BE"/>
        </w:rPr>
        <w:t xml:space="preserve"> et</w:t>
      </w:r>
      <w:r w:rsidR="00361E5F">
        <w:rPr>
          <w:rFonts w:ascii="Calibri Light" w:hAnsi="Calibri Light" w:cs="Calibri Light"/>
          <w:lang w:val="fr-BE"/>
        </w:rPr>
        <w:t xml:space="preserve"> reste à ce jour </w:t>
      </w:r>
      <w:r w:rsidRPr="00C60956">
        <w:rPr>
          <w:rFonts w:ascii="Calibri Light" w:hAnsi="Calibri Light" w:cs="Calibri Light"/>
          <w:lang w:val="fr-BE"/>
        </w:rPr>
        <w:t xml:space="preserve">totalement opaque et </w:t>
      </w:r>
      <w:r w:rsidR="00361E5F">
        <w:rPr>
          <w:rFonts w:ascii="Calibri Light" w:hAnsi="Calibri Light" w:cs="Calibri Light"/>
          <w:lang w:val="fr-BE"/>
        </w:rPr>
        <w:t xml:space="preserve">très peu réglementé. </w:t>
      </w:r>
      <w:r w:rsidRPr="00C60956">
        <w:rPr>
          <w:rFonts w:ascii="Calibri Light" w:hAnsi="Calibri Light" w:cs="Calibri Light"/>
          <w:lang w:val="fr-BE"/>
        </w:rPr>
        <w:t xml:space="preserve">Il en va de même </w:t>
      </w:r>
      <w:r w:rsidR="00361E5F">
        <w:rPr>
          <w:rFonts w:ascii="Calibri Light" w:hAnsi="Calibri Light" w:cs="Calibri Light"/>
          <w:lang w:val="fr-BE"/>
        </w:rPr>
        <w:t>–</w:t>
      </w:r>
      <w:r w:rsidRPr="00C60956">
        <w:rPr>
          <w:rFonts w:ascii="Calibri Light" w:hAnsi="Calibri Light" w:cs="Calibri Light"/>
          <w:lang w:val="fr-BE"/>
        </w:rPr>
        <w:t xml:space="preserve"> dans une moindre mesure </w:t>
      </w:r>
      <w:r w:rsidR="00361E5F">
        <w:rPr>
          <w:rFonts w:ascii="Calibri Light" w:hAnsi="Calibri Light" w:cs="Calibri Light"/>
          <w:lang w:val="fr-BE"/>
        </w:rPr>
        <w:t xml:space="preserve">toutefois – </w:t>
      </w:r>
      <w:r w:rsidRPr="00C60956">
        <w:rPr>
          <w:rFonts w:ascii="Calibri Light" w:hAnsi="Calibri Light" w:cs="Calibri Light"/>
          <w:lang w:val="fr-BE"/>
        </w:rPr>
        <w:t xml:space="preserve">pour les </w:t>
      </w:r>
      <w:r w:rsidR="00361E5F">
        <w:rPr>
          <w:rFonts w:ascii="Calibri Light" w:hAnsi="Calibri Light" w:cs="Calibri Light"/>
          <w:lang w:val="fr-BE"/>
        </w:rPr>
        <w:t xml:space="preserve">instruments dérivés de </w:t>
      </w:r>
      <w:r w:rsidRPr="00C60956">
        <w:rPr>
          <w:rFonts w:ascii="Calibri Light" w:hAnsi="Calibri Light" w:cs="Calibri Light"/>
          <w:lang w:val="fr-BE"/>
        </w:rPr>
        <w:t xml:space="preserve">taux d'intérêt qui ne sont pas négociés par les citoyens mais </w:t>
      </w:r>
      <w:r w:rsidR="00361E5F">
        <w:rPr>
          <w:rFonts w:ascii="Calibri Light" w:hAnsi="Calibri Light" w:cs="Calibri Light"/>
          <w:lang w:val="fr-BE"/>
        </w:rPr>
        <w:t xml:space="preserve">surtout, ici aussi, par les </w:t>
      </w:r>
      <w:r w:rsidRPr="00C60956">
        <w:rPr>
          <w:rFonts w:ascii="Calibri Light" w:hAnsi="Calibri Light" w:cs="Calibri Light"/>
          <w:lang w:val="fr-BE"/>
        </w:rPr>
        <w:t>institutions financières.</w:t>
      </w:r>
      <w:r w:rsidR="00361E5F">
        <w:rPr>
          <w:rFonts w:ascii="Calibri Light" w:hAnsi="Calibri Light" w:cs="Calibri Light"/>
          <w:lang w:val="fr-BE"/>
        </w:rPr>
        <w:t xml:space="preserve"> U</w:t>
      </w:r>
      <w:r w:rsidRPr="00C60956">
        <w:rPr>
          <w:rFonts w:ascii="Calibri Light" w:hAnsi="Calibri Light" w:cs="Calibri Light"/>
          <w:lang w:val="fr-BE"/>
        </w:rPr>
        <w:t xml:space="preserve">ne TTF ciblant ces marchés professionnels gigantesques plutôt que les marchés d'actions </w:t>
      </w:r>
      <w:r w:rsidR="00361E5F">
        <w:rPr>
          <w:rFonts w:ascii="Calibri Light" w:hAnsi="Calibri Light" w:cs="Calibri Light"/>
          <w:lang w:val="fr-BE"/>
        </w:rPr>
        <w:t xml:space="preserve">générerait pourtant </w:t>
      </w:r>
      <w:r w:rsidRPr="00C60956">
        <w:rPr>
          <w:rFonts w:ascii="Calibri Light" w:hAnsi="Calibri Light" w:cs="Calibri Light"/>
          <w:lang w:val="fr-BE"/>
        </w:rPr>
        <w:t>des recettes fiscales b</w:t>
      </w:r>
      <w:r w:rsidR="00361E5F">
        <w:rPr>
          <w:rFonts w:ascii="Calibri Light" w:hAnsi="Calibri Light" w:cs="Calibri Light"/>
          <w:lang w:val="fr-BE"/>
        </w:rPr>
        <w:t>ien plus</w:t>
      </w:r>
      <w:r w:rsidR="007F444A">
        <w:rPr>
          <w:rFonts w:ascii="Calibri Light" w:hAnsi="Calibri Light" w:cs="Calibri Light"/>
          <w:lang w:val="fr-BE"/>
        </w:rPr>
        <w:t xml:space="preserve"> </w:t>
      </w:r>
      <w:r w:rsidRPr="00C60956">
        <w:rPr>
          <w:rFonts w:ascii="Calibri Light" w:hAnsi="Calibri Light" w:cs="Calibri Light"/>
          <w:lang w:val="fr-BE"/>
        </w:rPr>
        <w:t>importantes</w:t>
      </w:r>
      <w:r w:rsidR="00361E5F">
        <w:rPr>
          <w:rFonts w:ascii="Calibri Light" w:hAnsi="Calibri Light" w:cs="Calibri Light"/>
          <w:lang w:val="fr-BE"/>
        </w:rPr>
        <w:t xml:space="preserve"> et protégerait les </w:t>
      </w:r>
      <w:r w:rsidRPr="00C60956">
        <w:rPr>
          <w:rFonts w:ascii="Calibri Light" w:hAnsi="Calibri Light" w:cs="Calibri Light"/>
          <w:lang w:val="fr-BE"/>
        </w:rPr>
        <w:t>citoyens européens</w:t>
      </w:r>
      <w:r w:rsidR="00361E5F">
        <w:rPr>
          <w:rFonts w:ascii="Calibri Light" w:hAnsi="Calibri Light" w:cs="Calibri Light"/>
          <w:lang w:val="fr-BE"/>
        </w:rPr>
        <w:t xml:space="preserve"> qui n’auraient pas une fois de plus à payer l’addition.</w:t>
      </w:r>
      <w:r w:rsidR="007F444A">
        <w:rPr>
          <w:rFonts w:ascii="Calibri Light" w:hAnsi="Calibri Light" w:cs="Calibri Light"/>
          <w:lang w:val="fr-BE"/>
        </w:rPr>
        <w:t xml:space="preserve"> </w:t>
      </w:r>
      <w:r w:rsidR="00361E5F">
        <w:rPr>
          <w:rFonts w:ascii="Calibri Light" w:hAnsi="Calibri Light" w:cs="Calibri Light"/>
          <w:lang w:val="fr-BE"/>
        </w:rPr>
        <w:t xml:space="preserve"> </w:t>
      </w:r>
    </w:p>
    <w:p w14:paraId="0004F2E6" w14:textId="68782D94" w:rsidR="00ED50C2" w:rsidRPr="00C60956" w:rsidRDefault="00C60956">
      <w:pPr>
        <w:spacing w:after="120"/>
        <w:jc w:val="both"/>
        <w:rPr>
          <w:lang w:val="fr-BE"/>
        </w:rPr>
      </w:pPr>
      <w:r w:rsidRPr="00C60956">
        <w:rPr>
          <w:rFonts w:ascii="Calibri Light" w:hAnsi="Calibri Light" w:cs="Calibri Light"/>
          <w:lang w:val="fr-BE"/>
        </w:rPr>
        <w:t xml:space="preserve">Six ans plus tard, le dossier de la TTF reste bloqué au Conseil, bien que de nouvelles discussions aient eu lieu </w:t>
      </w:r>
      <w:r w:rsidR="00C6530E">
        <w:rPr>
          <w:rFonts w:ascii="Calibri Light" w:hAnsi="Calibri Light" w:cs="Calibri Light"/>
          <w:lang w:val="fr-BE"/>
        </w:rPr>
        <w:t xml:space="preserve">à la </w:t>
      </w:r>
      <w:r w:rsidRPr="00C60956">
        <w:rPr>
          <w:rFonts w:ascii="Calibri Light" w:hAnsi="Calibri Light" w:cs="Calibri Light"/>
          <w:lang w:val="fr-BE"/>
        </w:rPr>
        <w:t xml:space="preserve">suite </w:t>
      </w:r>
      <w:r w:rsidR="00C6530E">
        <w:rPr>
          <w:rFonts w:ascii="Calibri Light" w:hAnsi="Calibri Light" w:cs="Calibri Light"/>
          <w:lang w:val="fr-BE"/>
        </w:rPr>
        <w:t>d’</w:t>
      </w:r>
      <w:r w:rsidRPr="00C60956">
        <w:rPr>
          <w:rFonts w:ascii="Calibri Light" w:hAnsi="Calibri Light" w:cs="Calibri Light"/>
          <w:lang w:val="fr-BE"/>
        </w:rPr>
        <w:t xml:space="preserve">une </w:t>
      </w:r>
      <w:hyperlink r:id="rId12" w:history="1">
        <w:r w:rsidRPr="00C60956">
          <w:rPr>
            <w:rStyle w:val="Hyperlink"/>
            <w:rFonts w:ascii="Calibri Light" w:hAnsi="Calibri Light" w:cs="Calibri Light"/>
            <w:lang w:val="fr-BE"/>
          </w:rPr>
          <w:t>note de l'Allemagne en juin 2019,</w:t>
        </w:r>
        <w:r w:rsidRPr="00361E5F">
          <w:rPr>
            <w:rStyle w:val="Hyperlink"/>
            <w:rFonts w:ascii="Calibri Light" w:hAnsi="Calibri Light" w:cs="Calibri Light"/>
            <w:u w:val="none"/>
            <w:lang w:val="fr-BE"/>
          </w:rPr>
          <w:t xml:space="preserve"> </w:t>
        </w:r>
      </w:hyperlink>
      <w:r w:rsidRPr="00C60956">
        <w:rPr>
          <w:rFonts w:ascii="Calibri Light" w:hAnsi="Calibri Light" w:cs="Calibri Light"/>
          <w:lang w:val="fr-BE"/>
        </w:rPr>
        <w:t>demandant au Conseil de reprendre les négociations et d</w:t>
      </w:r>
      <w:r w:rsidR="00361E5F">
        <w:rPr>
          <w:rFonts w:ascii="Calibri Light" w:hAnsi="Calibri Light" w:cs="Calibri Light"/>
          <w:lang w:val="fr-BE"/>
        </w:rPr>
        <w:t xml:space="preserve">e concevoir une </w:t>
      </w:r>
      <w:r w:rsidRPr="00C60956">
        <w:rPr>
          <w:rFonts w:ascii="Calibri Light" w:hAnsi="Calibri Light" w:cs="Calibri Light"/>
          <w:lang w:val="fr-BE"/>
        </w:rPr>
        <w:t xml:space="preserve">TTF </w:t>
      </w:r>
      <w:r w:rsidR="00361E5F">
        <w:rPr>
          <w:rFonts w:ascii="Calibri Light" w:hAnsi="Calibri Light" w:cs="Calibri Light"/>
          <w:lang w:val="fr-BE"/>
        </w:rPr>
        <w:t xml:space="preserve">selon le modèle français. </w:t>
      </w:r>
    </w:p>
    <w:p w14:paraId="0004F2E7" w14:textId="57244864" w:rsidR="00ED50C2" w:rsidRPr="00C60956" w:rsidRDefault="00361E5F">
      <w:pPr>
        <w:spacing w:after="120"/>
        <w:jc w:val="both"/>
        <w:rPr>
          <w:lang w:val="fr-BE"/>
        </w:rPr>
      </w:pPr>
      <w:r>
        <w:rPr>
          <w:rFonts w:ascii="Calibri Light" w:hAnsi="Calibri Light" w:cs="Calibri Light"/>
          <w:lang w:val="fr-BE"/>
        </w:rPr>
        <w:t>La proposition allemande ne tient malheureusement pas compte des questions et des inquiétudes</w:t>
      </w:r>
      <w:r w:rsidR="00805785">
        <w:rPr>
          <w:rFonts w:ascii="Calibri Light" w:hAnsi="Calibri Light" w:cs="Calibri Light"/>
          <w:lang w:val="fr-BE"/>
        </w:rPr>
        <w:t xml:space="preserve"> autour de la </w:t>
      </w:r>
      <w:r>
        <w:rPr>
          <w:rFonts w:ascii="Calibri Light" w:hAnsi="Calibri Light" w:cs="Calibri Light"/>
          <w:lang w:val="fr-BE"/>
        </w:rPr>
        <w:t>TTF formu</w:t>
      </w:r>
      <w:r w:rsidR="00C6530E">
        <w:rPr>
          <w:rFonts w:ascii="Calibri Light" w:hAnsi="Calibri Light" w:cs="Calibri Light"/>
          <w:lang w:val="fr-BE"/>
        </w:rPr>
        <w:t>l</w:t>
      </w:r>
      <w:r>
        <w:rPr>
          <w:rFonts w:ascii="Calibri Light" w:hAnsi="Calibri Light" w:cs="Calibri Light"/>
          <w:lang w:val="fr-BE"/>
        </w:rPr>
        <w:t xml:space="preserve">ées par </w:t>
      </w:r>
      <w:r w:rsidR="00C60956" w:rsidRPr="00C60956">
        <w:rPr>
          <w:rFonts w:ascii="Calibri Light" w:hAnsi="Calibri Light" w:cs="Calibri Light"/>
          <w:lang w:val="fr-BE"/>
        </w:rPr>
        <w:t>BETTER FINANCE en 2013</w:t>
      </w:r>
      <w:r>
        <w:rPr>
          <w:rFonts w:ascii="Calibri Light" w:hAnsi="Calibri Light" w:cs="Calibri Light"/>
          <w:lang w:val="fr-BE"/>
        </w:rPr>
        <w:t xml:space="preserve">. </w:t>
      </w:r>
      <w:r w:rsidR="00C60956" w:rsidRPr="00C60956">
        <w:rPr>
          <w:rFonts w:ascii="Calibri Light" w:hAnsi="Calibri Light" w:cs="Calibri Light"/>
          <w:lang w:val="fr-BE"/>
        </w:rPr>
        <w:t xml:space="preserve">En bref, la </w:t>
      </w:r>
      <w:r w:rsidR="004406D0">
        <w:rPr>
          <w:rFonts w:ascii="Calibri Light" w:hAnsi="Calibri Light" w:cs="Calibri Light"/>
          <w:lang w:val="fr-BE"/>
        </w:rPr>
        <w:t xml:space="preserve">proposition allemande préconise le prélèvement d’une taxe de </w:t>
      </w:r>
      <w:r w:rsidR="00C60956" w:rsidRPr="00C60956">
        <w:rPr>
          <w:rFonts w:ascii="Calibri Light" w:hAnsi="Calibri Light" w:cs="Calibri Light"/>
          <w:lang w:val="fr-BE"/>
        </w:rPr>
        <w:t>0,2</w:t>
      </w:r>
      <w:r w:rsidR="004406D0">
        <w:rPr>
          <w:rFonts w:ascii="Calibri Light" w:hAnsi="Calibri Light" w:cs="Calibri Light"/>
          <w:lang w:val="fr-BE"/>
        </w:rPr>
        <w:t> </w:t>
      </w:r>
      <w:r w:rsidR="00C60956" w:rsidRPr="00C60956">
        <w:rPr>
          <w:rFonts w:ascii="Calibri Light" w:hAnsi="Calibri Light" w:cs="Calibri Light"/>
          <w:lang w:val="fr-BE"/>
        </w:rPr>
        <w:t>% sur toutes les transactions</w:t>
      </w:r>
      <w:r w:rsidR="004406D0">
        <w:rPr>
          <w:rFonts w:ascii="Calibri Light" w:hAnsi="Calibri Light" w:cs="Calibri Light"/>
          <w:lang w:val="fr-BE"/>
        </w:rPr>
        <w:t xml:space="preserve"> portant sur des actions d’un montant </w:t>
      </w:r>
      <w:r w:rsidR="004406D0">
        <w:rPr>
          <w:rFonts w:ascii="Calibri Light" w:hAnsi="Calibri Light" w:cs="Calibri Light"/>
          <w:lang w:val="fr-BE"/>
        </w:rPr>
        <w:lastRenderedPageBreak/>
        <w:t xml:space="preserve">supérieur à </w:t>
      </w:r>
      <w:r w:rsidR="00C60956" w:rsidRPr="00C60956">
        <w:rPr>
          <w:rFonts w:ascii="Calibri Light" w:hAnsi="Calibri Light" w:cs="Calibri Light"/>
          <w:lang w:val="fr-BE"/>
        </w:rPr>
        <w:t xml:space="preserve">1 milliard d'euros, </w:t>
      </w:r>
      <w:r w:rsidR="004406D0">
        <w:rPr>
          <w:rFonts w:ascii="Calibri Light" w:hAnsi="Calibri Light" w:cs="Calibri Light"/>
          <w:lang w:val="fr-BE"/>
        </w:rPr>
        <w:t xml:space="preserve">épargnant ainsi les opérations sur devises, les obligations, les instruments dérivés et le </w:t>
      </w:r>
      <w:r w:rsidR="00C60956" w:rsidRPr="00C60956">
        <w:rPr>
          <w:rFonts w:ascii="Calibri Light" w:hAnsi="Calibri Light" w:cs="Calibri Light"/>
          <w:lang w:val="fr-BE"/>
        </w:rPr>
        <w:t xml:space="preserve">trading à haute fréquence. </w:t>
      </w:r>
    </w:p>
    <w:p w14:paraId="0004F2E8" w14:textId="2EEDCD3C" w:rsidR="00ED50C2" w:rsidRPr="00C60956" w:rsidRDefault="00C60956">
      <w:pPr>
        <w:spacing w:after="120"/>
        <w:jc w:val="both"/>
        <w:rPr>
          <w:lang w:val="fr-BE"/>
        </w:rPr>
      </w:pPr>
      <w:r w:rsidRPr="00C60956">
        <w:rPr>
          <w:rFonts w:ascii="Calibri Light" w:hAnsi="Calibri Light" w:cs="Calibri Light"/>
          <w:lang w:val="fr-BE"/>
        </w:rPr>
        <w:t xml:space="preserve">Selon </w:t>
      </w:r>
      <w:hyperlink r:id="rId13" w:history="1">
        <w:r w:rsidR="004406D0">
          <w:rPr>
            <w:rStyle w:val="Hyperlink"/>
            <w:rFonts w:ascii="Calibri Light" w:hAnsi="Calibri Light" w:cs="Calibri Light"/>
            <w:lang w:val="fr-BE"/>
          </w:rPr>
          <w:t>Sven Giegold, d</w:t>
        </w:r>
        <w:r w:rsidRPr="00C60956">
          <w:rPr>
            <w:rStyle w:val="Hyperlink"/>
            <w:rFonts w:ascii="Calibri Light" w:hAnsi="Calibri Light" w:cs="Calibri Light"/>
            <w:lang w:val="fr-BE"/>
          </w:rPr>
          <w:t>éputé européen des Verts</w:t>
        </w:r>
      </w:hyperlink>
      <w:r w:rsidRPr="00C60956">
        <w:rPr>
          <w:rFonts w:ascii="Calibri Light" w:hAnsi="Calibri Light" w:cs="Calibri Light"/>
          <w:lang w:val="fr-BE"/>
        </w:rPr>
        <w:t xml:space="preserve">, cette proposition de TTF pervertie est </w:t>
      </w:r>
      <w:r w:rsidR="004406D0">
        <w:rPr>
          <w:rFonts w:ascii="Calibri Light" w:hAnsi="Calibri Light" w:cs="Calibri Light"/>
          <w:lang w:val="fr-BE"/>
        </w:rPr>
        <w:t>« </w:t>
      </w:r>
      <w:r w:rsidRPr="00C60956">
        <w:rPr>
          <w:rFonts w:ascii="Calibri Light" w:hAnsi="Calibri Light" w:cs="Calibri Light"/>
          <w:i/>
          <w:iCs/>
          <w:lang w:val="fr-BE"/>
        </w:rPr>
        <w:t>une farce</w:t>
      </w:r>
      <w:r w:rsidR="004406D0">
        <w:rPr>
          <w:rFonts w:ascii="Calibri Light" w:hAnsi="Calibri Light" w:cs="Calibri Light"/>
          <w:i/>
          <w:iCs/>
          <w:lang w:val="fr-BE"/>
        </w:rPr>
        <w:t xml:space="preserve"> et non une </w:t>
      </w:r>
      <w:r w:rsidRPr="00C60956">
        <w:rPr>
          <w:rFonts w:ascii="Calibri Light" w:hAnsi="Calibri Light" w:cs="Calibri Light"/>
          <w:i/>
          <w:iCs/>
          <w:lang w:val="fr-BE"/>
        </w:rPr>
        <w:t>véritable taxe sur les transactions financières</w:t>
      </w:r>
      <w:r w:rsidR="004406D0">
        <w:rPr>
          <w:rFonts w:ascii="Calibri Light" w:hAnsi="Calibri Light" w:cs="Calibri Light"/>
          <w:lang w:val="fr-BE"/>
        </w:rPr>
        <w:t> »</w:t>
      </w:r>
      <w:r w:rsidRPr="00C60956">
        <w:rPr>
          <w:rFonts w:ascii="Calibri Light" w:hAnsi="Calibri Light" w:cs="Calibri Light"/>
          <w:lang w:val="fr-BE"/>
        </w:rPr>
        <w:t xml:space="preserve"> et </w:t>
      </w:r>
      <w:r w:rsidR="004406D0">
        <w:rPr>
          <w:rFonts w:ascii="Calibri Light" w:hAnsi="Calibri Light" w:cs="Calibri Light"/>
          <w:lang w:val="fr-BE"/>
        </w:rPr>
        <w:t>serait en fin de compte payé</w:t>
      </w:r>
      <w:r w:rsidR="00C6530E">
        <w:rPr>
          <w:rFonts w:ascii="Calibri Light" w:hAnsi="Calibri Light" w:cs="Calibri Light"/>
          <w:lang w:val="fr-BE"/>
        </w:rPr>
        <w:t>e</w:t>
      </w:r>
      <w:r w:rsidR="004406D0">
        <w:rPr>
          <w:rFonts w:ascii="Calibri Light" w:hAnsi="Calibri Light" w:cs="Calibri Light"/>
          <w:lang w:val="fr-BE"/>
        </w:rPr>
        <w:t xml:space="preserve"> par les</w:t>
      </w:r>
      <w:r w:rsidR="007F444A">
        <w:rPr>
          <w:rFonts w:ascii="Calibri Light" w:hAnsi="Calibri Light" w:cs="Calibri Light"/>
          <w:lang w:val="fr-BE"/>
        </w:rPr>
        <w:t xml:space="preserve"> </w:t>
      </w:r>
      <w:r w:rsidRPr="00C60956">
        <w:rPr>
          <w:rFonts w:ascii="Calibri Light" w:hAnsi="Calibri Light" w:cs="Calibri Light"/>
          <w:lang w:val="fr-BE"/>
        </w:rPr>
        <w:t xml:space="preserve"> </w:t>
      </w:r>
      <w:r w:rsidR="004406D0">
        <w:rPr>
          <w:rFonts w:ascii="Calibri Light" w:hAnsi="Calibri Light" w:cs="Calibri Light"/>
          <w:i/>
          <w:iCs/>
          <w:lang w:val="fr-BE"/>
        </w:rPr>
        <w:t>« </w:t>
      </w:r>
      <w:r w:rsidRPr="00C60956">
        <w:rPr>
          <w:rFonts w:ascii="Calibri Light" w:hAnsi="Calibri Light" w:cs="Calibri Light"/>
          <w:i/>
          <w:iCs/>
          <w:lang w:val="fr-BE"/>
        </w:rPr>
        <w:t>petits investisseurs</w:t>
      </w:r>
      <w:r w:rsidR="004406D0">
        <w:rPr>
          <w:rFonts w:ascii="Calibri Light" w:hAnsi="Calibri Light" w:cs="Calibri Light"/>
          <w:lang w:val="fr-BE"/>
        </w:rPr>
        <w:t> »</w:t>
      </w:r>
      <w:r w:rsidRPr="00C60956">
        <w:rPr>
          <w:rFonts w:ascii="Calibri Light" w:hAnsi="Calibri Light" w:cs="Calibri Light"/>
          <w:lang w:val="fr-BE"/>
        </w:rPr>
        <w:t>. Même le seuil d'un milliard d'euros</w:t>
      </w:r>
      <w:r w:rsidR="004406D0">
        <w:rPr>
          <w:rFonts w:ascii="Calibri Light" w:hAnsi="Calibri Light" w:cs="Calibri Light"/>
          <w:lang w:val="fr-BE"/>
        </w:rPr>
        <w:t xml:space="preserve"> qui figure dans cette proposition n’y change rien,</w:t>
      </w:r>
      <w:r w:rsidR="007F444A">
        <w:rPr>
          <w:rFonts w:ascii="Calibri Light" w:hAnsi="Calibri Light" w:cs="Calibri Light"/>
          <w:lang w:val="fr-BE"/>
        </w:rPr>
        <w:t xml:space="preserve"> </w:t>
      </w:r>
      <w:r w:rsidRPr="00C60956">
        <w:rPr>
          <w:rFonts w:ascii="Calibri Light" w:hAnsi="Calibri Light" w:cs="Calibri Light"/>
          <w:lang w:val="fr-BE"/>
        </w:rPr>
        <w:t xml:space="preserve">puisque les fonds d'investissement et </w:t>
      </w:r>
      <w:r w:rsidR="00C6530E">
        <w:rPr>
          <w:rFonts w:ascii="Calibri Light" w:hAnsi="Calibri Light" w:cs="Calibri Light"/>
          <w:lang w:val="fr-BE"/>
        </w:rPr>
        <w:t xml:space="preserve">les </w:t>
      </w:r>
      <w:r w:rsidR="004406D0">
        <w:rPr>
          <w:rFonts w:ascii="Calibri Light" w:hAnsi="Calibri Light" w:cs="Calibri Light"/>
          <w:lang w:val="fr-BE"/>
        </w:rPr>
        <w:t xml:space="preserve">fonds de </w:t>
      </w:r>
      <w:r w:rsidR="00805785">
        <w:rPr>
          <w:rFonts w:ascii="Calibri Light" w:hAnsi="Calibri Light" w:cs="Calibri Light"/>
          <w:lang w:val="fr-BE"/>
        </w:rPr>
        <w:t xml:space="preserve">retraite </w:t>
      </w:r>
      <w:r w:rsidR="004406D0">
        <w:rPr>
          <w:rFonts w:ascii="Calibri Light" w:hAnsi="Calibri Light" w:cs="Calibri Light"/>
          <w:lang w:val="fr-BE"/>
        </w:rPr>
        <w:t xml:space="preserve">répercuteraient la taxe sur </w:t>
      </w:r>
      <w:r w:rsidR="000C0EB1">
        <w:rPr>
          <w:rFonts w:ascii="Calibri Light" w:hAnsi="Calibri Light" w:cs="Calibri Light"/>
          <w:lang w:val="fr-BE"/>
        </w:rPr>
        <w:t xml:space="preserve">l’usager final : </w:t>
      </w:r>
      <w:r w:rsidRPr="00C60956">
        <w:rPr>
          <w:rFonts w:ascii="Calibri Light" w:hAnsi="Calibri Light" w:cs="Calibri Light"/>
          <w:lang w:val="fr-BE"/>
        </w:rPr>
        <w:t>l</w:t>
      </w:r>
      <w:r w:rsidR="00C6530E">
        <w:rPr>
          <w:rFonts w:ascii="Calibri Light" w:hAnsi="Calibri Light" w:cs="Calibri Light"/>
          <w:lang w:val="fr-BE"/>
        </w:rPr>
        <w:t>’</w:t>
      </w:r>
      <w:r w:rsidRPr="00C60956">
        <w:rPr>
          <w:rFonts w:ascii="Calibri Light" w:hAnsi="Calibri Light" w:cs="Calibri Light"/>
          <w:lang w:val="fr-BE"/>
        </w:rPr>
        <w:t>épargnant à long terme et l</w:t>
      </w:r>
      <w:r w:rsidR="00C6530E">
        <w:rPr>
          <w:rFonts w:ascii="Calibri Light" w:hAnsi="Calibri Light" w:cs="Calibri Light"/>
          <w:lang w:val="fr-BE"/>
        </w:rPr>
        <w:t xml:space="preserve">’investisseur </w:t>
      </w:r>
      <w:r w:rsidR="000C0EB1">
        <w:rPr>
          <w:rFonts w:ascii="Calibri Light" w:hAnsi="Calibri Light" w:cs="Calibri Light"/>
          <w:lang w:val="fr-BE"/>
        </w:rPr>
        <w:t>particulier.</w:t>
      </w:r>
      <w:r w:rsidRPr="00C60956">
        <w:rPr>
          <w:rFonts w:ascii="Calibri Light" w:hAnsi="Calibri Light" w:cs="Calibri Light"/>
          <w:lang w:val="fr-BE"/>
        </w:rPr>
        <w:t xml:space="preserve"> </w:t>
      </w:r>
    </w:p>
    <w:p w14:paraId="0004F2E9" w14:textId="0C066764" w:rsidR="00ED50C2" w:rsidRPr="00C60956" w:rsidRDefault="000C0EB1">
      <w:pPr>
        <w:spacing w:after="120"/>
        <w:rPr>
          <w:lang w:val="fr-BE"/>
        </w:rPr>
      </w:pPr>
      <w:r>
        <w:rPr>
          <w:rFonts w:ascii="Calibri Light" w:hAnsi="Calibri Light" w:cs="Calibri Light"/>
          <w:lang w:val="fr-BE"/>
        </w:rPr>
        <w:t xml:space="preserve">Dans cette optique, </w:t>
      </w:r>
      <w:r w:rsidR="00C60956" w:rsidRPr="00C60956">
        <w:rPr>
          <w:rFonts w:ascii="Calibri Light" w:hAnsi="Calibri Light" w:cs="Calibri Light"/>
          <w:lang w:val="fr-BE"/>
        </w:rPr>
        <w:t xml:space="preserve">BETTER FINANCE demande aux autorités européennes : </w:t>
      </w:r>
    </w:p>
    <w:p w14:paraId="0004F2EA" w14:textId="2640BC75" w:rsidR="00ED50C2" w:rsidRPr="00C60956" w:rsidRDefault="00C6530E">
      <w:pPr>
        <w:pStyle w:val="ListParagraph"/>
        <w:numPr>
          <w:ilvl w:val="0"/>
          <w:numId w:val="1"/>
        </w:numPr>
        <w:spacing w:after="160" w:line="251" w:lineRule="auto"/>
        <w:rPr>
          <w:lang w:val="fr-BE"/>
        </w:rPr>
      </w:pPr>
      <w:r>
        <w:rPr>
          <w:rFonts w:ascii="Calibri Light" w:eastAsia="Times New Roman" w:hAnsi="Calibri Light" w:cs="Calibri Light"/>
          <w:lang w:val="fr-BE"/>
        </w:rPr>
        <w:t>d</w:t>
      </w:r>
      <w:r w:rsidR="000C0EB1">
        <w:rPr>
          <w:rFonts w:ascii="Calibri Light" w:eastAsia="Times New Roman" w:hAnsi="Calibri Light" w:cs="Calibri Light"/>
          <w:lang w:val="fr-BE"/>
        </w:rPr>
        <w:t xml:space="preserve">’exonérer clairement les </w:t>
      </w:r>
      <w:r w:rsidR="00C60956" w:rsidRPr="00C60956">
        <w:rPr>
          <w:rFonts w:ascii="Calibri Light" w:eastAsia="Times New Roman" w:hAnsi="Calibri Light" w:cs="Calibri Light"/>
          <w:lang w:val="fr-BE"/>
        </w:rPr>
        <w:t xml:space="preserve">citoyens de l'UE (c'est-à-dire les investisseurs </w:t>
      </w:r>
      <w:r w:rsidR="000C0EB1">
        <w:rPr>
          <w:rFonts w:ascii="Calibri Light" w:eastAsia="Times New Roman" w:hAnsi="Calibri Light" w:cs="Calibri Light"/>
          <w:lang w:val="fr-BE"/>
        </w:rPr>
        <w:t>particuliers</w:t>
      </w:r>
      <w:r w:rsidR="00C60956" w:rsidRPr="00C60956">
        <w:rPr>
          <w:rFonts w:ascii="Calibri Light" w:eastAsia="Times New Roman" w:hAnsi="Calibri Light" w:cs="Calibri Light"/>
          <w:lang w:val="fr-BE"/>
        </w:rPr>
        <w:t xml:space="preserve"> non professionnels) de la TTF ;</w:t>
      </w:r>
    </w:p>
    <w:p w14:paraId="0004F2EB" w14:textId="69B3B742" w:rsidR="00ED50C2" w:rsidRPr="00C60956" w:rsidRDefault="00C6530E">
      <w:pPr>
        <w:pStyle w:val="ListParagraph"/>
        <w:numPr>
          <w:ilvl w:val="0"/>
          <w:numId w:val="1"/>
        </w:numPr>
        <w:spacing w:after="160" w:line="251" w:lineRule="auto"/>
        <w:rPr>
          <w:lang w:val="fr-BE"/>
        </w:rPr>
      </w:pPr>
      <w:r>
        <w:rPr>
          <w:rFonts w:ascii="Calibri Light" w:eastAsia="Times New Roman" w:hAnsi="Calibri Light" w:cs="Calibri Light"/>
          <w:lang w:val="fr-BE"/>
        </w:rPr>
        <w:t>d</w:t>
      </w:r>
      <w:r w:rsidR="000C0EB1">
        <w:rPr>
          <w:rFonts w:ascii="Calibri Light" w:eastAsia="Times New Roman" w:hAnsi="Calibri Light" w:cs="Calibri Light"/>
          <w:lang w:val="fr-BE"/>
        </w:rPr>
        <w:t>e s</w:t>
      </w:r>
      <w:r w:rsidR="00C60956" w:rsidRPr="00C60956">
        <w:rPr>
          <w:rFonts w:ascii="Calibri Light" w:eastAsia="Times New Roman" w:hAnsi="Calibri Light" w:cs="Calibri Light"/>
          <w:lang w:val="fr-BE"/>
        </w:rPr>
        <w:t xml:space="preserve">upprimer l'exemption </w:t>
      </w:r>
      <w:r w:rsidR="000C0EB1">
        <w:rPr>
          <w:rFonts w:ascii="Calibri Light" w:eastAsia="Times New Roman" w:hAnsi="Calibri Light" w:cs="Calibri Light"/>
          <w:lang w:val="fr-BE"/>
        </w:rPr>
        <w:t xml:space="preserve">pour le </w:t>
      </w:r>
      <w:r w:rsidR="00C60956" w:rsidRPr="00C60956">
        <w:rPr>
          <w:rFonts w:ascii="Calibri Light" w:eastAsia="Times New Roman" w:hAnsi="Calibri Light" w:cs="Calibri Light"/>
          <w:lang w:val="fr-BE"/>
        </w:rPr>
        <w:t xml:space="preserve">plus grand marché financier </w:t>
      </w:r>
      <w:r w:rsidR="000C0EB1">
        <w:rPr>
          <w:rFonts w:ascii="Calibri Light" w:eastAsia="Times New Roman" w:hAnsi="Calibri Light" w:cs="Calibri Light"/>
          <w:lang w:val="fr-BE"/>
        </w:rPr>
        <w:t xml:space="preserve">mondial, c’est-à-dire le marché des changes, </w:t>
      </w:r>
      <w:r w:rsidR="00C60956" w:rsidRPr="00C60956">
        <w:rPr>
          <w:rFonts w:ascii="Calibri Light" w:eastAsia="Times New Roman" w:hAnsi="Calibri Light" w:cs="Calibri Light"/>
          <w:lang w:val="fr-BE"/>
        </w:rPr>
        <w:t>ou</w:t>
      </w:r>
      <w:r>
        <w:rPr>
          <w:rFonts w:ascii="Calibri Light" w:eastAsia="Times New Roman" w:hAnsi="Calibri Light" w:cs="Calibri Light"/>
          <w:lang w:val="fr-BE"/>
        </w:rPr>
        <w:t xml:space="preserve"> le</w:t>
      </w:r>
      <w:r w:rsidR="00C60956" w:rsidRPr="00C60956">
        <w:rPr>
          <w:rFonts w:ascii="Calibri Light" w:eastAsia="Times New Roman" w:hAnsi="Calibri Light" w:cs="Calibri Light"/>
          <w:lang w:val="fr-BE"/>
        </w:rPr>
        <w:t xml:space="preserve"> marché des devises au comptant ; </w:t>
      </w:r>
    </w:p>
    <w:p w14:paraId="4887FD62" w14:textId="0B24F3E6" w:rsidR="000C0EB1" w:rsidRPr="000C0EB1" w:rsidRDefault="00C6530E">
      <w:pPr>
        <w:pStyle w:val="ListParagraph"/>
        <w:numPr>
          <w:ilvl w:val="0"/>
          <w:numId w:val="1"/>
        </w:numPr>
        <w:spacing w:after="160" w:line="251" w:lineRule="auto"/>
        <w:rPr>
          <w:lang w:val="fr-BE"/>
        </w:rPr>
      </w:pPr>
      <w:r>
        <w:rPr>
          <w:rFonts w:ascii="Calibri Light" w:eastAsia="Times New Roman" w:hAnsi="Calibri Light" w:cs="Calibri Light"/>
          <w:lang w:val="fr-BE"/>
        </w:rPr>
        <w:t>d</w:t>
      </w:r>
      <w:r w:rsidR="000C0EB1">
        <w:rPr>
          <w:rFonts w:ascii="Calibri Light" w:eastAsia="Times New Roman" w:hAnsi="Calibri Light" w:cs="Calibri Light"/>
          <w:lang w:val="fr-BE"/>
        </w:rPr>
        <w:t xml:space="preserve">’inclure dans le </w:t>
      </w:r>
      <w:r w:rsidR="000C0EB1" w:rsidRPr="00C60956">
        <w:rPr>
          <w:rFonts w:ascii="Calibri Light" w:eastAsia="Times New Roman" w:hAnsi="Calibri Light" w:cs="Calibri Light"/>
          <w:lang w:val="fr-BE"/>
        </w:rPr>
        <w:t>champ d'application de la TTF</w:t>
      </w:r>
      <w:r w:rsidR="000C0EB1">
        <w:rPr>
          <w:rFonts w:ascii="Calibri Light" w:eastAsia="Times New Roman" w:hAnsi="Calibri Light" w:cs="Calibri Light"/>
          <w:lang w:val="fr-BE"/>
        </w:rPr>
        <w:t xml:space="preserve"> </w:t>
      </w:r>
      <w:r w:rsidR="00C60956" w:rsidRPr="00C60956">
        <w:rPr>
          <w:rFonts w:ascii="Calibri Light" w:eastAsia="Times New Roman" w:hAnsi="Calibri Light" w:cs="Calibri Light"/>
          <w:lang w:val="fr-BE"/>
        </w:rPr>
        <w:t>toutes les transactions à haute fréquence (HFT) et de gré à gré</w:t>
      </w:r>
    </w:p>
    <w:p w14:paraId="0004F2ED" w14:textId="2FAF77F8" w:rsidR="00ED50C2" w:rsidRPr="00C6530E" w:rsidRDefault="00C6530E" w:rsidP="00C6530E">
      <w:pPr>
        <w:pStyle w:val="ListParagraph"/>
        <w:numPr>
          <w:ilvl w:val="0"/>
          <w:numId w:val="1"/>
        </w:numPr>
        <w:spacing w:after="120" w:line="251" w:lineRule="auto"/>
        <w:jc w:val="both"/>
        <w:rPr>
          <w:lang w:val="fr-BE"/>
        </w:rPr>
      </w:pPr>
      <w:r>
        <w:rPr>
          <w:rFonts w:ascii="Calibri Light" w:eastAsia="Times New Roman" w:hAnsi="Calibri Light" w:cs="Calibri Light"/>
          <w:lang w:val="fr-BE"/>
        </w:rPr>
        <w:t>d</w:t>
      </w:r>
      <w:r w:rsidR="000C0EB1" w:rsidRPr="00C6530E">
        <w:rPr>
          <w:rFonts w:ascii="Calibri Light" w:eastAsia="Times New Roman" w:hAnsi="Calibri Light" w:cs="Calibri Light"/>
          <w:lang w:val="fr-BE"/>
        </w:rPr>
        <w:t>e prévenir</w:t>
      </w:r>
      <w:r w:rsidR="007F444A" w:rsidRPr="00C6530E">
        <w:rPr>
          <w:rFonts w:ascii="Calibri Light" w:eastAsia="Times New Roman" w:hAnsi="Calibri Light" w:cs="Calibri Light"/>
          <w:lang w:val="fr-BE"/>
        </w:rPr>
        <w:t xml:space="preserve"> </w:t>
      </w:r>
      <w:r w:rsidR="00C60956" w:rsidRPr="00C6530E">
        <w:rPr>
          <w:rFonts w:ascii="Calibri Light" w:eastAsia="Times New Roman" w:hAnsi="Calibri Light" w:cs="Calibri Light"/>
          <w:lang w:val="fr-BE"/>
        </w:rPr>
        <w:t>l'arbitrage réglementaire massif et l'évasion fiscale en incluant tous les États membres de l'UE et tous les grands centres financiers dans le champ d'application</w:t>
      </w:r>
      <w:r w:rsidR="000C0EB1" w:rsidRPr="00C6530E">
        <w:rPr>
          <w:rFonts w:ascii="Calibri Light" w:eastAsia="Times New Roman" w:hAnsi="Calibri Light" w:cs="Calibri Light"/>
          <w:lang w:val="fr-BE"/>
        </w:rPr>
        <w:t xml:space="preserve"> de la </w:t>
      </w:r>
      <w:r>
        <w:rPr>
          <w:rFonts w:ascii="Calibri Light" w:eastAsia="Times New Roman" w:hAnsi="Calibri Light" w:cs="Calibri Light"/>
          <w:lang w:val="fr-BE"/>
        </w:rPr>
        <w:t>proposition</w:t>
      </w:r>
    </w:p>
    <w:p w14:paraId="0004F2EE" w14:textId="77777777" w:rsidR="00ED50C2" w:rsidRPr="00C60956" w:rsidRDefault="00C60956">
      <w:pPr>
        <w:spacing w:after="60" w:line="264" w:lineRule="auto"/>
        <w:jc w:val="center"/>
        <w:rPr>
          <w:rFonts w:ascii="Calibri Light" w:hAnsi="Calibri Light" w:cs="Calibri Light"/>
          <w:lang w:val="fr-BE"/>
        </w:rPr>
      </w:pPr>
      <w:r w:rsidRPr="00C60956">
        <w:rPr>
          <w:rFonts w:ascii="Calibri Light" w:hAnsi="Calibri Light" w:cs="Calibri Light"/>
          <w:lang w:val="fr-BE"/>
        </w:rPr>
        <w:t>***</w:t>
      </w:r>
    </w:p>
    <w:p w14:paraId="0004F2EF" w14:textId="77777777" w:rsidR="00ED50C2" w:rsidRPr="00C60956" w:rsidRDefault="00C60956">
      <w:pPr>
        <w:pStyle w:val="BodyText"/>
        <w:spacing w:before="240" w:after="0" w:line="30" w:lineRule="atLeast"/>
        <w:jc w:val="center"/>
        <w:rPr>
          <w:lang w:val="fr-BE"/>
        </w:rPr>
      </w:pPr>
      <w:r w:rsidRPr="00C60956">
        <w:rPr>
          <w:rFonts w:ascii="Calibri Light" w:hAnsi="Calibri Light" w:cs="Calibri Light"/>
          <w:sz w:val="18"/>
          <w:szCs w:val="18"/>
          <w:u w:val="single"/>
          <w:lang w:val="fr-BE"/>
        </w:rPr>
        <w:t xml:space="preserve">Contact </w:t>
      </w:r>
      <w:r w:rsidRPr="00C60956">
        <w:rPr>
          <w:rFonts w:ascii="Calibri Light" w:hAnsi="Calibri Light" w:cs="Calibri Light"/>
          <w:sz w:val="18"/>
          <w:szCs w:val="18"/>
          <w:lang w:val="fr-BE"/>
        </w:rPr>
        <w:t xml:space="preserve">: Directeur de la communication ǀ Arnaud Houdmont ǀ +32 (0)2 514 37 77 ǀ </w:t>
      </w:r>
      <w:hyperlink r:id="rId14" w:history="1">
        <w:r w:rsidRPr="00C60956">
          <w:rPr>
            <w:rStyle w:val="Hyperlink"/>
            <w:rFonts w:ascii="Calibri Light" w:hAnsi="Calibri Light" w:cs="Calibri Light"/>
            <w:sz w:val="18"/>
            <w:szCs w:val="18"/>
            <w:lang w:val="fr-BE"/>
          </w:rPr>
          <w:t>houdmont@betterfinance.eu</w:t>
        </w:r>
      </w:hyperlink>
    </w:p>
    <w:sectPr w:rsidR="00ED50C2" w:rsidRPr="00C6095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4F2E9" w14:textId="77777777" w:rsidR="00214DD2" w:rsidRDefault="00C60956">
      <w:pPr>
        <w:spacing w:after="0" w:line="240" w:lineRule="auto"/>
      </w:pPr>
      <w:r>
        <w:separator/>
      </w:r>
    </w:p>
  </w:endnote>
  <w:endnote w:type="continuationSeparator" w:id="0">
    <w:p w14:paraId="0004F2EB" w14:textId="77777777" w:rsidR="00214DD2" w:rsidRDefault="00C6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FB18D" w14:textId="77777777" w:rsidR="00805785" w:rsidRDefault="00805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F2F2" w14:textId="54E85DF5" w:rsidR="00974E63" w:rsidRPr="00C60956" w:rsidRDefault="00C60956">
    <w:pPr>
      <w:spacing w:before="120" w:after="0" w:line="240" w:lineRule="auto"/>
      <w:ind w:left="-567"/>
      <w:jc w:val="center"/>
      <w:rPr>
        <w:b/>
        <w:color w:val="006FB4"/>
        <w:sz w:val="16"/>
        <w:szCs w:val="16"/>
        <w:lang w:val="fr-BE"/>
      </w:rPr>
    </w:pPr>
    <w:r w:rsidRPr="00C60956">
      <w:rPr>
        <w:b/>
        <w:color w:val="006FB4"/>
        <w:sz w:val="16"/>
        <w:szCs w:val="16"/>
        <w:lang w:val="fr-BE"/>
      </w:rPr>
      <w:t xml:space="preserve">Fédération </w:t>
    </w:r>
    <w:r w:rsidR="000C0EB1">
      <w:rPr>
        <w:b/>
        <w:color w:val="006FB4"/>
        <w:sz w:val="16"/>
        <w:szCs w:val="16"/>
        <w:lang w:val="fr-BE"/>
      </w:rPr>
      <w:t>E</w:t>
    </w:r>
    <w:r w:rsidRPr="00C60956">
      <w:rPr>
        <w:b/>
        <w:color w:val="006FB4"/>
        <w:sz w:val="16"/>
        <w:szCs w:val="16"/>
        <w:lang w:val="fr-BE"/>
      </w:rPr>
      <w:t xml:space="preserve">uropéenne des </w:t>
    </w:r>
    <w:r w:rsidR="000C0EB1">
      <w:rPr>
        <w:b/>
        <w:color w:val="006FB4"/>
        <w:sz w:val="16"/>
        <w:szCs w:val="16"/>
        <w:lang w:val="fr-BE"/>
      </w:rPr>
      <w:t>I</w:t>
    </w:r>
    <w:r w:rsidRPr="00C60956">
      <w:rPr>
        <w:b/>
        <w:color w:val="006FB4"/>
        <w:sz w:val="16"/>
        <w:szCs w:val="16"/>
        <w:lang w:val="fr-BE"/>
      </w:rPr>
      <w:t xml:space="preserve">nvestisseurs et </w:t>
    </w:r>
    <w:r w:rsidR="000C0EB1">
      <w:rPr>
        <w:b/>
        <w:color w:val="006FB4"/>
        <w:sz w:val="16"/>
        <w:szCs w:val="16"/>
        <w:lang w:val="fr-BE"/>
      </w:rPr>
      <w:t>Usagers de</w:t>
    </w:r>
    <w:r w:rsidR="00805785">
      <w:rPr>
        <w:b/>
        <w:color w:val="006FB4"/>
        <w:sz w:val="16"/>
        <w:szCs w:val="16"/>
        <w:lang w:val="fr-BE"/>
      </w:rPr>
      <w:t>s</w:t>
    </w:r>
    <w:r w:rsidR="000C0EB1">
      <w:rPr>
        <w:b/>
        <w:color w:val="006FB4"/>
        <w:sz w:val="16"/>
        <w:szCs w:val="16"/>
        <w:lang w:val="fr-BE"/>
      </w:rPr>
      <w:t xml:space="preserve"> S</w:t>
    </w:r>
    <w:r w:rsidRPr="00C60956">
      <w:rPr>
        <w:b/>
        <w:color w:val="006FB4"/>
        <w:sz w:val="16"/>
        <w:szCs w:val="16"/>
        <w:lang w:val="fr-BE"/>
      </w:rPr>
      <w:t xml:space="preserve">ervices </w:t>
    </w:r>
    <w:r w:rsidR="000C0EB1">
      <w:rPr>
        <w:b/>
        <w:color w:val="006FB4"/>
        <w:sz w:val="16"/>
        <w:szCs w:val="16"/>
        <w:lang w:val="fr-BE"/>
      </w:rPr>
      <w:t>F</w:t>
    </w:r>
    <w:r w:rsidRPr="00C60956">
      <w:rPr>
        <w:b/>
        <w:color w:val="006FB4"/>
        <w:sz w:val="16"/>
        <w:szCs w:val="16"/>
        <w:lang w:val="fr-BE"/>
      </w:rPr>
      <w:t>inanciers</w:t>
    </w:r>
  </w:p>
  <w:p w14:paraId="0004F2F3" w14:textId="77777777" w:rsidR="00974E63" w:rsidRDefault="00C60956">
    <w:pPr>
      <w:spacing w:after="0" w:line="240" w:lineRule="auto"/>
      <w:ind w:left="-567"/>
      <w:jc w:val="center"/>
      <w:rPr>
        <w:color w:val="006FB4"/>
        <w:sz w:val="16"/>
        <w:szCs w:val="16"/>
        <w:lang w:val="de-DE"/>
      </w:rPr>
    </w:pPr>
    <w:r>
      <w:rPr>
        <w:color w:val="006FB4"/>
        <w:sz w:val="16"/>
        <w:szCs w:val="16"/>
        <w:lang w:val="de-DE"/>
      </w:rPr>
      <w:t>44, Rue d'Arenberg, 1000 Bruxelles - Belgique</w:t>
    </w:r>
  </w:p>
  <w:p w14:paraId="0004F2F4" w14:textId="77777777" w:rsidR="00974E63" w:rsidRDefault="00C60956">
    <w:pPr>
      <w:spacing w:after="0" w:line="240" w:lineRule="auto"/>
      <w:ind w:left="-567"/>
      <w:jc w:val="center"/>
    </w:pPr>
    <w:r>
      <w:rPr>
        <w:color w:val="006FB4"/>
        <w:sz w:val="16"/>
        <w:szCs w:val="16"/>
        <w:lang w:val="de-DE"/>
      </w:rPr>
      <w:t xml:space="preserve">Tél. (+32) 02 514 37 77 - Fax. </w:t>
    </w:r>
    <w:r>
      <w:rPr>
        <w:color w:val="006FB4"/>
        <w:sz w:val="16"/>
        <w:szCs w:val="16"/>
        <w:lang w:val="pt-PT"/>
      </w:rPr>
      <w:t>(+32) 02 514 36 66</w:t>
    </w:r>
  </w:p>
  <w:p w14:paraId="0004F2F5" w14:textId="77777777" w:rsidR="00974E63" w:rsidRDefault="00C60956">
    <w:pPr>
      <w:spacing w:after="0" w:line="240" w:lineRule="auto"/>
      <w:ind w:left="-567"/>
      <w:jc w:val="center"/>
    </w:pPr>
    <w:r>
      <w:rPr>
        <w:color w:val="006FB4"/>
        <w:sz w:val="16"/>
        <w:szCs w:val="16"/>
        <w:lang w:val="pt-PT"/>
      </w:rPr>
      <w:t xml:space="preserve">E-mail : info@betterfinance.eu - </w:t>
    </w:r>
    <w:bookmarkStart w:id="1" w:name="_Hlk944867"/>
    <w:r>
      <w:fldChar w:fldCharType="begin"/>
    </w:r>
    <w:r>
      <w:instrText xml:space="preserve"> HYPERLINK  "http://www.eurofinuse.org" </w:instrText>
    </w:r>
    <w:r>
      <w:fldChar w:fldCharType="separate"/>
    </w:r>
    <w:r>
      <w:rPr>
        <w:color w:val="006FB4"/>
        <w:sz w:val="16"/>
        <w:szCs w:val="16"/>
        <w:u w:val="single"/>
        <w:lang w:val="it-IT"/>
      </w:rPr>
      <w:t xml:space="preserve">http://www.betterfinance.eu </w:t>
    </w:r>
    <w:r>
      <w:rPr>
        <w:color w:val="006FB4"/>
        <w:sz w:val="16"/>
        <w:szCs w:val="16"/>
        <w:u w:val="single"/>
        <w:lang w:val="it-IT"/>
      </w:rP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DBDD4" w14:textId="77777777" w:rsidR="00805785" w:rsidRDefault="00805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4F2E5" w14:textId="77777777" w:rsidR="00214DD2" w:rsidRDefault="00C60956">
      <w:pPr>
        <w:spacing w:after="0" w:line="240" w:lineRule="auto"/>
      </w:pPr>
      <w:r>
        <w:rPr>
          <w:color w:val="000000"/>
        </w:rPr>
        <w:separator/>
      </w:r>
    </w:p>
  </w:footnote>
  <w:footnote w:type="continuationSeparator" w:id="0">
    <w:p w14:paraId="0004F2E7" w14:textId="77777777" w:rsidR="00214DD2" w:rsidRDefault="00C60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F468F" w14:textId="77777777" w:rsidR="00805785" w:rsidRDefault="00805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F2ED" w14:textId="77777777" w:rsidR="00974E63" w:rsidRDefault="00C60956">
    <w:pPr>
      <w:pStyle w:val="Header"/>
    </w:pPr>
    <w:r>
      <w:rPr>
        <w:noProof/>
        <w:lang w:eastAsia="en-GB"/>
      </w:rPr>
      <w:drawing>
        <wp:anchor distT="0" distB="0" distL="114300" distR="114300" simplePos="0" relativeHeight="251659264" behindDoc="0" locked="0" layoutInCell="1" allowOverlap="1" wp14:anchorId="0004F2E5" wp14:editId="0004F2E6">
          <wp:simplePos x="0" y="0"/>
          <wp:positionH relativeFrom="margin">
            <wp:posOffset>2564133</wp:posOffset>
          </wp:positionH>
          <wp:positionV relativeFrom="paragraph">
            <wp:posOffset>-265432</wp:posOffset>
          </wp:positionV>
          <wp:extent cx="3138165" cy="645164"/>
          <wp:effectExtent l="0" t="0" r="5085" b="2536"/>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38165" cy="645164"/>
                  </a:xfrm>
                  <a:prstGeom prst="rect">
                    <a:avLst/>
                  </a:prstGeom>
                  <a:noFill/>
                  <a:ln>
                    <a:noFill/>
                    <a:prstDash/>
                  </a:ln>
                </pic:spPr>
              </pic:pic>
            </a:graphicData>
          </a:graphic>
        </wp:anchor>
      </w:drawing>
    </w:r>
  </w:p>
  <w:p w14:paraId="0004F2EE" w14:textId="77777777" w:rsidR="00974E63" w:rsidRDefault="00805785">
    <w:pPr>
      <w:pStyle w:val="Header"/>
    </w:pPr>
  </w:p>
  <w:p w14:paraId="0004F2EF" w14:textId="77777777" w:rsidR="00974E63" w:rsidRDefault="00805785">
    <w:pPr>
      <w:pStyle w:val="Header"/>
      <w:rPr>
        <w:sz w:val="12"/>
        <w:szCs w:val="12"/>
      </w:rPr>
    </w:pPr>
  </w:p>
  <w:p w14:paraId="0004F2F0" w14:textId="77777777" w:rsidR="00974E63" w:rsidRDefault="00805785">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CC3A" w14:textId="77777777" w:rsidR="00805785" w:rsidRDefault="00805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00794"/>
    <w:multiLevelType w:val="multilevel"/>
    <w:tmpl w:val="EEE0B3E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C2"/>
    <w:rsid w:val="00086262"/>
    <w:rsid w:val="000C0EB1"/>
    <w:rsid w:val="00214DD2"/>
    <w:rsid w:val="00361E5F"/>
    <w:rsid w:val="004406D0"/>
    <w:rsid w:val="007F444A"/>
    <w:rsid w:val="00805785"/>
    <w:rsid w:val="00A84E34"/>
    <w:rsid w:val="00C45511"/>
    <w:rsid w:val="00C60956"/>
    <w:rsid w:val="00C6530E"/>
    <w:rsid w:val="00D7115D"/>
    <w:rsid w:val="00ED50C2"/>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F2DE"/>
  <w15:docId w15:val="{FF6D6EDF-14B5-49F0-BC4E-B60DCB7F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mbria" w:eastAsia="SimSun" w:hAnsi="Cambria" w:cs="Times New Roman"/>
      <w:color w:val="365F91"/>
      <w:sz w:val="32"/>
      <w:szCs w:val="32"/>
    </w:rPr>
  </w:style>
  <w:style w:type="paragraph" w:styleId="Heading2">
    <w:name w:val="heading 2"/>
    <w:basedOn w:val="Normal"/>
    <w:next w:val="Normal"/>
    <w:uiPriority w:val="9"/>
    <w:unhideWhenUsed/>
    <w:qFormat/>
    <w:pPr>
      <w:keepNext/>
      <w:keepLines/>
      <w:spacing w:before="40" w:after="0"/>
      <w:outlineLvl w:val="1"/>
    </w:pPr>
    <w:rPr>
      <w:rFonts w:ascii="Cambria" w:eastAsia="SimSu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styleId="BodyText">
    <w:name w:val="Body Text"/>
    <w:basedOn w:val="Normal"/>
    <w:pPr>
      <w:spacing w:line="240" w:lineRule="exact"/>
    </w:pPr>
    <w:rPr>
      <w:rFonts w:ascii="Tahoma" w:eastAsia="Times New Roman" w:hAnsi="Tahoma" w:cs="Times New Roman"/>
      <w:spacing w:val="10"/>
      <w:sz w:val="17"/>
      <w:szCs w:val="20"/>
      <w:lang w:val="en-US"/>
    </w:rPr>
  </w:style>
  <w:style w:type="character" w:customStyle="1" w:styleId="BodyTextChar">
    <w:name w:val="Body Text Char"/>
    <w:basedOn w:val="DefaultParagraphFont"/>
    <w:rPr>
      <w:rFonts w:ascii="Tahoma" w:eastAsia="Times New Roman" w:hAnsi="Tahoma" w:cs="Times New Roman"/>
      <w:spacing w:val="10"/>
      <w:sz w:val="17"/>
      <w:szCs w:val="20"/>
      <w:lang w:val="en-US"/>
    </w:rPr>
  </w:style>
  <w:style w:type="paragraph" w:styleId="Title">
    <w:name w:val="Title"/>
    <w:basedOn w:val="Normal"/>
    <w:next w:val="Normal"/>
    <w:uiPriority w:val="10"/>
    <w:qFormat/>
    <w:pPr>
      <w:spacing w:after="0" w:line="240" w:lineRule="auto"/>
    </w:pPr>
    <w:rPr>
      <w:rFonts w:ascii="Cambria" w:eastAsia="SimSun" w:hAnsi="Cambria" w:cs="Times New Roman"/>
      <w:spacing w:val="-10"/>
      <w:kern w:val="3"/>
      <w:sz w:val="56"/>
      <w:szCs w:val="56"/>
    </w:rPr>
  </w:style>
  <w:style w:type="character" w:customStyle="1" w:styleId="TitleChar">
    <w:name w:val="Title Char"/>
    <w:basedOn w:val="DefaultParagraphFont"/>
    <w:rPr>
      <w:rFonts w:ascii="Cambria" w:eastAsia="SimSun" w:hAnsi="Cambria" w:cs="Times New Roman"/>
      <w:spacing w:val="-10"/>
      <w:kern w:val="3"/>
      <w:sz w:val="56"/>
      <w:szCs w:val="56"/>
    </w:rPr>
  </w:style>
  <w:style w:type="paragraph" w:styleId="BalloonText">
    <w:name w:val="Balloon Text"/>
    <w:basedOn w:val="Normal"/>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Strong">
    <w:name w:val="Strong"/>
    <w:rPr>
      <w:b/>
      <w:bCs/>
    </w:r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800080"/>
      <w:u w:val="single"/>
    </w:rPr>
  </w:style>
  <w:style w:type="character" w:customStyle="1" w:styleId="Heading2Char">
    <w:name w:val="Heading 2 Char"/>
    <w:basedOn w:val="DefaultParagraphFont"/>
    <w:rPr>
      <w:rFonts w:ascii="Cambria" w:eastAsia="SimSun" w:hAnsi="Cambria" w:cs="Times New Roman"/>
      <w:color w:val="365F91"/>
      <w:sz w:val="26"/>
      <w:szCs w:val="26"/>
    </w:rPr>
  </w:style>
  <w:style w:type="paragraph" w:styleId="ListParagraph">
    <w:name w:val="List Paragraph"/>
    <w:basedOn w:val="Normal"/>
    <w:pPr>
      <w:ind w:left="720"/>
    </w:pPr>
  </w:style>
  <w:style w:type="character" w:customStyle="1" w:styleId="Heading1Char">
    <w:name w:val="Heading 1 Char"/>
    <w:basedOn w:val="DefaultParagraphFont"/>
    <w:rPr>
      <w:rFonts w:ascii="Cambria" w:eastAsia="SimSu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btimes.com/germany-launches-new-plan-eu-financial-transaction-tax-288276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ata.consilium.europa.eu/doc/document/ST-10097-2019-INIT/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vestopedia.com/ask/answers/052715/how-big-derivatives-market.asp"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betterfinance.eu/publication/ftt-the-european-proposal-does-not-meet-its-objective-eu-citizens-are-likely-to-pay-instead-of-banks/"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oudmont@betterfinance.e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08A9776426D41840A8C2CCB15B3F3" ma:contentTypeVersion="12" ma:contentTypeDescription="Create a new document." ma:contentTypeScope="" ma:versionID="fad30e866c7e5bd87e01b4be7e13f445">
  <xsd:schema xmlns:xsd="http://www.w3.org/2001/XMLSchema" xmlns:xs="http://www.w3.org/2001/XMLSchema" xmlns:p="http://schemas.microsoft.com/office/2006/metadata/properties" xmlns:ns2="fd160c09-1844-45b0-b4f1-cf53e6c3c76a" xmlns:ns3="8e72f4a7-cae9-4e97-b541-2580a12d1989" targetNamespace="http://schemas.microsoft.com/office/2006/metadata/properties" ma:root="true" ma:fieldsID="3d251b770648fbf44b28e39a1ec2cbaa" ns2:_="" ns3:_="">
    <xsd:import namespace="fd160c09-1844-45b0-b4f1-cf53e6c3c76a"/>
    <xsd:import namespace="8e72f4a7-cae9-4e97-b541-2580a12d1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0c09-1844-45b0-b4f1-cf53e6c3c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2f4a7-cae9-4e97-b541-2580a12d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BDE44-981A-44D6-AC20-C223C158F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60c09-1844-45b0-b4f1-cf53e6c3c76a"/>
    <ds:schemaRef ds:uri="8e72f4a7-cae9-4e97-b541-2580a12d1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3FEA0-2A61-430D-8197-8B332E48A287}">
  <ds:schemaRefs>
    <ds:schemaRef ds:uri="http://schemas.microsoft.com/sharepoint/v3/contenttype/forms"/>
  </ds:schemaRefs>
</ds:datastoreItem>
</file>

<file path=customXml/itemProps3.xml><?xml version="1.0" encoding="utf-8"?>
<ds:datastoreItem xmlns:ds="http://schemas.openxmlformats.org/officeDocument/2006/customXml" ds:itemID="{B199E8A6-8C07-42BD-A212-B35F60E05D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802</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Houdmont</dc:creator>
  <dc:description/>
  <cp:lastModifiedBy>ISO Translation</cp:lastModifiedBy>
  <cp:revision>3</cp:revision>
  <cp:lastPrinted>2019-03-22T09:41:00Z</cp:lastPrinted>
  <dcterms:created xsi:type="dcterms:W3CDTF">2020-12-10T10:32:00Z</dcterms:created>
  <dcterms:modified xsi:type="dcterms:W3CDTF">2020-12-14T16:12:00Z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0x010100B5308A9776426D41840A8C2CCB15B3F3</vt:lpwstr>
  </property>
</Properties>
</file>