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F648E" w14:textId="2E5E1EED" w:rsidR="001D110C" w:rsidRDefault="001D110C"/>
    <w:p w14:paraId="70EF648F" w14:textId="77777777" w:rsidR="001D110C" w:rsidRPr="00B97040" w:rsidRDefault="00B97040">
      <w:pPr>
        <w:pStyle w:val="BodyText"/>
        <w:spacing w:after="120" w:line="312" w:lineRule="auto"/>
        <w:jc w:val="both"/>
        <w:rPr>
          <w:lang w:val="fr-BE"/>
        </w:rPr>
      </w:pPr>
      <w:bookmarkStart w:id="0" w:name="_Hlk4143464"/>
      <w:r w:rsidRPr="00B97040">
        <w:rPr>
          <w:rStyle w:val="Strong"/>
          <w:sz w:val="18"/>
          <w:lang w:val="fr-BE"/>
        </w:rPr>
        <w:t xml:space="preserve">COMMUNIQUÉ DE PRESSE </w:t>
      </w:r>
    </w:p>
    <w:p w14:paraId="70EF6490" w14:textId="5D84EF07" w:rsidR="001D110C" w:rsidRPr="00B97040" w:rsidRDefault="00B97040">
      <w:pPr>
        <w:pStyle w:val="Heading2"/>
        <w:spacing w:after="80"/>
        <w:jc w:val="both"/>
        <w:rPr>
          <w:lang w:val="fr-BE"/>
        </w:rPr>
      </w:pPr>
      <w:r w:rsidRPr="00B97040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L</w:t>
      </w:r>
      <w:r w:rsidR="00C73FD8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’Autorité européenne de surveillance n</w:t>
      </w:r>
      <w:r w:rsidR="00F64CA7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’a pas recommandé </w:t>
      </w:r>
      <w:r w:rsidR="00C73FD8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l’interdiction</w:t>
      </w:r>
      <w:r w:rsidR="00F64CA7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 </w:t>
      </w:r>
      <w:r w:rsidRPr="00B97040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totale de</w:t>
      </w:r>
      <w:r w:rsidR="00F64CA7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s</w:t>
      </w:r>
      <w:r w:rsidR="00C73FD8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 </w:t>
      </w:r>
      <w:r w:rsidRPr="00B97040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commissions </w:t>
      </w:r>
      <w:r w:rsidR="00F64CA7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pour</w:t>
      </w:r>
      <w:r w:rsidR="00C73FD8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 les </w:t>
      </w:r>
      <w:r w:rsidRPr="00B97040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conseillers en investissement </w:t>
      </w:r>
      <w:r w:rsidR="00C73FD8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« </w:t>
      </w:r>
      <w:r w:rsidRPr="00B97040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de détail</w:t>
      </w:r>
      <w:r w:rsidR="00C73FD8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 »</w:t>
      </w:r>
      <w:r w:rsidRPr="00B97040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 </w:t>
      </w:r>
    </w:p>
    <w:p w14:paraId="70EF6491" w14:textId="0DAB1626" w:rsidR="001D110C" w:rsidRPr="00B97040" w:rsidRDefault="00B97040">
      <w:pPr>
        <w:jc w:val="both"/>
        <w:rPr>
          <w:lang w:val="fr-BE"/>
        </w:rPr>
      </w:pPr>
      <w:r w:rsidRPr="00B97040">
        <w:rPr>
          <w:rFonts w:ascii="Calibri Light" w:hAnsi="Calibri Light" w:cs="Calibri Light"/>
          <w:b/>
          <w:lang w:val="fr-BE"/>
        </w:rPr>
        <w:t xml:space="preserve">Bruxelles, le 4 mai 2020 </w:t>
      </w:r>
      <w:bookmarkEnd w:id="0"/>
      <w:r w:rsidRPr="00B97040">
        <w:rPr>
          <w:rFonts w:ascii="Calibri Light" w:hAnsi="Calibri Light" w:cs="Calibri Light"/>
          <w:lang w:val="fr-BE"/>
        </w:rPr>
        <w:t>- Le 1</w:t>
      </w:r>
      <w:r w:rsidRPr="00C73FD8">
        <w:rPr>
          <w:rFonts w:ascii="Calibri Light" w:hAnsi="Calibri Light" w:cs="Calibri Light"/>
          <w:vertAlign w:val="superscript"/>
          <w:lang w:val="fr-BE"/>
        </w:rPr>
        <w:t>er</w:t>
      </w:r>
      <w:r w:rsidRPr="00B97040">
        <w:rPr>
          <w:rFonts w:ascii="Calibri Light" w:hAnsi="Calibri Light" w:cs="Calibri Light"/>
          <w:lang w:val="fr-BE"/>
        </w:rPr>
        <w:t xml:space="preserve"> avril 2020, l'Autorité européenne des marchés financiers (AEMF) a publié son</w:t>
      </w:r>
      <w:r w:rsidR="00C73FD8">
        <w:rPr>
          <w:rFonts w:ascii="Calibri Light" w:hAnsi="Calibri Light" w:cs="Calibri Light"/>
          <w:lang w:val="fr-BE"/>
        </w:rPr>
        <w:t xml:space="preserve"> </w:t>
      </w:r>
      <w:hyperlink r:id="rId10" w:history="1">
        <w:r w:rsidRPr="00B97040">
          <w:rPr>
            <w:rStyle w:val="Hyperlink"/>
            <w:rFonts w:ascii="Calibri Light" w:hAnsi="Calibri Light" w:cs="Calibri Light"/>
            <w:lang w:val="fr-BE"/>
          </w:rPr>
          <w:t>avis</w:t>
        </w:r>
        <w:r w:rsidR="00F64CA7" w:rsidRPr="00F64CA7">
          <w:rPr>
            <w:rStyle w:val="Hyperlink"/>
            <w:rFonts w:ascii="Calibri Light" w:hAnsi="Calibri Light" w:cs="Calibri Light"/>
            <w:u w:val="none"/>
            <w:lang w:val="fr-BE"/>
          </w:rPr>
          <w:t xml:space="preserve"> </w:t>
        </w:r>
        <w:r w:rsidR="00F64CA7" w:rsidRPr="00F64CA7">
          <w:rPr>
            <w:rStyle w:val="Hyperlink"/>
            <w:rFonts w:ascii="Calibri Light" w:hAnsi="Calibri Light" w:cs="Calibri Light"/>
            <w:color w:val="auto"/>
            <w:u w:val="none"/>
            <w:lang w:val="fr-BE"/>
          </w:rPr>
          <w:t>sur les « incitations »</w:t>
        </w:r>
        <w:r w:rsidR="00C73FD8">
          <w:rPr>
            <w:rStyle w:val="FootnoteReference"/>
            <w:rFonts w:ascii="Calibri Light" w:hAnsi="Calibri Light" w:cs="Calibri Light"/>
          </w:rPr>
          <w:footnoteReference w:id="1"/>
        </w:r>
      </w:hyperlink>
      <w:r w:rsidR="00C73FD8" w:rsidRPr="00C73FD8">
        <w:rPr>
          <w:rStyle w:val="Hyperlink"/>
          <w:rFonts w:ascii="Calibri Light" w:hAnsi="Calibri Light" w:cs="Calibri Light"/>
          <w:u w:val="none"/>
          <w:lang w:val="fr-BE"/>
        </w:rPr>
        <w:t xml:space="preserve"> </w:t>
      </w:r>
      <w:r w:rsidRPr="00B97040">
        <w:rPr>
          <w:rFonts w:ascii="Calibri Light" w:hAnsi="Calibri Light" w:cs="Calibri Light"/>
          <w:lang w:val="fr-BE"/>
        </w:rPr>
        <w:t xml:space="preserve">(et sur la </w:t>
      </w:r>
      <w:r w:rsidR="00C73FD8">
        <w:rPr>
          <w:rFonts w:ascii="Calibri Light" w:hAnsi="Calibri Light" w:cs="Calibri Light"/>
          <w:lang w:val="fr-BE"/>
        </w:rPr>
        <w:t xml:space="preserve">communication </w:t>
      </w:r>
      <w:r w:rsidRPr="00B97040">
        <w:rPr>
          <w:rFonts w:ascii="Calibri Light" w:hAnsi="Calibri Light" w:cs="Calibri Light"/>
          <w:lang w:val="fr-BE"/>
        </w:rPr>
        <w:t xml:space="preserve">des coûts et des frais) </w:t>
      </w:r>
      <w:r w:rsidR="00C73FD8">
        <w:rPr>
          <w:rFonts w:ascii="Calibri Light" w:hAnsi="Calibri Light" w:cs="Calibri Light"/>
          <w:lang w:val="fr-BE"/>
        </w:rPr>
        <w:t>au titre de la « </w:t>
      </w:r>
      <w:r w:rsidRPr="00B97040">
        <w:rPr>
          <w:rFonts w:ascii="Calibri Light" w:hAnsi="Calibri Light" w:cs="Calibri Light"/>
          <w:lang w:val="fr-BE"/>
        </w:rPr>
        <w:t>MiFID II</w:t>
      </w:r>
      <w:r w:rsidR="00C73FD8">
        <w:rPr>
          <w:rFonts w:ascii="Calibri Light" w:hAnsi="Calibri Light" w:cs="Calibri Light"/>
          <w:lang w:val="fr-BE"/>
        </w:rPr>
        <w:t> »</w:t>
      </w:r>
      <w:r w:rsidRPr="00B97040">
        <w:rPr>
          <w:rFonts w:ascii="Calibri Light" w:hAnsi="Calibri Light" w:cs="Calibri Light"/>
          <w:lang w:val="fr-BE"/>
        </w:rPr>
        <w:t xml:space="preserve">, l'une des principales directives de l'UE </w:t>
      </w:r>
      <w:r w:rsidR="00C73FD8">
        <w:rPr>
          <w:rFonts w:ascii="Calibri Light" w:hAnsi="Calibri Light" w:cs="Calibri Light"/>
          <w:lang w:val="fr-BE"/>
        </w:rPr>
        <w:t xml:space="preserve">visant à protéger les </w:t>
      </w:r>
      <w:r w:rsidRPr="00B97040">
        <w:rPr>
          <w:rFonts w:ascii="Calibri Light" w:hAnsi="Calibri Light" w:cs="Calibri Light"/>
          <w:lang w:val="fr-BE"/>
        </w:rPr>
        <w:t>investisseurs</w:t>
      </w:r>
      <w:r w:rsidR="002202FB">
        <w:rPr>
          <w:rFonts w:ascii="Calibri Light" w:hAnsi="Calibri Light" w:cs="Calibri Light"/>
          <w:lang w:val="fr-BE"/>
        </w:rPr>
        <w:t xml:space="preserve"> dont la révision est prévue cette année. </w:t>
      </w:r>
      <w:r w:rsidR="00C73FD8">
        <w:rPr>
          <w:rFonts w:ascii="Calibri Light" w:hAnsi="Calibri Light" w:cs="Calibri Light"/>
          <w:lang w:val="fr-BE"/>
        </w:rPr>
        <w:t xml:space="preserve">Elle repousse à plus tard l’examen de cette question en </w:t>
      </w:r>
      <w:r w:rsidRPr="00B97040">
        <w:rPr>
          <w:rFonts w:ascii="Calibri Light" w:hAnsi="Calibri Light" w:cs="Calibri Light"/>
          <w:lang w:val="fr-BE"/>
        </w:rPr>
        <w:t xml:space="preserve">encourageant la Commission européenne (CE) à approfondir son évaluation des </w:t>
      </w:r>
      <w:r w:rsidR="00C73FD8">
        <w:rPr>
          <w:rFonts w:ascii="Calibri Light" w:hAnsi="Calibri Light" w:cs="Calibri Light"/>
          <w:lang w:val="fr-BE"/>
        </w:rPr>
        <w:t>« </w:t>
      </w:r>
      <w:r w:rsidRPr="00B97040">
        <w:rPr>
          <w:rFonts w:ascii="Calibri Light" w:hAnsi="Calibri Light" w:cs="Calibri Light"/>
          <w:lang w:val="fr-BE"/>
        </w:rPr>
        <w:t>incitations</w:t>
      </w:r>
      <w:r w:rsidR="00C73FD8">
        <w:rPr>
          <w:rFonts w:ascii="Calibri Light" w:hAnsi="Calibri Light" w:cs="Calibri Light"/>
          <w:lang w:val="fr-BE"/>
        </w:rPr>
        <w:t> »</w:t>
      </w:r>
      <w:r w:rsidRPr="00B97040">
        <w:rPr>
          <w:rFonts w:ascii="Calibri Light" w:hAnsi="Calibri Light" w:cs="Calibri Light"/>
          <w:lang w:val="fr-BE"/>
        </w:rPr>
        <w:t xml:space="preserve">. </w:t>
      </w:r>
    </w:p>
    <w:p w14:paraId="70EF6492" w14:textId="2AB382E1" w:rsidR="001D110C" w:rsidRPr="00B97040" w:rsidRDefault="00B97040">
      <w:pPr>
        <w:jc w:val="both"/>
        <w:rPr>
          <w:lang w:val="fr-BE"/>
        </w:rPr>
      </w:pPr>
      <w:r w:rsidRPr="00B97040">
        <w:rPr>
          <w:rFonts w:ascii="Calibri Light" w:hAnsi="Calibri Light" w:cs="Calibri Light"/>
          <w:lang w:val="fr-BE"/>
        </w:rPr>
        <w:t xml:space="preserve">BETTER FINANCE aurait espéré que l'AEMF </w:t>
      </w:r>
      <w:r w:rsidR="00F64CA7">
        <w:rPr>
          <w:rFonts w:ascii="Calibri Light" w:hAnsi="Calibri Light" w:cs="Calibri Light"/>
          <w:lang w:val="fr-BE"/>
        </w:rPr>
        <w:t xml:space="preserve">enquête </w:t>
      </w:r>
      <w:r w:rsidR="00C73FD8">
        <w:rPr>
          <w:rFonts w:ascii="Calibri Light" w:hAnsi="Calibri Light" w:cs="Calibri Light"/>
          <w:lang w:val="fr-BE"/>
        </w:rPr>
        <w:t>elle-même</w:t>
      </w:r>
      <w:r w:rsidR="002202FB">
        <w:rPr>
          <w:rFonts w:ascii="Calibri Light" w:hAnsi="Calibri Light" w:cs="Calibri Light"/>
          <w:lang w:val="fr-BE"/>
        </w:rPr>
        <w:t xml:space="preserve"> sur</w:t>
      </w:r>
      <w:r w:rsidR="00C73FD8">
        <w:rPr>
          <w:rFonts w:ascii="Calibri Light" w:hAnsi="Calibri Light" w:cs="Calibri Light"/>
          <w:lang w:val="fr-BE"/>
        </w:rPr>
        <w:t xml:space="preserve"> l’énorme préjudice causé par les incitations, à la lumière notamment des preuves irréfutables montrant que</w:t>
      </w:r>
      <w:r w:rsidR="009C2319">
        <w:rPr>
          <w:rFonts w:ascii="Calibri Light" w:hAnsi="Calibri Light" w:cs="Calibri Light"/>
          <w:lang w:val="fr-BE"/>
        </w:rPr>
        <w:t xml:space="preserve"> les « conseillers » percevant des commissions ne font tout simplement pas la promotion des </w:t>
      </w:r>
      <w:r w:rsidRPr="00B97040">
        <w:rPr>
          <w:rFonts w:ascii="Calibri Light" w:hAnsi="Calibri Light" w:cs="Calibri Light"/>
          <w:lang w:val="fr-BE"/>
        </w:rPr>
        <w:t xml:space="preserve">produits d'investissement </w:t>
      </w:r>
      <w:r w:rsidR="00C73FD8">
        <w:rPr>
          <w:rFonts w:ascii="Calibri Light" w:hAnsi="Calibri Light" w:cs="Calibri Light"/>
          <w:lang w:val="fr-BE"/>
        </w:rPr>
        <w:t xml:space="preserve">peu coûteux, tels que les </w:t>
      </w:r>
      <w:r w:rsidR="009C2319">
        <w:rPr>
          <w:rFonts w:ascii="Calibri Light" w:hAnsi="Calibri Light" w:cs="Calibri Light"/>
          <w:lang w:val="fr-BE"/>
        </w:rPr>
        <w:t xml:space="preserve">FNB indiciels, ni ne les vendent. Selon les estimations, les </w:t>
      </w:r>
      <w:r w:rsidRPr="00B97040">
        <w:rPr>
          <w:rFonts w:ascii="Calibri Light" w:hAnsi="Calibri Light" w:cs="Calibri Light"/>
          <w:lang w:val="fr-BE"/>
        </w:rPr>
        <w:t xml:space="preserve">investisseurs </w:t>
      </w:r>
      <w:r w:rsidR="00F64CA7">
        <w:rPr>
          <w:rFonts w:ascii="Calibri Light" w:hAnsi="Calibri Light" w:cs="Calibri Light"/>
          <w:lang w:val="fr-BE"/>
        </w:rPr>
        <w:t>particuliers</w:t>
      </w:r>
      <w:r w:rsidRPr="00B97040">
        <w:rPr>
          <w:rFonts w:ascii="Calibri Light" w:hAnsi="Calibri Light" w:cs="Calibri Light"/>
          <w:lang w:val="fr-BE"/>
        </w:rPr>
        <w:t xml:space="preserve"> ne détiennent </w:t>
      </w:r>
      <w:r w:rsidR="009C2319">
        <w:rPr>
          <w:rFonts w:ascii="Calibri Light" w:hAnsi="Calibri Light" w:cs="Calibri Light"/>
          <w:lang w:val="fr-BE"/>
        </w:rPr>
        <w:t xml:space="preserve">qu’environ </w:t>
      </w:r>
      <w:r w:rsidRPr="00B97040">
        <w:rPr>
          <w:rFonts w:ascii="Calibri Light" w:hAnsi="Calibri Light" w:cs="Calibri Light"/>
          <w:lang w:val="fr-BE"/>
        </w:rPr>
        <w:t xml:space="preserve">10 % du marché des </w:t>
      </w:r>
      <w:r w:rsidR="009C2319">
        <w:rPr>
          <w:rFonts w:ascii="Calibri Light" w:hAnsi="Calibri Light" w:cs="Calibri Light"/>
          <w:lang w:val="fr-BE"/>
        </w:rPr>
        <w:t>FNB</w:t>
      </w:r>
      <w:r w:rsidR="00F64CA7">
        <w:rPr>
          <w:rFonts w:ascii="Calibri Light" w:hAnsi="Calibri Light" w:cs="Calibri Light"/>
          <w:lang w:val="fr-BE"/>
        </w:rPr>
        <w:t xml:space="preserve"> dans l’UE</w:t>
      </w:r>
      <w:r w:rsidR="009C2319">
        <w:rPr>
          <w:rFonts w:ascii="Calibri Light" w:hAnsi="Calibri Light" w:cs="Calibri Light"/>
          <w:lang w:val="fr-BE"/>
        </w:rPr>
        <w:t xml:space="preserve">, </w:t>
      </w:r>
      <w:r w:rsidRPr="00B97040">
        <w:rPr>
          <w:rFonts w:ascii="Calibri Light" w:hAnsi="Calibri Light" w:cs="Calibri Light"/>
          <w:lang w:val="fr-BE"/>
        </w:rPr>
        <w:t>contre près de 50</w:t>
      </w:r>
      <w:r w:rsidR="00F64CA7">
        <w:rPr>
          <w:rFonts w:ascii="Calibri Light" w:hAnsi="Calibri Light" w:cs="Calibri Light"/>
          <w:lang w:val="fr-BE"/>
        </w:rPr>
        <w:t> </w:t>
      </w:r>
      <w:r w:rsidRPr="00B97040">
        <w:rPr>
          <w:rFonts w:ascii="Calibri Light" w:hAnsi="Calibri Light" w:cs="Calibri Light"/>
          <w:lang w:val="fr-BE"/>
        </w:rPr>
        <w:t xml:space="preserve">% aux États-Unis. BETTER FINANCE a attiré à plusieurs reprises l'attention sur l'impact dévastateur de ces conflits d'intérêts sur la sélection des fonds d'investissement et des </w:t>
      </w:r>
      <w:r w:rsidR="009C2319">
        <w:rPr>
          <w:rFonts w:ascii="Calibri Light" w:hAnsi="Calibri Light" w:cs="Calibri Light"/>
          <w:lang w:val="fr-BE"/>
        </w:rPr>
        <w:t>« </w:t>
      </w:r>
      <w:r w:rsidRPr="00B97040">
        <w:rPr>
          <w:rFonts w:ascii="Calibri Light" w:hAnsi="Calibri Light" w:cs="Calibri Light"/>
          <w:lang w:val="fr-BE"/>
        </w:rPr>
        <w:t>parts</w:t>
      </w:r>
      <w:r w:rsidR="009C2319">
        <w:rPr>
          <w:rFonts w:ascii="Calibri Light" w:hAnsi="Calibri Light" w:cs="Calibri Light"/>
          <w:lang w:val="fr-BE"/>
        </w:rPr>
        <w:t> »</w:t>
      </w:r>
      <w:r w:rsidRPr="00B97040">
        <w:rPr>
          <w:rFonts w:ascii="Calibri Light" w:hAnsi="Calibri Light" w:cs="Calibri Light"/>
          <w:lang w:val="fr-BE"/>
        </w:rPr>
        <w:t xml:space="preserve"> par les intermédiaires</w:t>
      </w:r>
      <w:r w:rsidR="002202FB">
        <w:rPr>
          <w:rFonts w:ascii="Calibri Light" w:hAnsi="Calibri Light" w:cs="Calibri Light"/>
          <w:lang w:val="fr-BE"/>
        </w:rPr>
        <w:t xml:space="preserve"> ainsi que </w:t>
      </w:r>
      <w:r w:rsidRPr="00B97040">
        <w:rPr>
          <w:rFonts w:ascii="Calibri Light" w:hAnsi="Calibri Light" w:cs="Calibri Light"/>
          <w:lang w:val="fr-BE"/>
        </w:rPr>
        <w:t>sur</w:t>
      </w:r>
      <w:r w:rsidR="009C2319">
        <w:rPr>
          <w:rFonts w:ascii="Calibri Light" w:hAnsi="Calibri Light" w:cs="Calibri Light"/>
          <w:lang w:val="fr-BE"/>
        </w:rPr>
        <w:t xml:space="preserve"> le préjudice que cela représente pour les </w:t>
      </w:r>
      <w:r w:rsidRPr="00B97040">
        <w:rPr>
          <w:rFonts w:ascii="Calibri Light" w:hAnsi="Calibri Light" w:cs="Calibri Light"/>
          <w:lang w:val="fr-BE"/>
        </w:rPr>
        <w:t>performances de l'épargne à long terme et de l'épargne-retraite.</w:t>
      </w:r>
      <w:r>
        <w:rPr>
          <w:rStyle w:val="FootnoteReference"/>
          <w:rFonts w:ascii="Calibri Light" w:hAnsi="Calibri Light" w:cs="Calibri Light"/>
        </w:rPr>
        <w:footnoteReference w:id="2"/>
      </w:r>
    </w:p>
    <w:p w14:paraId="70EF6493" w14:textId="74CDB410" w:rsidR="001D110C" w:rsidRPr="00B97040" w:rsidRDefault="00B97040">
      <w:pPr>
        <w:jc w:val="both"/>
        <w:rPr>
          <w:rFonts w:ascii="Calibri Light" w:hAnsi="Calibri Light" w:cs="Calibri Light"/>
          <w:lang w:val="fr-BE"/>
        </w:rPr>
      </w:pPr>
      <w:r w:rsidRPr="00B97040">
        <w:rPr>
          <w:rFonts w:ascii="Calibri Light" w:hAnsi="Calibri Light" w:cs="Calibri Light"/>
          <w:lang w:val="fr-BE"/>
        </w:rPr>
        <w:t xml:space="preserve">En outre, </w:t>
      </w:r>
      <w:r w:rsidR="009C2319">
        <w:rPr>
          <w:rFonts w:ascii="Calibri Light" w:hAnsi="Calibri Light" w:cs="Calibri Light"/>
          <w:lang w:val="fr-BE"/>
        </w:rPr>
        <w:t xml:space="preserve">les </w:t>
      </w:r>
      <w:r w:rsidR="009C2319" w:rsidRPr="00B97040">
        <w:rPr>
          <w:rFonts w:ascii="Calibri Light" w:hAnsi="Calibri Light" w:cs="Calibri Light"/>
          <w:lang w:val="fr-BE"/>
        </w:rPr>
        <w:t xml:space="preserve">fournisseurs de produits financiers de détail </w:t>
      </w:r>
      <w:r w:rsidR="009C2319">
        <w:rPr>
          <w:rFonts w:ascii="Calibri Light" w:hAnsi="Calibri Light" w:cs="Calibri Light"/>
          <w:lang w:val="fr-BE"/>
        </w:rPr>
        <w:t>à « </w:t>
      </w:r>
      <w:r w:rsidR="009C2319" w:rsidRPr="00B97040">
        <w:rPr>
          <w:rFonts w:ascii="Calibri Light" w:hAnsi="Calibri Light" w:cs="Calibri Light"/>
          <w:lang w:val="fr-BE"/>
        </w:rPr>
        <w:t>architecture fermée</w:t>
      </w:r>
      <w:r w:rsidR="009C2319">
        <w:rPr>
          <w:rFonts w:ascii="Calibri Light" w:hAnsi="Calibri Light" w:cs="Calibri Light"/>
          <w:lang w:val="fr-BE"/>
        </w:rPr>
        <w:t> »</w:t>
      </w:r>
      <w:r w:rsidR="009C2319" w:rsidRPr="00B97040">
        <w:rPr>
          <w:rFonts w:ascii="Calibri Light" w:hAnsi="Calibri Light" w:cs="Calibri Light"/>
          <w:lang w:val="fr-BE"/>
        </w:rPr>
        <w:t xml:space="preserve"> ou</w:t>
      </w:r>
      <w:r w:rsidR="009C2319">
        <w:rPr>
          <w:rFonts w:ascii="Calibri Light" w:hAnsi="Calibri Light" w:cs="Calibri Light"/>
          <w:lang w:val="fr-BE"/>
        </w:rPr>
        <w:t xml:space="preserve"> à « intégration verticale » sont de facto exemptés des dispositions de la </w:t>
      </w:r>
      <w:r w:rsidRPr="00B97040">
        <w:rPr>
          <w:rFonts w:ascii="Calibri Light" w:hAnsi="Calibri Light" w:cs="Calibri Light"/>
          <w:lang w:val="fr-BE"/>
        </w:rPr>
        <w:t xml:space="preserve">MiFID II sur les </w:t>
      </w:r>
      <w:r w:rsidR="009C2319">
        <w:rPr>
          <w:rFonts w:ascii="Calibri Light" w:hAnsi="Calibri Light" w:cs="Calibri Light"/>
          <w:lang w:val="fr-BE"/>
        </w:rPr>
        <w:t>« </w:t>
      </w:r>
      <w:r w:rsidRPr="00B97040">
        <w:rPr>
          <w:rFonts w:ascii="Calibri Light" w:hAnsi="Calibri Light" w:cs="Calibri Light"/>
          <w:lang w:val="fr-BE"/>
        </w:rPr>
        <w:t>incitations</w:t>
      </w:r>
      <w:r w:rsidR="009C2319">
        <w:rPr>
          <w:rFonts w:ascii="Calibri Light" w:hAnsi="Calibri Light" w:cs="Calibri Light"/>
          <w:lang w:val="fr-BE"/>
        </w:rPr>
        <w:t> »</w:t>
      </w:r>
      <w:r w:rsidRPr="00B97040">
        <w:rPr>
          <w:rFonts w:ascii="Calibri Light" w:hAnsi="Calibri Light" w:cs="Calibri Light"/>
          <w:lang w:val="fr-BE"/>
        </w:rPr>
        <w:t xml:space="preserve"> étant donné qu'ils ne</w:t>
      </w:r>
      <w:r w:rsidR="009C2319">
        <w:rPr>
          <w:rFonts w:ascii="Calibri Light" w:hAnsi="Calibri Light" w:cs="Calibri Light"/>
          <w:lang w:val="fr-BE"/>
        </w:rPr>
        <w:t xml:space="preserve"> sont pas rétribués à la commission mais qu’ils </w:t>
      </w:r>
      <w:r w:rsidR="00C17F34">
        <w:rPr>
          <w:rFonts w:ascii="Calibri Light" w:hAnsi="Calibri Light" w:cs="Calibri Light"/>
          <w:lang w:val="fr-BE"/>
        </w:rPr>
        <w:t xml:space="preserve">vendent </w:t>
      </w:r>
      <w:r w:rsidR="00C17F34" w:rsidRPr="00B97040">
        <w:rPr>
          <w:rFonts w:ascii="Calibri Light" w:hAnsi="Calibri Light" w:cs="Calibri Light"/>
          <w:lang w:val="fr-BE"/>
        </w:rPr>
        <w:t>principalement</w:t>
      </w:r>
      <w:r w:rsidRPr="00B97040">
        <w:rPr>
          <w:rFonts w:ascii="Calibri Light" w:hAnsi="Calibri Light" w:cs="Calibri Light"/>
          <w:lang w:val="fr-BE"/>
        </w:rPr>
        <w:t xml:space="preserve"> des produits maison</w:t>
      </w:r>
      <w:r w:rsidR="00F64CA7">
        <w:rPr>
          <w:rFonts w:ascii="Calibri Light" w:hAnsi="Calibri Light" w:cs="Calibri Light"/>
          <w:lang w:val="fr-BE"/>
        </w:rPr>
        <w:t xml:space="preserve"> – </w:t>
      </w:r>
      <w:r w:rsidR="002202FB">
        <w:rPr>
          <w:rFonts w:ascii="Calibri Light" w:hAnsi="Calibri Light" w:cs="Calibri Light"/>
          <w:lang w:val="fr-BE"/>
        </w:rPr>
        <w:t xml:space="preserve">pour </w:t>
      </w:r>
      <w:r w:rsidR="00F64CA7">
        <w:rPr>
          <w:rFonts w:ascii="Calibri Light" w:hAnsi="Calibri Light" w:cs="Calibri Light"/>
          <w:lang w:val="fr-BE"/>
        </w:rPr>
        <w:t xml:space="preserve">lesquels ils </w:t>
      </w:r>
      <w:r w:rsidRPr="00B97040">
        <w:rPr>
          <w:rFonts w:ascii="Calibri Light" w:hAnsi="Calibri Light" w:cs="Calibri Light"/>
          <w:lang w:val="fr-BE"/>
        </w:rPr>
        <w:t xml:space="preserve">fournissent des conseils </w:t>
      </w:r>
      <w:r w:rsidR="00F64CA7">
        <w:rPr>
          <w:rFonts w:ascii="Calibri Light" w:hAnsi="Calibri Light" w:cs="Calibri Light"/>
          <w:lang w:val="fr-BE"/>
        </w:rPr>
        <w:t xml:space="preserve">– </w:t>
      </w:r>
      <w:r w:rsidR="00C17F34">
        <w:rPr>
          <w:rFonts w:ascii="Calibri Light" w:hAnsi="Calibri Light" w:cs="Calibri Light"/>
          <w:lang w:val="fr-BE"/>
        </w:rPr>
        <w:t xml:space="preserve">que ces produits répondent ou non aux besoins de leurs clients. </w:t>
      </w:r>
      <w:r w:rsidRPr="00B97040">
        <w:rPr>
          <w:rFonts w:ascii="Calibri Light" w:hAnsi="Calibri Light" w:cs="Calibri Light"/>
          <w:lang w:val="fr-BE"/>
        </w:rPr>
        <w:t xml:space="preserve">Comme ces pratiques </w:t>
      </w:r>
      <w:r w:rsidR="00C17F34">
        <w:rPr>
          <w:rFonts w:ascii="Calibri Light" w:hAnsi="Calibri Light" w:cs="Calibri Light"/>
          <w:lang w:val="fr-BE"/>
        </w:rPr>
        <w:t xml:space="preserve">ne sont pas associées à des </w:t>
      </w:r>
      <w:r w:rsidRPr="00B97040">
        <w:rPr>
          <w:rFonts w:ascii="Calibri Light" w:hAnsi="Calibri Light" w:cs="Calibri Light"/>
          <w:lang w:val="fr-BE"/>
        </w:rPr>
        <w:t>commissions ou d'autres incitations (</w:t>
      </w:r>
      <w:r w:rsidR="00C17F34">
        <w:rPr>
          <w:rFonts w:ascii="Calibri Light" w:hAnsi="Calibri Light" w:cs="Calibri Light"/>
          <w:lang w:val="fr-BE"/>
        </w:rPr>
        <w:t xml:space="preserve">les incitations sont différentes dans ce cas), les </w:t>
      </w:r>
      <w:r w:rsidRPr="00B97040">
        <w:rPr>
          <w:rFonts w:ascii="Calibri Light" w:hAnsi="Calibri Light" w:cs="Calibri Light"/>
          <w:lang w:val="fr-BE"/>
        </w:rPr>
        <w:t xml:space="preserve">réseaux </w:t>
      </w:r>
      <w:r w:rsidR="00C17F34">
        <w:rPr>
          <w:rFonts w:ascii="Calibri Light" w:hAnsi="Calibri Light" w:cs="Calibri Light"/>
          <w:lang w:val="fr-BE"/>
        </w:rPr>
        <w:t>« </w:t>
      </w:r>
      <w:r w:rsidRPr="00B97040">
        <w:rPr>
          <w:rFonts w:ascii="Calibri Light" w:hAnsi="Calibri Light" w:cs="Calibri Light"/>
          <w:lang w:val="fr-BE"/>
        </w:rPr>
        <w:t>à architecture fermée</w:t>
      </w:r>
      <w:r w:rsidR="00C17F34">
        <w:rPr>
          <w:rFonts w:ascii="Calibri Light" w:hAnsi="Calibri Light" w:cs="Calibri Light"/>
          <w:lang w:val="fr-BE"/>
        </w:rPr>
        <w:t> »</w:t>
      </w:r>
      <w:r w:rsidRPr="00B97040">
        <w:rPr>
          <w:rFonts w:ascii="Calibri Light" w:hAnsi="Calibri Light" w:cs="Calibri Light"/>
          <w:lang w:val="fr-BE"/>
        </w:rPr>
        <w:t xml:space="preserve"> ne sont soumis à aucune des </w:t>
      </w:r>
      <w:r w:rsidR="00F64CA7">
        <w:rPr>
          <w:rFonts w:ascii="Calibri Light" w:hAnsi="Calibri Light" w:cs="Calibri Light"/>
          <w:lang w:val="fr-BE"/>
        </w:rPr>
        <w:t xml:space="preserve">dispositions sur les incitations de la </w:t>
      </w:r>
      <w:r w:rsidRPr="00B97040">
        <w:rPr>
          <w:rFonts w:ascii="Calibri Light" w:hAnsi="Calibri Light" w:cs="Calibri Light"/>
          <w:lang w:val="fr-BE"/>
        </w:rPr>
        <w:t>MiFID II</w:t>
      </w:r>
      <w:r w:rsidR="00F64CA7">
        <w:rPr>
          <w:rFonts w:ascii="Calibri Light" w:hAnsi="Calibri Light" w:cs="Calibri Light"/>
          <w:lang w:val="fr-BE"/>
        </w:rPr>
        <w:t xml:space="preserve">. </w:t>
      </w:r>
      <w:r w:rsidRPr="00B97040">
        <w:rPr>
          <w:rFonts w:ascii="Calibri Light" w:hAnsi="Calibri Light" w:cs="Calibri Light"/>
          <w:lang w:val="fr-BE"/>
        </w:rPr>
        <w:t>Les</w:t>
      </w:r>
      <w:r w:rsidR="00C17F34">
        <w:rPr>
          <w:rFonts w:ascii="Calibri Light" w:hAnsi="Calibri Light" w:cs="Calibri Light"/>
          <w:lang w:val="fr-BE"/>
        </w:rPr>
        <w:t xml:space="preserve"> mises en garde </w:t>
      </w:r>
      <w:r w:rsidRPr="00B97040">
        <w:rPr>
          <w:rFonts w:ascii="Calibri Light" w:hAnsi="Calibri Light" w:cs="Calibri Light"/>
          <w:lang w:val="fr-BE"/>
        </w:rPr>
        <w:t>répété</w:t>
      </w:r>
      <w:r w:rsidR="00C17F34">
        <w:rPr>
          <w:rFonts w:ascii="Calibri Light" w:hAnsi="Calibri Light" w:cs="Calibri Light"/>
          <w:lang w:val="fr-BE"/>
        </w:rPr>
        <w:t>e</w:t>
      </w:r>
      <w:r w:rsidRPr="00B97040">
        <w:rPr>
          <w:rFonts w:ascii="Calibri Light" w:hAnsi="Calibri Light" w:cs="Calibri Light"/>
          <w:lang w:val="fr-BE"/>
        </w:rPr>
        <w:t>s de BETTER FINANCE concernant ce conflit d'intérêts majeur étaient jusqu'à présent restés lettre morte.</w:t>
      </w:r>
    </w:p>
    <w:p w14:paraId="70EF6494" w14:textId="038A8C26" w:rsidR="001D110C" w:rsidRPr="00B97040" w:rsidRDefault="00B97040">
      <w:pPr>
        <w:jc w:val="both"/>
        <w:rPr>
          <w:lang w:val="fr-BE"/>
        </w:rPr>
      </w:pPr>
      <w:r w:rsidRPr="00B97040">
        <w:rPr>
          <w:rFonts w:ascii="Calibri Light" w:hAnsi="Calibri Light" w:cs="Calibri Light"/>
          <w:lang w:val="fr-BE"/>
        </w:rPr>
        <w:t xml:space="preserve">BETTER FINANCE </w:t>
      </w:r>
      <w:r w:rsidR="00C17F34">
        <w:rPr>
          <w:rFonts w:ascii="Calibri Light" w:hAnsi="Calibri Light" w:cs="Calibri Light"/>
          <w:lang w:val="fr-BE"/>
        </w:rPr>
        <w:t xml:space="preserve">se réjouit donc de voir </w:t>
      </w:r>
      <w:r w:rsidRPr="00B97040">
        <w:rPr>
          <w:rFonts w:ascii="Calibri Light" w:hAnsi="Calibri Light" w:cs="Calibri Light"/>
          <w:lang w:val="fr-BE"/>
        </w:rPr>
        <w:t xml:space="preserve">que l'AEMF </w:t>
      </w:r>
      <w:r w:rsidR="00F64CA7">
        <w:rPr>
          <w:rFonts w:ascii="Calibri Light" w:hAnsi="Calibri Light" w:cs="Calibri Light"/>
          <w:lang w:val="fr-BE"/>
        </w:rPr>
        <w:t>tienne compte de c</w:t>
      </w:r>
      <w:r w:rsidRPr="00B97040">
        <w:rPr>
          <w:rFonts w:ascii="Calibri Light" w:hAnsi="Calibri Light" w:cs="Calibri Light"/>
          <w:lang w:val="fr-BE"/>
        </w:rPr>
        <w:t>ette préoccupation dans</w:t>
      </w:r>
      <w:r w:rsidR="00C17F34">
        <w:rPr>
          <w:rFonts w:ascii="Calibri Light" w:hAnsi="Calibri Light" w:cs="Calibri Light"/>
          <w:lang w:val="fr-BE"/>
        </w:rPr>
        <w:t xml:space="preserve"> son avis</w:t>
      </w:r>
      <w:r w:rsidRPr="00B97040">
        <w:rPr>
          <w:rFonts w:ascii="Calibri Light" w:hAnsi="Calibri Light" w:cs="Calibri Light"/>
          <w:lang w:val="fr-BE"/>
        </w:rPr>
        <w:t xml:space="preserve"> </w:t>
      </w:r>
      <w:r w:rsidR="00F64CA7">
        <w:rPr>
          <w:rFonts w:ascii="Calibri Light" w:hAnsi="Calibri Light" w:cs="Calibri Light"/>
          <w:lang w:val="fr-BE"/>
        </w:rPr>
        <w:t>mais indique qu</w:t>
      </w:r>
      <w:r w:rsidR="002202FB">
        <w:rPr>
          <w:rFonts w:ascii="Calibri Light" w:hAnsi="Calibri Light" w:cs="Calibri Light"/>
          <w:lang w:val="fr-BE"/>
        </w:rPr>
        <w:t xml:space="preserve">’elle </w:t>
      </w:r>
      <w:r w:rsidR="00C17F34">
        <w:rPr>
          <w:rFonts w:ascii="Calibri Light" w:hAnsi="Calibri Light" w:cs="Calibri Light"/>
          <w:i/>
          <w:iCs/>
          <w:lang w:val="fr-BE"/>
        </w:rPr>
        <w:t>« pourrait stipuler clairement que les entreprises</w:t>
      </w:r>
      <w:r w:rsidR="00F64CA7">
        <w:rPr>
          <w:rFonts w:ascii="Calibri Light" w:hAnsi="Calibri Light" w:cs="Calibri Light"/>
          <w:i/>
          <w:iCs/>
          <w:lang w:val="fr-BE"/>
        </w:rPr>
        <w:t xml:space="preserve"> d’investissement</w:t>
      </w:r>
      <w:r w:rsidR="00C17F34">
        <w:rPr>
          <w:rFonts w:ascii="Calibri Light" w:hAnsi="Calibri Light" w:cs="Calibri Light"/>
          <w:i/>
          <w:iCs/>
          <w:lang w:val="fr-BE"/>
        </w:rPr>
        <w:t xml:space="preserve">, même si elles </w:t>
      </w:r>
      <w:r w:rsidRPr="00B97040">
        <w:rPr>
          <w:rFonts w:ascii="Calibri Light" w:hAnsi="Calibri Light" w:cs="Calibri Light"/>
          <w:i/>
          <w:iCs/>
          <w:lang w:val="fr-BE"/>
        </w:rPr>
        <w:t xml:space="preserve">opèrent </w:t>
      </w:r>
      <w:r w:rsidR="00C17F34">
        <w:rPr>
          <w:rFonts w:ascii="Calibri Light" w:hAnsi="Calibri Light" w:cs="Calibri Light"/>
          <w:i/>
          <w:iCs/>
          <w:lang w:val="fr-BE"/>
        </w:rPr>
        <w:t>selon des modèles de type ‘architecture fermée’ d</w:t>
      </w:r>
      <w:r w:rsidR="00F64CA7">
        <w:rPr>
          <w:rFonts w:ascii="Calibri Light" w:hAnsi="Calibri Light" w:cs="Calibri Light"/>
          <w:i/>
          <w:iCs/>
          <w:lang w:val="fr-BE"/>
        </w:rPr>
        <w:t xml:space="preserve">evraient </w:t>
      </w:r>
      <w:r w:rsidR="00C17F34">
        <w:rPr>
          <w:rFonts w:ascii="Calibri Light" w:hAnsi="Calibri Light" w:cs="Calibri Light"/>
          <w:i/>
          <w:iCs/>
          <w:lang w:val="fr-BE"/>
        </w:rPr>
        <w:t xml:space="preserve">évaluer </w:t>
      </w:r>
      <w:r w:rsidRPr="00B97040">
        <w:rPr>
          <w:rFonts w:ascii="Calibri Light" w:hAnsi="Calibri Light" w:cs="Calibri Light"/>
          <w:i/>
          <w:iCs/>
          <w:lang w:val="fr-BE"/>
        </w:rPr>
        <w:t xml:space="preserve">leurs produits par rapport à des produits </w:t>
      </w:r>
      <w:r w:rsidR="00C17F34">
        <w:rPr>
          <w:rFonts w:ascii="Calibri Light" w:hAnsi="Calibri Light" w:cs="Calibri Light"/>
          <w:i/>
          <w:iCs/>
          <w:lang w:val="fr-BE"/>
        </w:rPr>
        <w:t xml:space="preserve">de </w:t>
      </w:r>
      <w:r w:rsidRPr="00B97040">
        <w:rPr>
          <w:rFonts w:ascii="Calibri Light" w:hAnsi="Calibri Light" w:cs="Calibri Light"/>
          <w:i/>
          <w:iCs/>
          <w:lang w:val="fr-BE"/>
        </w:rPr>
        <w:t xml:space="preserve">tiers </w:t>
      </w:r>
      <w:r w:rsidR="00C17F34">
        <w:rPr>
          <w:rFonts w:ascii="Calibri Light" w:hAnsi="Calibri Light" w:cs="Calibri Light"/>
          <w:i/>
          <w:iCs/>
          <w:lang w:val="fr-BE"/>
        </w:rPr>
        <w:t xml:space="preserve">et </w:t>
      </w:r>
      <w:r w:rsidRPr="00B97040">
        <w:rPr>
          <w:rFonts w:ascii="Calibri Light" w:hAnsi="Calibri Light" w:cs="Calibri Light"/>
          <w:i/>
          <w:iCs/>
          <w:lang w:val="fr-BE"/>
        </w:rPr>
        <w:t>fournir</w:t>
      </w:r>
      <w:r w:rsidR="007E327D">
        <w:rPr>
          <w:rFonts w:ascii="Calibri Light" w:hAnsi="Calibri Light" w:cs="Calibri Light"/>
          <w:i/>
          <w:iCs/>
          <w:lang w:val="fr-BE"/>
        </w:rPr>
        <w:t>, dans le rapport d’adéquation,</w:t>
      </w:r>
      <w:r w:rsidRPr="00B97040">
        <w:rPr>
          <w:rFonts w:ascii="Calibri Light" w:hAnsi="Calibri Light" w:cs="Calibri Light"/>
          <w:i/>
          <w:iCs/>
          <w:lang w:val="fr-BE"/>
        </w:rPr>
        <w:t xml:space="preserve"> des détails </w:t>
      </w:r>
      <w:r w:rsidR="00C17F34">
        <w:rPr>
          <w:rFonts w:ascii="Calibri Light" w:hAnsi="Calibri Light" w:cs="Calibri Light"/>
          <w:i/>
          <w:iCs/>
          <w:lang w:val="fr-BE"/>
        </w:rPr>
        <w:t>sur toute alternative moins coûteuse et moins complexe</w:t>
      </w:r>
      <w:r w:rsidR="007E327D">
        <w:rPr>
          <w:rFonts w:ascii="Calibri Light" w:hAnsi="Calibri Light" w:cs="Calibri Light"/>
          <w:i/>
          <w:iCs/>
          <w:lang w:val="fr-BE"/>
        </w:rPr>
        <w:t xml:space="preserve">. » </w:t>
      </w:r>
      <w:r w:rsidR="00C17F34">
        <w:rPr>
          <w:rFonts w:ascii="Calibri Light" w:hAnsi="Calibri Light" w:cs="Calibri Light"/>
          <w:i/>
          <w:iCs/>
          <w:lang w:val="fr-BE"/>
        </w:rPr>
        <w:t xml:space="preserve">  </w:t>
      </w:r>
    </w:p>
    <w:p w14:paraId="70EF6495" w14:textId="7D746793" w:rsidR="001D110C" w:rsidRPr="00B97040" w:rsidRDefault="00B97040">
      <w:pPr>
        <w:jc w:val="both"/>
        <w:rPr>
          <w:rFonts w:ascii="Calibri Light" w:hAnsi="Calibri Light" w:cs="Calibri Light"/>
          <w:lang w:val="fr-BE"/>
        </w:rPr>
      </w:pPr>
      <w:r w:rsidRPr="00B97040">
        <w:rPr>
          <w:rFonts w:ascii="Calibri Light" w:hAnsi="Calibri Light" w:cs="Calibri Light"/>
          <w:lang w:val="fr-BE"/>
        </w:rPr>
        <w:t>Afin d</w:t>
      </w:r>
      <w:r w:rsidR="007E327D">
        <w:rPr>
          <w:rFonts w:ascii="Calibri Light" w:hAnsi="Calibri Light" w:cs="Calibri Light"/>
          <w:lang w:val="fr-BE"/>
        </w:rPr>
        <w:t xml:space="preserve">’étendre aux </w:t>
      </w:r>
      <w:r w:rsidR="00C17F34">
        <w:rPr>
          <w:rFonts w:ascii="Calibri Light" w:hAnsi="Calibri Light" w:cs="Calibri Light"/>
          <w:lang w:val="fr-BE"/>
        </w:rPr>
        <w:t>réseaux à architecture fermée l’interdiction</w:t>
      </w:r>
      <w:r w:rsidR="00D61309">
        <w:rPr>
          <w:rFonts w:ascii="Calibri Light" w:hAnsi="Calibri Light" w:cs="Calibri Light"/>
          <w:lang w:val="fr-BE"/>
        </w:rPr>
        <w:t xml:space="preserve"> d</w:t>
      </w:r>
      <w:r w:rsidR="007E327D">
        <w:rPr>
          <w:rFonts w:ascii="Calibri Light" w:hAnsi="Calibri Light" w:cs="Calibri Light"/>
          <w:lang w:val="fr-BE"/>
        </w:rPr>
        <w:t xml:space="preserve">es </w:t>
      </w:r>
      <w:r w:rsidR="00D61309">
        <w:rPr>
          <w:rFonts w:ascii="Calibri Light" w:hAnsi="Calibri Light" w:cs="Calibri Light"/>
          <w:lang w:val="fr-BE"/>
        </w:rPr>
        <w:t>« </w:t>
      </w:r>
      <w:r w:rsidR="00C17F34">
        <w:rPr>
          <w:rFonts w:ascii="Calibri Light" w:hAnsi="Calibri Light" w:cs="Calibri Light"/>
          <w:lang w:val="fr-BE"/>
        </w:rPr>
        <w:t>incitations »</w:t>
      </w:r>
      <w:r w:rsidRPr="00B97040">
        <w:rPr>
          <w:rFonts w:ascii="Calibri Light" w:hAnsi="Calibri Light" w:cs="Calibri Light"/>
          <w:lang w:val="fr-BE"/>
        </w:rPr>
        <w:t>, l'AEMF propose trois options :</w:t>
      </w:r>
    </w:p>
    <w:p w14:paraId="70EF6496" w14:textId="75B66E7B" w:rsidR="001D110C" w:rsidRPr="00B97040" w:rsidRDefault="00B970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 w:rsidRPr="00B97040">
        <w:rPr>
          <w:rFonts w:ascii="Calibri Light" w:hAnsi="Calibri Light" w:cs="Calibri Light"/>
          <w:lang w:val="fr-BE"/>
        </w:rPr>
        <w:t>La première option</w:t>
      </w:r>
      <w:r w:rsidR="00D61309">
        <w:rPr>
          <w:rFonts w:ascii="Calibri Light" w:hAnsi="Calibri Light" w:cs="Calibri Light"/>
          <w:lang w:val="fr-BE"/>
        </w:rPr>
        <w:t>, qui consiste à « </w:t>
      </w:r>
      <w:r w:rsidRPr="00B97040">
        <w:rPr>
          <w:rFonts w:ascii="Calibri Light" w:hAnsi="Calibri Light" w:cs="Calibri Light"/>
          <w:i/>
          <w:iCs/>
          <w:lang w:val="fr-BE"/>
        </w:rPr>
        <w:t>[investir] dans l'éducation financière pour sensibiliser les investisseurs de détail</w:t>
      </w:r>
      <w:r w:rsidR="00D61309">
        <w:rPr>
          <w:rFonts w:ascii="Calibri Light" w:hAnsi="Calibri Light" w:cs="Calibri Light"/>
          <w:i/>
          <w:iCs/>
          <w:lang w:val="fr-BE"/>
        </w:rPr>
        <w:t xml:space="preserve"> et leur faire prendre conscience de l’importante des conseils </w:t>
      </w:r>
      <w:r w:rsidR="00D61309">
        <w:rPr>
          <w:rFonts w:ascii="Calibri Light" w:hAnsi="Calibri Light" w:cs="Calibri Light"/>
          <w:i/>
          <w:iCs/>
          <w:lang w:val="fr-BE"/>
        </w:rPr>
        <w:lastRenderedPageBreak/>
        <w:t xml:space="preserve">indépendants payants », </w:t>
      </w:r>
      <w:r w:rsidRPr="00B97040">
        <w:rPr>
          <w:rFonts w:ascii="Calibri Light" w:hAnsi="Calibri Light" w:cs="Calibri Light"/>
          <w:lang w:val="fr-BE"/>
        </w:rPr>
        <w:t>ne tient pas compte du fait que</w:t>
      </w:r>
      <w:r w:rsidR="00D61309">
        <w:rPr>
          <w:rFonts w:ascii="Calibri Light" w:hAnsi="Calibri Light" w:cs="Calibri Light"/>
          <w:lang w:val="fr-BE"/>
        </w:rPr>
        <w:t xml:space="preserve"> rien n’incite actuellement les parties prenantes à </w:t>
      </w:r>
      <w:r w:rsidRPr="00B97040">
        <w:rPr>
          <w:rFonts w:ascii="Calibri Light" w:hAnsi="Calibri Light" w:cs="Calibri Light"/>
          <w:lang w:val="fr-BE"/>
        </w:rPr>
        <w:t xml:space="preserve">investir du temps et de l'argent dans </w:t>
      </w:r>
      <w:r w:rsidR="00D61309">
        <w:rPr>
          <w:rFonts w:ascii="Calibri Light" w:hAnsi="Calibri Light" w:cs="Calibri Light"/>
          <w:lang w:val="fr-BE"/>
        </w:rPr>
        <w:t xml:space="preserve">cette éducation financière. </w:t>
      </w:r>
    </w:p>
    <w:p w14:paraId="70EF6497" w14:textId="18E06C15" w:rsidR="001D110C" w:rsidRPr="00B97040" w:rsidRDefault="00B970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 w:rsidRPr="00B97040">
        <w:rPr>
          <w:rFonts w:ascii="Calibri Light" w:hAnsi="Calibri Light" w:cs="Calibri Light"/>
          <w:lang w:val="fr-BE"/>
        </w:rPr>
        <w:t>La deuxième option</w:t>
      </w:r>
      <w:r w:rsidR="00D61309">
        <w:rPr>
          <w:rFonts w:ascii="Calibri Light" w:hAnsi="Calibri Light" w:cs="Calibri Light"/>
          <w:lang w:val="fr-BE"/>
        </w:rPr>
        <w:t xml:space="preserve">, qui consiste à </w:t>
      </w:r>
      <w:r w:rsidR="00D61309" w:rsidRPr="00D61309">
        <w:rPr>
          <w:rFonts w:ascii="Calibri Light" w:hAnsi="Calibri Light" w:cs="Calibri Light"/>
          <w:i/>
          <w:iCs/>
          <w:lang w:val="fr-BE"/>
        </w:rPr>
        <w:t>«</w:t>
      </w:r>
      <w:r w:rsidR="00D61309">
        <w:rPr>
          <w:rFonts w:ascii="Calibri Light" w:hAnsi="Calibri Light" w:cs="Calibri Light"/>
          <w:lang w:val="fr-BE"/>
        </w:rPr>
        <w:t> [</w:t>
      </w:r>
      <w:r w:rsidRPr="00B97040">
        <w:rPr>
          <w:rFonts w:ascii="Calibri Light" w:hAnsi="Calibri Light" w:cs="Calibri Light"/>
          <w:i/>
          <w:iCs/>
          <w:lang w:val="fr-BE"/>
        </w:rPr>
        <w:t>fournir</w:t>
      </w:r>
      <w:r w:rsidR="00D61309">
        <w:rPr>
          <w:rFonts w:ascii="Calibri Light" w:hAnsi="Calibri Light" w:cs="Calibri Light"/>
          <w:i/>
          <w:iCs/>
          <w:lang w:val="fr-BE"/>
        </w:rPr>
        <w:t>]</w:t>
      </w:r>
      <w:r w:rsidRPr="00B97040">
        <w:rPr>
          <w:rFonts w:ascii="Calibri Light" w:hAnsi="Calibri Light" w:cs="Calibri Light"/>
          <w:i/>
          <w:iCs/>
          <w:lang w:val="fr-BE"/>
        </w:rPr>
        <w:t xml:space="preserve"> </w:t>
      </w:r>
      <w:r w:rsidR="00D61309">
        <w:rPr>
          <w:rFonts w:ascii="Calibri Light" w:hAnsi="Calibri Light" w:cs="Calibri Light"/>
          <w:i/>
          <w:iCs/>
          <w:lang w:val="fr-BE"/>
        </w:rPr>
        <w:t>dans le rapport d’adéquation des détails sur toute alternative</w:t>
      </w:r>
      <w:r w:rsidRPr="00B97040">
        <w:rPr>
          <w:rFonts w:ascii="Calibri Light" w:hAnsi="Calibri Light" w:cs="Calibri Light"/>
          <w:i/>
          <w:iCs/>
          <w:lang w:val="fr-BE"/>
        </w:rPr>
        <w:t xml:space="preserve"> moins coûteuse et moins complexe</w:t>
      </w:r>
      <w:r w:rsidR="00D61309">
        <w:rPr>
          <w:rFonts w:ascii="Calibri Light" w:hAnsi="Calibri Light" w:cs="Calibri Light"/>
          <w:i/>
          <w:iCs/>
          <w:lang w:val="fr-BE"/>
        </w:rPr>
        <w:t> »</w:t>
      </w:r>
      <w:r w:rsidR="007E327D">
        <w:rPr>
          <w:rFonts w:ascii="Calibri Light" w:hAnsi="Calibri Light" w:cs="Calibri Light"/>
          <w:i/>
          <w:iCs/>
          <w:lang w:val="fr-BE"/>
        </w:rPr>
        <w:t>,</w:t>
      </w:r>
      <w:r w:rsidR="00D61309">
        <w:rPr>
          <w:rFonts w:ascii="Calibri Light" w:hAnsi="Calibri Light" w:cs="Calibri Light"/>
          <w:i/>
          <w:iCs/>
          <w:lang w:val="fr-BE"/>
        </w:rPr>
        <w:t xml:space="preserve"> </w:t>
      </w:r>
      <w:r w:rsidR="007E327D">
        <w:rPr>
          <w:rFonts w:ascii="Calibri Light" w:hAnsi="Calibri Light" w:cs="Calibri Light"/>
          <w:lang w:val="fr-BE"/>
        </w:rPr>
        <w:t xml:space="preserve">est prometteuse, </w:t>
      </w:r>
      <w:r w:rsidR="00D61309">
        <w:rPr>
          <w:rFonts w:ascii="Calibri Light" w:hAnsi="Calibri Light" w:cs="Calibri Light"/>
          <w:lang w:val="fr-BE"/>
        </w:rPr>
        <w:t>mais ces détails devraient être très clairement communiqués par écrit et</w:t>
      </w:r>
      <w:r w:rsidR="00525BC4">
        <w:rPr>
          <w:rFonts w:ascii="Calibri Light" w:hAnsi="Calibri Light" w:cs="Calibri Light"/>
          <w:lang w:val="fr-BE"/>
        </w:rPr>
        <w:t xml:space="preserve"> figurer dans toutes les informations précontractuelles pour être facilement accessibles.  </w:t>
      </w:r>
    </w:p>
    <w:p w14:paraId="5A1A1EED" w14:textId="20A2BF64" w:rsidR="00525BC4" w:rsidRPr="00525BC4" w:rsidRDefault="00B97040" w:rsidP="00AB73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 w:rsidRPr="00B97040">
        <w:rPr>
          <w:rFonts w:ascii="Calibri Light" w:hAnsi="Calibri Light" w:cs="Calibri Light"/>
          <w:lang w:val="fr-BE"/>
        </w:rPr>
        <w:t>La troisième option</w:t>
      </w:r>
      <w:r w:rsidR="00525BC4">
        <w:rPr>
          <w:rFonts w:ascii="Calibri Light" w:hAnsi="Calibri Light" w:cs="Calibri Light"/>
          <w:lang w:val="fr-BE"/>
        </w:rPr>
        <w:t xml:space="preserve">, qui </w:t>
      </w:r>
      <w:r w:rsidRPr="00B97040">
        <w:rPr>
          <w:rFonts w:ascii="Calibri Light" w:hAnsi="Calibri Light" w:cs="Calibri Light"/>
          <w:lang w:val="fr-BE"/>
        </w:rPr>
        <w:t>consist</w:t>
      </w:r>
      <w:r w:rsidR="00525BC4">
        <w:rPr>
          <w:rFonts w:ascii="Calibri Light" w:hAnsi="Calibri Light" w:cs="Calibri Light"/>
          <w:lang w:val="fr-BE"/>
        </w:rPr>
        <w:t xml:space="preserve">e </w:t>
      </w:r>
      <w:r w:rsidR="00CB4A9A">
        <w:rPr>
          <w:rFonts w:ascii="Calibri Light" w:hAnsi="Calibri Light" w:cs="Calibri Light"/>
          <w:lang w:val="fr-BE"/>
        </w:rPr>
        <w:t xml:space="preserve">autoriser les incitations pour les </w:t>
      </w:r>
      <w:r w:rsidR="00CB4A9A" w:rsidRPr="00B97040">
        <w:rPr>
          <w:rFonts w:ascii="Calibri Light" w:hAnsi="Calibri Light" w:cs="Calibri Light"/>
          <w:lang w:val="fr-BE"/>
        </w:rPr>
        <w:t xml:space="preserve">réseaux à </w:t>
      </w:r>
      <w:r w:rsidR="00CB4A9A">
        <w:rPr>
          <w:rFonts w:ascii="Calibri Light" w:hAnsi="Calibri Light" w:cs="Calibri Light"/>
          <w:lang w:val="fr-BE"/>
        </w:rPr>
        <w:t>« </w:t>
      </w:r>
      <w:r w:rsidR="00CB4A9A" w:rsidRPr="00B97040">
        <w:rPr>
          <w:rFonts w:ascii="Calibri Light" w:hAnsi="Calibri Light" w:cs="Calibri Light"/>
          <w:lang w:val="fr-BE"/>
        </w:rPr>
        <w:t>architecture fermée</w:t>
      </w:r>
      <w:r w:rsidR="00CB4A9A">
        <w:rPr>
          <w:rFonts w:ascii="Calibri Light" w:hAnsi="Calibri Light" w:cs="Calibri Light"/>
          <w:lang w:val="fr-BE"/>
        </w:rPr>
        <w:t> » sur la base du critère d’« </w:t>
      </w:r>
      <w:r w:rsidR="00525BC4">
        <w:rPr>
          <w:rFonts w:ascii="Calibri Light" w:hAnsi="Calibri Light" w:cs="Calibri Light"/>
          <w:lang w:val="fr-BE"/>
        </w:rPr>
        <w:t>amélioration de la qualité</w:t>
      </w:r>
      <w:r w:rsidR="007E327D">
        <w:rPr>
          <w:rFonts w:ascii="Calibri Light" w:hAnsi="Calibri Light" w:cs="Calibri Light"/>
          <w:lang w:val="fr-BE"/>
        </w:rPr>
        <w:t xml:space="preserve"> du service</w:t>
      </w:r>
      <w:r w:rsidR="00525BC4">
        <w:rPr>
          <w:rFonts w:ascii="Calibri Light" w:hAnsi="Calibri Light" w:cs="Calibri Light"/>
          <w:lang w:val="fr-BE"/>
        </w:rPr>
        <w:t xml:space="preserve"> », n’aurait selon nous qu’un </w:t>
      </w:r>
      <w:r w:rsidRPr="00B97040">
        <w:rPr>
          <w:rFonts w:ascii="Calibri Light" w:hAnsi="Calibri Light" w:cs="Calibri Light"/>
          <w:lang w:val="fr-BE"/>
        </w:rPr>
        <w:t xml:space="preserve">impact très limité, car </w:t>
      </w:r>
      <w:r w:rsidR="00CB4A9A">
        <w:rPr>
          <w:rFonts w:ascii="Calibri Light" w:hAnsi="Calibri Light" w:cs="Calibri Light"/>
          <w:lang w:val="fr-BE"/>
        </w:rPr>
        <w:t>ce critère</w:t>
      </w:r>
      <w:r w:rsidRPr="00B97040">
        <w:rPr>
          <w:rFonts w:ascii="Calibri Light" w:hAnsi="Calibri Light" w:cs="Calibri Light"/>
          <w:lang w:val="fr-BE"/>
        </w:rPr>
        <w:t xml:space="preserve"> est très difficile à évaluer. L</w:t>
      </w:r>
      <w:r w:rsidR="00AB7317">
        <w:rPr>
          <w:rFonts w:ascii="Calibri Light" w:hAnsi="Calibri Light" w:cs="Calibri Light"/>
          <w:lang w:val="fr-BE"/>
        </w:rPr>
        <w:t>’Autorité européenne de surveillance (tout comme la plupart des autorités nationales de surveillance) néglige une nouvelle fois l</w:t>
      </w:r>
      <w:r w:rsidRPr="00B97040">
        <w:rPr>
          <w:rFonts w:ascii="Calibri Light" w:hAnsi="Calibri Light" w:cs="Calibri Light"/>
          <w:lang w:val="fr-BE"/>
        </w:rPr>
        <w:t xml:space="preserve">'exigence </w:t>
      </w:r>
      <w:r w:rsidR="002202FB">
        <w:rPr>
          <w:rFonts w:ascii="Calibri Light" w:hAnsi="Calibri Light" w:cs="Calibri Light"/>
          <w:lang w:val="fr-BE"/>
        </w:rPr>
        <w:t xml:space="preserve">clé </w:t>
      </w:r>
      <w:r w:rsidR="00525BC4">
        <w:rPr>
          <w:rFonts w:ascii="Calibri Light" w:hAnsi="Calibri Light" w:cs="Calibri Light"/>
          <w:lang w:val="fr-BE"/>
        </w:rPr>
        <w:t>–</w:t>
      </w:r>
      <w:r w:rsidRPr="00B97040">
        <w:rPr>
          <w:rFonts w:ascii="Calibri Light" w:hAnsi="Calibri Light" w:cs="Calibri Light"/>
          <w:lang w:val="fr-BE"/>
        </w:rPr>
        <w:t xml:space="preserve"> et </w:t>
      </w:r>
      <w:r w:rsidR="00AB7317">
        <w:rPr>
          <w:rFonts w:ascii="Calibri Light" w:hAnsi="Calibri Light" w:cs="Calibri Light"/>
          <w:lang w:val="fr-BE"/>
        </w:rPr>
        <w:t xml:space="preserve">la </w:t>
      </w:r>
      <w:r w:rsidRPr="00B97040">
        <w:rPr>
          <w:rFonts w:ascii="Calibri Light" w:hAnsi="Calibri Light" w:cs="Calibri Light"/>
          <w:lang w:val="fr-BE"/>
        </w:rPr>
        <w:t xml:space="preserve">plus facile à évaluer </w:t>
      </w:r>
      <w:r w:rsidR="00525BC4">
        <w:rPr>
          <w:rFonts w:ascii="Calibri Light" w:hAnsi="Calibri Light" w:cs="Calibri Light"/>
          <w:lang w:val="fr-BE"/>
        </w:rPr>
        <w:t>–</w:t>
      </w:r>
      <w:r w:rsidRPr="00B97040">
        <w:rPr>
          <w:rFonts w:ascii="Calibri Light" w:hAnsi="Calibri Light" w:cs="Calibri Light"/>
          <w:lang w:val="fr-BE"/>
        </w:rPr>
        <w:t xml:space="preserve"> </w:t>
      </w:r>
      <w:r w:rsidR="00525BC4">
        <w:rPr>
          <w:rFonts w:ascii="Calibri Light" w:hAnsi="Calibri Light" w:cs="Calibri Light"/>
          <w:lang w:val="fr-BE"/>
        </w:rPr>
        <w:t xml:space="preserve">pour </w:t>
      </w:r>
      <w:r w:rsidRPr="00B97040">
        <w:rPr>
          <w:rFonts w:ascii="Calibri Light" w:hAnsi="Calibri Light" w:cs="Calibri Light"/>
          <w:lang w:val="fr-BE"/>
        </w:rPr>
        <w:t xml:space="preserve">autoriser </w:t>
      </w:r>
      <w:r w:rsidR="00AB7317">
        <w:rPr>
          <w:rFonts w:ascii="Calibri Light" w:hAnsi="Calibri Light" w:cs="Calibri Light"/>
          <w:lang w:val="fr-BE"/>
        </w:rPr>
        <w:t xml:space="preserve">les </w:t>
      </w:r>
      <w:r w:rsidRPr="00B97040">
        <w:rPr>
          <w:rFonts w:ascii="Calibri Light" w:hAnsi="Calibri Light" w:cs="Calibri Light"/>
          <w:lang w:val="fr-BE"/>
        </w:rPr>
        <w:t xml:space="preserve">incitations </w:t>
      </w:r>
      <w:r w:rsidR="00525BC4">
        <w:rPr>
          <w:rFonts w:ascii="Calibri Light" w:hAnsi="Calibri Light" w:cs="Calibri Light"/>
          <w:lang w:val="fr-BE"/>
        </w:rPr>
        <w:t xml:space="preserve">au titre de la MiFID </w:t>
      </w:r>
      <w:r w:rsidRPr="00B97040">
        <w:rPr>
          <w:rFonts w:ascii="Calibri Light" w:hAnsi="Calibri Light" w:cs="Calibri Light"/>
          <w:lang w:val="fr-BE"/>
        </w:rPr>
        <w:t>II (qu'elles</w:t>
      </w:r>
      <w:r w:rsidR="00AB7317">
        <w:rPr>
          <w:rFonts w:ascii="Calibri Light" w:hAnsi="Calibri Light" w:cs="Calibri Light"/>
          <w:lang w:val="fr-BE"/>
        </w:rPr>
        <w:t xml:space="preserve"> ne doivent pas « </w:t>
      </w:r>
      <w:r w:rsidRPr="00B97040">
        <w:rPr>
          <w:rFonts w:ascii="Calibri Light" w:hAnsi="Calibri Light" w:cs="Calibri Light"/>
          <w:i/>
          <w:iCs/>
          <w:lang w:val="fr-BE"/>
        </w:rPr>
        <w:t>n</w:t>
      </w:r>
      <w:r w:rsidR="00AB7317">
        <w:rPr>
          <w:rFonts w:ascii="Calibri Light" w:hAnsi="Calibri Light" w:cs="Calibri Light"/>
          <w:i/>
          <w:iCs/>
          <w:lang w:val="fr-BE"/>
        </w:rPr>
        <w:t>uire au respect de l’obligation de l’entreprise d’investissement d’agir d’une manière honnête, équitable et professionnelle au mieux des intérêts de ses clients »</w:t>
      </w:r>
      <w:r w:rsidR="00CB4A9A">
        <w:rPr>
          <w:rFonts w:ascii="Calibri Light" w:hAnsi="Calibri Light" w:cs="Calibri Light"/>
          <w:i/>
          <w:iCs/>
          <w:lang w:val="fr-BE"/>
        </w:rPr>
        <w:t>).</w:t>
      </w:r>
      <w:r w:rsidR="00AB7317">
        <w:rPr>
          <w:rFonts w:ascii="Calibri Light" w:hAnsi="Calibri Light" w:cs="Calibri Light"/>
          <w:i/>
          <w:iCs/>
          <w:lang w:val="fr-BE"/>
        </w:rPr>
        <w:t xml:space="preserve"> </w:t>
      </w:r>
      <w:r w:rsidRPr="00B97040">
        <w:rPr>
          <w:rFonts w:ascii="Calibri Light" w:hAnsi="Calibri Light" w:cs="Calibri Light"/>
          <w:lang w:val="fr-BE"/>
        </w:rPr>
        <w:t xml:space="preserve"> Sinon, comment se fait-il que</w:t>
      </w:r>
      <w:r w:rsidR="00AB7317">
        <w:rPr>
          <w:rFonts w:ascii="Calibri Light" w:hAnsi="Calibri Light" w:cs="Calibri Light"/>
          <w:lang w:val="fr-BE"/>
        </w:rPr>
        <w:t xml:space="preserve"> ces entreprises continuent à vendre (et à « conseiller ») aux </w:t>
      </w:r>
      <w:r w:rsidRPr="00B97040">
        <w:rPr>
          <w:rFonts w:ascii="Calibri Light" w:hAnsi="Calibri Light" w:cs="Calibri Light"/>
          <w:lang w:val="fr-BE"/>
        </w:rPr>
        <w:t>citoyens</w:t>
      </w:r>
      <w:r w:rsidR="00AB7317">
        <w:rPr>
          <w:rFonts w:ascii="Calibri Light" w:hAnsi="Calibri Light" w:cs="Calibri Light"/>
          <w:lang w:val="fr-BE"/>
        </w:rPr>
        <w:t xml:space="preserve"> européens des</w:t>
      </w:r>
      <w:r w:rsidRPr="00B97040">
        <w:rPr>
          <w:rFonts w:ascii="Calibri Light" w:hAnsi="Calibri Light" w:cs="Calibri Light"/>
          <w:lang w:val="fr-BE"/>
        </w:rPr>
        <w:t xml:space="preserve"> fonds indiciels qui sont six à dix fois plus chers que leurs équivalents </w:t>
      </w:r>
      <w:r w:rsidR="00AB7317">
        <w:rPr>
          <w:rFonts w:ascii="Calibri Light" w:hAnsi="Calibri Light" w:cs="Calibri Light"/>
          <w:lang w:val="fr-BE"/>
        </w:rPr>
        <w:t xml:space="preserve">FNB, </w:t>
      </w:r>
      <w:r w:rsidRPr="00B97040">
        <w:rPr>
          <w:rFonts w:ascii="Calibri Light" w:hAnsi="Calibri Light" w:cs="Calibri Light"/>
          <w:lang w:val="fr-BE"/>
        </w:rPr>
        <w:t xml:space="preserve">malgré les nombreuses plaintes </w:t>
      </w:r>
      <w:r w:rsidR="00AB7317">
        <w:rPr>
          <w:rFonts w:ascii="Calibri Light" w:hAnsi="Calibri Light" w:cs="Calibri Light"/>
          <w:lang w:val="fr-BE"/>
        </w:rPr>
        <w:t xml:space="preserve">introduites par </w:t>
      </w:r>
      <w:r w:rsidR="00CB4A9A">
        <w:rPr>
          <w:rFonts w:ascii="Calibri Light" w:hAnsi="Calibri Light" w:cs="Calibri Light"/>
          <w:lang w:val="fr-BE"/>
        </w:rPr>
        <w:t>d</w:t>
      </w:r>
      <w:r w:rsidR="00AB7317">
        <w:rPr>
          <w:rFonts w:ascii="Calibri Light" w:hAnsi="Calibri Light" w:cs="Calibri Light"/>
          <w:lang w:val="fr-BE"/>
        </w:rPr>
        <w:t xml:space="preserve">es </w:t>
      </w:r>
      <w:r w:rsidRPr="00B97040">
        <w:rPr>
          <w:rFonts w:ascii="Calibri Light" w:hAnsi="Calibri Light" w:cs="Calibri Light"/>
          <w:lang w:val="fr-BE"/>
        </w:rPr>
        <w:t xml:space="preserve">associations d'épargnants depuis plus d'une décennie ? </w:t>
      </w:r>
      <w:r w:rsidR="00AB7317">
        <w:rPr>
          <w:lang w:val="fr-BE"/>
        </w:rPr>
        <w:t xml:space="preserve"> </w:t>
      </w:r>
    </w:p>
    <w:p w14:paraId="70EF6499" w14:textId="77777777" w:rsidR="001D110C" w:rsidRPr="00B97040" w:rsidRDefault="001D110C">
      <w:pPr>
        <w:spacing w:after="0" w:line="240" w:lineRule="auto"/>
        <w:ind w:left="360"/>
        <w:jc w:val="both"/>
        <w:rPr>
          <w:rFonts w:ascii="Calibri Light" w:hAnsi="Calibri Light" w:cs="Calibri Light"/>
          <w:lang w:val="fr-BE"/>
        </w:rPr>
      </w:pPr>
    </w:p>
    <w:p w14:paraId="70EF649A" w14:textId="2FD4996B" w:rsidR="001D110C" w:rsidRPr="00B97040" w:rsidRDefault="00B97040">
      <w:pPr>
        <w:jc w:val="both"/>
        <w:rPr>
          <w:lang w:val="fr-BE"/>
        </w:rPr>
      </w:pPr>
      <w:r w:rsidRPr="00B97040">
        <w:rPr>
          <w:rFonts w:ascii="Calibri Light" w:hAnsi="Calibri Light" w:cs="Calibri Light"/>
          <w:lang w:val="fr-BE"/>
        </w:rPr>
        <w:t xml:space="preserve">Pour Guillaume Prache, directeur général de BETTER FINANCE, </w:t>
      </w:r>
      <w:r w:rsidR="00AB7317">
        <w:rPr>
          <w:rFonts w:ascii="Calibri Light" w:hAnsi="Calibri Light" w:cs="Calibri Light"/>
          <w:lang w:val="fr-BE"/>
        </w:rPr>
        <w:t>« </w:t>
      </w:r>
      <w:r w:rsidRPr="00B97040">
        <w:rPr>
          <w:rFonts w:ascii="Calibri Light" w:hAnsi="Calibri Light" w:cs="Calibri Light"/>
          <w:i/>
          <w:iCs/>
          <w:lang w:val="fr-BE"/>
        </w:rPr>
        <w:t xml:space="preserve">la législation européenne sur la protection des investisseurs repose sur une confusion préjudiciable entre conseil et vente : les </w:t>
      </w:r>
      <w:r w:rsidR="00AB7317">
        <w:rPr>
          <w:rFonts w:ascii="Calibri Light" w:hAnsi="Calibri Light" w:cs="Calibri Light"/>
          <w:i/>
          <w:iCs/>
          <w:lang w:val="fr-BE"/>
        </w:rPr>
        <w:t>« </w:t>
      </w:r>
      <w:r w:rsidRPr="00B97040">
        <w:rPr>
          <w:rFonts w:ascii="Calibri Light" w:hAnsi="Calibri Light" w:cs="Calibri Light"/>
          <w:i/>
          <w:iCs/>
          <w:lang w:val="fr-BE"/>
        </w:rPr>
        <w:t>incitations</w:t>
      </w:r>
      <w:r w:rsidR="00AB7317">
        <w:rPr>
          <w:rFonts w:ascii="Calibri Light" w:hAnsi="Calibri Light" w:cs="Calibri Light"/>
          <w:i/>
          <w:iCs/>
          <w:lang w:val="fr-BE"/>
        </w:rPr>
        <w:t> »</w:t>
      </w:r>
      <w:r w:rsidRPr="00B97040">
        <w:rPr>
          <w:rFonts w:ascii="Calibri Light" w:hAnsi="Calibri Light" w:cs="Calibri Light"/>
          <w:i/>
          <w:iCs/>
          <w:lang w:val="fr-BE"/>
        </w:rPr>
        <w:t xml:space="preserve"> (principalement les commissions de vente) n'ont jamais </w:t>
      </w:r>
      <w:r w:rsidR="00AB7317">
        <w:rPr>
          <w:rFonts w:ascii="Calibri Light" w:hAnsi="Calibri Light" w:cs="Calibri Light"/>
          <w:i/>
          <w:iCs/>
          <w:lang w:val="fr-BE"/>
        </w:rPr>
        <w:t xml:space="preserve">rémunéré le moindre </w:t>
      </w:r>
      <w:r w:rsidRPr="00B97040">
        <w:rPr>
          <w:rFonts w:ascii="Calibri Light" w:hAnsi="Calibri Light" w:cs="Calibri Light"/>
          <w:i/>
          <w:iCs/>
          <w:u w:val="single"/>
          <w:lang w:val="fr-BE"/>
        </w:rPr>
        <w:t>conseil</w:t>
      </w:r>
      <w:r w:rsidRPr="00B97040">
        <w:rPr>
          <w:rFonts w:ascii="Calibri Light" w:hAnsi="Calibri Light" w:cs="Calibri Light"/>
          <w:i/>
          <w:iCs/>
          <w:lang w:val="fr-BE"/>
        </w:rPr>
        <w:t>, elles ne</w:t>
      </w:r>
      <w:r w:rsidR="00AB7317">
        <w:rPr>
          <w:rFonts w:ascii="Calibri Light" w:hAnsi="Calibri Light" w:cs="Calibri Light"/>
          <w:i/>
          <w:iCs/>
          <w:lang w:val="fr-BE"/>
        </w:rPr>
        <w:t xml:space="preserve"> rémunèrent que la </w:t>
      </w:r>
      <w:r w:rsidRPr="00B97040">
        <w:rPr>
          <w:rFonts w:ascii="Calibri Light" w:hAnsi="Calibri Light" w:cs="Calibri Light"/>
          <w:i/>
          <w:iCs/>
          <w:u w:val="single"/>
          <w:lang w:val="fr-BE"/>
        </w:rPr>
        <w:t>vente</w:t>
      </w:r>
      <w:r w:rsidR="00AB7317">
        <w:rPr>
          <w:rFonts w:ascii="Calibri Light" w:hAnsi="Calibri Light" w:cs="Calibri Light"/>
          <w:i/>
          <w:iCs/>
          <w:lang w:val="fr-BE"/>
        </w:rPr>
        <w:t xml:space="preserve"> de pro</w:t>
      </w:r>
      <w:r w:rsidRPr="00B97040">
        <w:rPr>
          <w:rFonts w:ascii="Calibri Light" w:hAnsi="Calibri Light" w:cs="Calibri Light"/>
          <w:i/>
          <w:iCs/>
          <w:lang w:val="fr-BE"/>
        </w:rPr>
        <w:t xml:space="preserve">duits spécifiques : </w:t>
      </w:r>
      <w:r w:rsidR="00AB7317">
        <w:rPr>
          <w:rFonts w:ascii="Calibri Light" w:hAnsi="Calibri Light" w:cs="Calibri Light"/>
          <w:i/>
          <w:iCs/>
          <w:lang w:val="fr-BE"/>
        </w:rPr>
        <w:t xml:space="preserve">si ces produits ne sont pas vendus, il n’y a aucune rémunération, que la démarche de vente soit accompagnée ou non de </w:t>
      </w:r>
      <w:r w:rsidR="002202FB">
        <w:rPr>
          <w:rFonts w:ascii="Calibri Light" w:hAnsi="Calibri Light" w:cs="Calibri Light"/>
          <w:i/>
          <w:iCs/>
          <w:lang w:val="fr-BE"/>
        </w:rPr>
        <w:t>‘</w:t>
      </w:r>
      <w:r w:rsidR="00AB7317">
        <w:rPr>
          <w:rFonts w:ascii="Calibri Light" w:hAnsi="Calibri Light" w:cs="Calibri Light"/>
          <w:i/>
          <w:iCs/>
          <w:lang w:val="fr-BE"/>
        </w:rPr>
        <w:t> conseils</w:t>
      </w:r>
      <w:r w:rsidR="002202FB">
        <w:rPr>
          <w:rFonts w:ascii="Calibri Light" w:hAnsi="Calibri Light" w:cs="Calibri Light"/>
          <w:i/>
          <w:iCs/>
          <w:lang w:val="fr-BE"/>
        </w:rPr>
        <w:t>’</w:t>
      </w:r>
      <w:r w:rsidR="00AB7317">
        <w:rPr>
          <w:rFonts w:ascii="Calibri Light" w:hAnsi="Calibri Light" w:cs="Calibri Light"/>
          <w:i/>
          <w:iCs/>
          <w:lang w:val="fr-BE"/>
        </w:rPr>
        <w:t xml:space="preserve"> ».  </w:t>
      </w:r>
    </w:p>
    <w:p w14:paraId="70EF649B" w14:textId="24E0DA39" w:rsidR="001D110C" w:rsidRDefault="00B97040">
      <w:pPr>
        <w:jc w:val="both"/>
        <w:rPr>
          <w:rFonts w:ascii="Calibri Light" w:hAnsi="Calibri Light" w:cs="Calibri Light"/>
          <w:lang w:val="fr-BE"/>
        </w:rPr>
      </w:pPr>
      <w:r w:rsidRPr="00B97040">
        <w:rPr>
          <w:rFonts w:ascii="Calibri Light" w:hAnsi="Calibri Light" w:cs="Calibri Light"/>
          <w:lang w:val="fr-BE"/>
        </w:rPr>
        <w:t>BETTER FINANCE demande une interdiction totale des incitations, non seulement pour les produits d'investissement relevant du champ d'application de la M</w:t>
      </w:r>
      <w:r w:rsidR="00AB7317">
        <w:rPr>
          <w:rFonts w:ascii="Calibri Light" w:hAnsi="Calibri Light" w:cs="Calibri Light"/>
          <w:lang w:val="fr-BE"/>
        </w:rPr>
        <w:t>i</w:t>
      </w:r>
      <w:r w:rsidRPr="00B97040">
        <w:rPr>
          <w:rFonts w:ascii="Calibri Light" w:hAnsi="Calibri Light" w:cs="Calibri Light"/>
          <w:lang w:val="fr-BE"/>
        </w:rPr>
        <w:t xml:space="preserve">FID II (principalement les fonds d'investissement, qui ne représentent qu'environ 8 % de l'épargne financière des ménages), mais aussi pour tous les autres produits d'investissement </w:t>
      </w:r>
      <w:r w:rsidR="00AB7317">
        <w:rPr>
          <w:rFonts w:ascii="Calibri Light" w:hAnsi="Calibri Light" w:cs="Calibri Light"/>
          <w:lang w:val="fr-BE"/>
        </w:rPr>
        <w:t>« </w:t>
      </w:r>
      <w:r w:rsidRPr="00B97040">
        <w:rPr>
          <w:rFonts w:ascii="Calibri Light" w:hAnsi="Calibri Light" w:cs="Calibri Light"/>
          <w:lang w:val="fr-BE"/>
        </w:rPr>
        <w:t>de détail</w:t>
      </w:r>
      <w:r w:rsidR="00AB7317">
        <w:rPr>
          <w:rFonts w:ascii="Calibri Light" w:hAnsi="Calibri Light" w:cs="Calibri Light"/>
          <w:lang w:val="fr-BE"/>
        </w:rPr>
        <w:t> »</w:t>
      </w:r>
      <w:r w:rsidRPr="00B97040">
        <w:rPr>
          <w:rFonts w:ascii="Calibri Light" w:hAnsi="Calibri Light" w:cs="Calibri Light"/>
          <w:lang w:val="fr-BE"/>
        </w:rPr>
        <w:t xml:space="preserve"> tels que les </w:t>
      </w:r>
      <w:r w:rsidR="00AB7317">
        <w:rPr>
          <w:rFonts w:ascii="Calibri Light" w:hAnsi="Calibri Light" w:cs="Calibri Light"/>
          <w:lang w:val="fr-BE"/>
        </w:rPr>
        <w:t>« I</w:t>
      </w:r>
      <w:r w:rsidRPr="00B97040">
        <w:rPr>
          <w:rFonts w:ascii="Calibri Light" w:hAnsi="Calibri Light" w:cs="Calibri Light"/>
          <w:lang w:val="fr-BE"/>
        </w:rPr>
        <w:t>BIP</w:t>
      </w:r>
      <w:r w:rsidR="00AB7317">
        <w:rPr>
          <w:rFonts w:ascii="Calibri Light" w:hAnsi="Calibri Light" w:cs="Calibri Light"/>
          <w:lang w:val="fr-BE"/>
        </w:rPr>
        <w:t> »</w:t>
      </w:r>
      <w:r w:rsidRPr="00B97040">
        <w:rPr>
          <w:rFonts w:ascii="Calibri Light" w:hAnsi="Calibri Light" w:cs="Calibri Light"/>
          <w:lang w:val="fr-BE"/>
        </w:rPr>
        <w:t xml:space="preserve"> (produits d'investissement </w:t>
      </w:r>
      <w:r w:rsidR="00AB7317">
        <w:rPr>
          <w:rFonts w:ascii="Calibri Light" w:hAnsi="Calibri Light" w:cs="Calibri Light"/>
          <w:lang w:val="fr-BE"/>
        </w:rPr>
        <w:t xml:space="preserve">fondés sur </w:t>
      </w:r>
      <w:r w:rsidRPr="00B97040">
        <w:rPr>
          <w:rFonts w:ascii="Calibri Light" w:hAnsi="Calibri Light" w:cs="Calibri Light"/>
          <w:lang w:val="fr-BE"/>
        </w:rPr>
        <w:t>l'assurance) et les produits</w:t>
      </w:r>
      <w:r w:rsidR="00AB7317">
        <w:rPr>
          <w:rFonts w:ascii="Calibri Light" w:hAnsi="Calibri Light" w:cs="Calibri Light"/>
          <w:lang w:val="fr-BE"/>
        </w:rPr>
        <w:t xml:space="preserve"> d’épargne-retraite pe</w:t>
      </w:r>
      <w:r w:rsidRPr="00B97040">
        <w:rPr>
          <w:rFonts w:ascii="Calibri Light" w:hAnsi="Calibri Light" w:cs="Calibri Light"/>
          <w:lang w:val="fr-BE"/>
        </w:rPr>
        <w:t xml:space="preserve">rsonnelle, qui, </w:t>
      </w:r>
      <w:r w:rsidR="00AB7317">
        <w:rPr>
          <w:rFonts w:ascii="Calibri Light" w:hAnsi="Calibri Light" w:cs="Calibri Light"/>
          <w:lang w:val="fr-BE"/>
        </w:rPr>
        <w:t xml:space="preserve">ensemble, sont </w:t>
      </w:r>
      <w:r w:rsidRPr="00B97040">
        <w:rPr>
          <w:rFonts w:ascii="Calibri Light" w:hAnsi="Calibri Light" w:cs="Calibri Light"/>
          <w:lang w:val="fr-BE"/>
        </w:rPr>
        <w:t xml:space="preserve">cinq fois plus importants. </w:t>
      </w:r>
      <w:r w:rsidR="009A244D">
        <w:rPr>
          <w:rFonts w:ascii="Calibri Light" w:hAnsi="Calibri Light" w:cs="Calibri Light"/>
          <w:lang w:val="fr-BE"/>
        </w:rPr>
        <w:t xml:space="preserve">Cette </w:t>
      </w:r>
      <w:r w:rsidRPr="00B97040">
        <w:rPr>
          <w:rFonts w:ascii="Calibri Light" w:hAnsi="Calibri Light" w:cs="Calibri Light"/>
          <w:lang w:val="fr-BE"/>
        </w:rPr>
        <w:t xml:space="preserve">incohérence grave et préjudiciable </w:t>
      </w:r>
      <w:r w:rsidR="00CB4A9A">
        <w:rPr>
          <w:rFonts w:ascii="Calibri Light" w:hAnsi="Calibri Light" w:cs="Calibri Light"/>
          <w:lang w:val="fr-BE"/>
        </w:rPr>
        <w:t>au niveau des</w:t>
      </w:r>
      <w:r w:rsidRPr="00B97040">
        <w:rPr>
          <w:rFonts w:ascii="Calibri Light" w:hAnsi="Calibri Light" w:cs="Calibri Light"/>
          <w:lang w:val="fr-BE"/>
        </w:rPr>
        <w:t xml:space="preserve"> règles européennes de protection des investisseurs</w:t>
      </w:r>
      <w:r w:rsidR="009A244D">
        <w:rPr>
          <w:rFonts w:ascii="Calibri Light" w:hAnsi="Calibri Light" w:cs="Calibri Light"/>
          <w:lang w:val="fr-BE"/>
        </w:rPr>
        <w:t xml:space="preserve"> crée à elle seule des opportunités d’arbitrage réglementaire massif.   </w:t>
      </w:r>
    </w:p>
    <w:p w14:paraId="3A0C3824" w14:textId="0334723E" w:rsidR="009A244D" w:rsidRDefault="009A244D">
      <w:pPr>
        <w:jc w:val="both"/>
        <w:rPr>
          <w:rFonts w:ascii="Calibri Light" w:hAnsi="Calibri Light" w:cs="Calibri Light"/>
          <w:lang w:val="fr-BE"/>
        </w:rPr>
      </w:pPr>
    </w:p>
    <w:p w14:paraId="0E0F62E9" w14:textId="77504773" w:rsidR="009A244D" w:rsidRPr="00B97040" w:rsidRDefault="009A244D">
      <w:pPr>
        <w:jc w:val="both"/>
        <w:rPr>
          <w:lang w:val="fr-BE"/>
        </w:rPr>
      </w:pPr>
      <w:r>
        <w:rPr>
          <w:rFonts w:ascii="Calibri Light" w:hAnsi="Calibri Light" w:cs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1EFC0" wp14:editId="59E78505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5715000" cy="3929380"/>
                <wp:effectExtent l="0" t="0" r="19050" b="139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92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523976" w14:textId="0AF657AD" w:rsidR="009A244D" w:rsidRPr="00B97040" w:rsidRDefault="009A244D" w:rsidP="009A244D">
                            <w:pPr>
                              <w:rPr>
                                <w:rFonts w:ascii="Calibri Light" w:hAnsi="Calibri Light" w:cs="Calibri Light"/>
                                <w:lang w:val="fr-BE"/>
                              </w:rPr>
                            </w:pP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Si les lobb</w:t>
                            </w:r>
                            <w:r w:rsidR="00CB4A9A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ys 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financiers s’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avèrent une fois de plus trop puissants pour que les autorités de l'UE interdisent totalement les incitations - même si les autorités du Royaume-Uni et des Pays-Bas y sont parvenues - nous demandons au 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minimum : </w:t>
                            </w:r>
                          </w:p>
                          <w:p w14:paraId="10735E9F" w14:textId="03947309" w:rsidR="009A244D" w:rsidRPr="00B97040" w:rsidRDefault="009A244D" w:rsidP="009A24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 Light" w:hAnsi="Calibri Light" w:cs="Calibri Light"/>
                                <w:lang w:val="fr-BE"/>
                              </w:rPr>
                            </w:pP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L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’application des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interdictions spécifiques 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déjà inscrites dans la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M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i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FID II à tous les produits d'investissement substituables afin de garantir une protection cohérente des investisseurs pour tous les produits d'investissement 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« 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de détail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 » et l’interdiction de</w:t>
                            </w:r>
                            <w:r w:rsidR="00706F3C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l'arbitrage réglementaire, en étendant aux IBIP et aux 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produits d’épargne-retraite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personnelle</w:t>
                            </w:r>
                            <w:r w:rsidR="00706F3C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l'interdiction actuelle des incitations pour les conseillers indépendants et pour la gestion de portefeuille (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ce qui nécessiterait de modifier la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directive sur la distribution d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’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assurances): L'AEMF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estime en effet elle aussi que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des produits d'investissement similaires devraient être soumis aux mêmes règles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en ce qui concerne les incitations ; </w:t>
                            </w:r>
                          </w:p>
                          <w:p w14:paraId="3501B9AD" w14:textId="2452B986" w:rsidR="009A244D" w:rsidRPr="00B97040" w:rsidRDefault="00CB4A9A" w:rsidP="009A24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 Light" w:hAnsi="Calibri Light" w:cs="Calibri Light"/>
                                <w:lang w:val="fr-BE"/>
                              </w:rPr>
                            </w:pP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L’extension</w:t>
                            </w:r>
                            <w:r w:rsidR="009A244D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de l’interdiction actuelle </w:t>
                            </w:r>
                            <w:r w:rsidR="009A244D"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aux</w:t>
                            </w:r>
                            <w:r w:rsidR="009A244D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opérations de simple exécution qui</w:t>
                            </w: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, par définition,</w:t>
                            </w:r>
                            <w:r w:rsidR="009A244D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ne sont assorties d’aucun « conseil » à rémunérer </w:t>
                            </w:r>
                            <w:r w:rsidR="0041009F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(</w:t>
                            </w:r>
                            <w:r w:rsidR="009A244D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ce qui a été fait au</w:t>
                            </w:r>
                            <w:r w:rsidR="00706F3C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</w:t>
                            </w:r>
                            <w:r w:rsidR="009A244D"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Canada</w:t>
                            </w:r>
                            <w:r w:rsidR="0041009F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)</w:t>
                            </w:r>
                            <w:r w:rsidR="009A244D"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: il n'y a pas de raison de maintenir des commissions pour ces transactions ;</w:t>
                            </w:r>
                          </w:p>
                          <w:p w14:paraId="1E3CF95E" w14:textId="48339E32" w:rsidR="009A244D" w:rsidRPr="00B97040" w:rsidRDefault="009A244D" w:rsidP="009A24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 Light" w:hAnsi="Calibri Light" w:cs="Calibri Light"/>
                                <w:lang w:val="fr-B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l’élimination des o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bstacles actuels au conseil indépendant (les conseillers indépendants doivent pouvoir </w:t>
                            </w:r>
                            <w:r w:rsidR="00510F8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avoir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facilement </w:t>
                            </w:r>
                            <w:r w:rsidR="00510F8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accès aux parts de fonds « clean share » sans se faire facturer par les</w:t>
                            </w:r>
                            <w:r w:rsidR="00706F3C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dépositaires ou les plateformes de fonds</w:t>
                            </w:r>
                            <w:r w:rsidR="00510F8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les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frais d'entrée maximum (qui ne sont</w:t>
                            </w:r>
                            <w:r w:rsidR="0041009F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 xml:space="preserve"> pas exigés par/pour les </w:t>
                            </w:r>
                            <w:r w:rsidRPr="00B97040">
                              <w:rPr>
                                <w:rFonts w:ascii="Calibri Light" w:hAnsi="Calibri Light" w:cs="Calibri Light"/>
                                <w:lang w:val="fr-BE"/>
                              </w:rPr>
                              <w:t>gestionnaires de fonds).</w:t>
                            </w:r>
                            <w:r w:rsidR="00706F3C"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1E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6pt;width:450pt;height:309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" strokeweight=".26467mm">
                <v:textbox>
                  <w:txbxContent>
                    <w:p w14:paraId="7F523976" w14:textId="0AF657AD" w:rsidR="009A244D" w:rsidRPr="00B97040" w:rsidRDefault="009A244D" w:rsidP="009A244D">
                      <w:pPr>
                        <w:rPr>
                          <w:rFonts w:ascii="Calibri Light" w:hAnsi="Calibri Light" w:cs="Calibri Light"/>
                          <w:lang w:val="fr-BE"/>
                        </w:rPr>
                      </w:pP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Si les lobb</w:t>
                      </w:r>
                      <w:r w:rsidR="00CB4A9A">
                        <w:rPr>
                          <w:rFonts w:ascii="Calibri Light" w:hAnsi="Calibri Light" w:cs="Calibri Light"/>
                          <w:lang w:val="fr-BE"/>
                        </w:rPr>
                        <w:t xml:space="preserve">ys 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>financiers s’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 xml:space="preserve">avèrent une fois de plus trop puissants pour que les autorités de l'UE interdisent totalement les incitations - même si les autorités du Royaume-Uni et des Pays-Bas y sont parvenues - nous demandons au 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 xml:space="preserve">minimum : </w:t>
                      </w:r>
                    </w:p>
                    <w:p w14:paraId="10735E9F" w14:textId="03947309" w:rsidR="009A244D" w:rsidRPr="00B97040" w:rsidRDefault="009A244D" w:rsidP="009A24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alibri Light" w:hAnsi="Calibri Light" w:cs="Calibri Light"/>
                          <w:lang w:val="fr-BE"/>
                        </w:rPr>
                      </w:pP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L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 xml:space="preserve">’application des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 xml:space="preserve">interdictions spécifiques 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 xml:space="preserve">déjà inscrites dans la </w:t>
                      </w:r>
                      <w:proofErr w:type="spellStart"/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M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>i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FID</w:t>
                      </w:r>
                      <w:proofErr w:type="spellEnd"/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 xml:space="preserve"> II à tous les produits d'investissement substituables afin de garantir une protection cohérente des investisseurs pour tous les produits d'investissement 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>« 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de détail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> » et l’interdiction de</w:t>
                      </w:r>
                      <w:r w:rsidR="00706F3C">
                        <w:rPr>
                          <w:rFonts w:ascii="Calibri Light" w:hAnsi="Calibri Light" w:cs="Calibri Light"/>
                          <w:lang w:val="fr-BE"/>
                        </w:rPr>
                        <w:t xml:space="preserve">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 xml:space="preserve">l'arbitrage réglementaire, en étendant aux IBIP et aux 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 xml:space="preserve">produits d’épargne-retraite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personnelle</w:t>
                      </w:r>
                      <w:r w:rsidR="00706F3C">
                        <w:rPr>
                          <w:rFonts w:ascii="Calibri Light" w:hAnsi="Calibri Light" w:cs="Calibri Light"/>
                          <w:lang w:val="fr-BE"/>
                        </w:rPr>
                        <w:t xml:space="preserve">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l'interdiction actuelle des incitations pour les conseillers indépendants et pour la gestion de portefeuille (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 xml:space="preserve">ce qui nécessiterait de modifier la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directive sur la distribution d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>’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assurances): L'AEMF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 xml:space="preserve"> estime en effet elle aussi que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des produits d'investissement similaires devraient être soumis aux mêmes règles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 xml:space="preserve"> en ce qui concerne les incitations ; </w:t>
                      </w:r>
                    </w:p>
                    <w:p w14:paraId="3501B9AD" w14:textId="2452B986" w:rsidR="009A244D" w:rsidRPr="00B97040" w:rsidRDefault="00CB4A9A" w:rsidP="009A24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alibri Light" w:hAnsi="Calibri Light" w:cs="Calibri Light"/>
                          <w:lang w:val="fr-BE"/>
                        </w:rPr>
                      </w:pP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L’extension</w:t>
                      </w:r>
                      <w:r w:rsidR="009A244D">
                        <w:rPr>
                          <w:rFonts w:ascii="Calibri Light" w:hAnsi="Calibri Light" w:cs="Calibri Light"/>
                          <w:lang w:val="fr-BE"/>
                        </w:rPr>
                        <w:t xml:space="preserve"> de l’interdiction actuelle </w:t>
                      </w:r>
                      <w:r w:rsidR="009A244D" w:rsidRPr="00B97040">
                        <w:rPr>
                          <w:rFonts w:ascii="Calibri Light" w:hAnsi="Calibri Light" w:cs="Calibri Light"/>
                          <w:lang w:val="fr-BE"/>
                        </w:rPr>
                        <w:t>aux</w:t>
                      </w:r>
                      <w:r w:rsidR="009A244D">
                        <w:rPr>
                          <w:rFonts w:ascii="Calibri Light" w:hAnsi="Calibri Light" w:cs="Calibri Light"/>
                          <w:lang w:val="fr-BE"/>
                        </w:rPr>
                        <w:t xml:space="preserve"> opérations de simple exécution qui</w:t>
                      </w: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>, par définition,</w:t>
                      </w:r>
                      <w:r w:rsidR="009A244D">
                        <w:rPr>
                          <w:rFonts w:ascii="Calibri Light" w:hAnsi="Calibri Light" w:cs="Calibri Light"/>
                          <w:lang w:val="fr-BE"/>
                        </w:rPr>
                        <w:t xml:space="preserve"> ne sont assorties d’aucun « conseil » à rémunérer </w:t>
                      </w:r>
                      <w:r w:rsidR="0041009F">
                        <w:rPr>
                          <w:rFonts w:ascii="Calibri Light" w:hAnsi="Calibri Light" w:cs="Calibri Light"/>
                          <w:lang w:val="fr-BE"/>
                        </w:rPr>
                        <w:t>(</w:t>
                      </w:r>
                      <w:r w:rsidR="009A244D">
                        <w:rPr>
                          <w:rFonts w:ascii="Calibri Light" w:hAnsi="Calibri Light" w:cs="Calibri Light"/>
                          <w:lang w:val="fr-BE"/>
                        </w:rPr>
                        <w:t>ce qui a été fait au</w:t>
                      </w:r>
                      <w:r w:rsidR="00706F3C">
                        <w:rPr>
                          <w:rFonts w:ascii="Calibri Light" w:hAnsi="Calibri Light" w:cs="Calibri Light"/>
                          <w:lang w:val="fr-BE"/>
                        </w:rPr>
                        <w:t xml:space="preserve"> </w:t>
                      </w:r>
                      <w:r w:rsidR="009A244D" w:rsidRPr="00B97040">
                        <w:rPr>
                          <w:rFonts w:ascii="Calibri Light" w:hAnsi="Calibri Light" w:cs="Calibri Light"/>
                          <w:lang w:val="fr-BE"/>
                        </w:rPr>
                        <w:t>Canada</w:t>
                      </w:r>
                      <w:r w:rsidR="0041009F">
                        <w:rPr>
                          <w:rFonts w:ascii="Calibri Light" w:hAnsi="Calibri Light" w:cs="Calibri Light"/>
                          <w:lang w:val="fr-BE"/>
                        </w:rPr>
                        <w:t>)</w:t>
                      </w:r>
                      <w:r w:rsidR="009A244D" w:rsidRPr="00B97040">
                        <w:rPr>
                          <w:rFonts w:ascii="Calibri Light" w:hAnsi="Calibri Light" w:cs="Calibri Light"/>
                          <w:lang w:val="fr-BE"/>
                        </w:rPr>
                        <w:t xml:space="preserve"> : il n'y a pas de raison de maintenir des commissions pour ces transactions ;</w:t>
                      </w:r>
                    </w:p>
                    <w:p w14:paraId="1E3CF95E" w14:textId="48339E32" w:rsidR="009A244D" w:rsidRPr="00B97040" w:rsidRDefault="009A244D" w:rsidP="009A24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alibri Light" w:hAnsi="Calibri Light" w:cs="Calibri Light"/>
                          <w:lang w:val="fr-BE"/>
                        </w:rPr>
                      </w:pPr>
                      <w:r>
                        <w:rPr>
                          <w:rFonts w:ascii="Calibri Light" w:hAnsi="Calibri Light" w:cs="Calibri Light"/>
                          <w:lang w:val="fr-BE"/>
                        </w:rPr>
                        <w:t>l’élimination des o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 xml:space="preserve">bstacles actuels au conseil indépendant (les conseillers indépendants doivent pouvoir </w:t>
                      </w:r>
                      <w:r w:rsidR="00510F80">
                        <w:rPr>
                          <w:rFonts w:ascii="Calibri Light" w:hAnsi="Calibri Light" w:cs="Calibri Light"/>
                          <w:lang w:val="fr-BE"/>
                        </w:rPr>
                        <w:t xml:space="preserve">avoir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 xml:space="preserve">facilement </w:t>
                      </w:r>
                      <w:r w:rsidR="00510F80">
                        <w:rPr>
                          <w:rFonts w:ascii="Calibri Light" w:hAnsi="Calibri Light" w:cs="Calibri Light"/>
                          <w:lang w:val="fr-BE"/>
                        </w:rPr>
                        <w:t xml:space="preserve">accès aux parts de fonds « clean </w:t>
                      </w:r>
                      <w:proofErr w:type="spellStart"/>
                      <w:r w:rsidR="00510F80">
                        <w:rPr>
                          <w:rFonts w:ascii="Calibri Light" w:hAnsi="Calibri Light" w:cs="Calibri Light"/>
                          <w:lang w:val="fr-BE"/>
                        </w:rPr>
                        <w:t>share</w:t>
                      </w:r>
                      <w:proofErr w:type="spellEnd"/>
                      <w:r w:rsidR="00510F80">
                        <w:rPr>
                          <w:rFonts w:ascii="Calibri Light" w:hAnsi="Calibri Light" w:cs="Calibri Light"/>
                          <w:lang w:val="fr-BE"/>
                        </w:rPr>
                        <w:t> » sans se faire facturer par les</w:t>
                      </w:r>
                      <w:r w:rsidR="00706F3C">
                        <w:rPr>
                          <w:rFonts w:ascii="Calibri Light" w:hAnsi="Calibri Light" w:cs="Calibri Light"/>
                          <w:lang w:val="fr-BE"/>
                        </w:rPr>
                        <w:t xml:space="preserve">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dépositaires ou les plateformes de fonds</w:t>
                      </w:r>
                      <w:r w:rsidR="00510F80">
                        <w:rPr>
                          <w:rFonts w:ascii="Calibri Light" w:hAnsi="Calibri Light" w:cs="Calibri Light"/>
                          <w:lang w:val="fr-BE"/>
                        </w:rPr>
                        <w:t xml:space="preserve"> les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frais d'entrée maximum (qui ne sont</w:t>
                      </w:r>
                      <w:r w:rsidR="0041009F">
                        <w:rPr>
                          <w:rFonts w:ascii="Calibri Light" w:hAnsi="Calibri Light" w:cs="Calibri Light"/>
                          <w:lang w:val="fr-BE"/>
                        </w:rPr>
                        <w:t xml:space="preserve"> pas exigés par/pour les </w:t>
                      </w:r>
                      <w:r w:rsidRPr="00B97040">
                        <w:rPr>
                          <w:rFonts w:ascii="Calibri Light" w:hAnsi="Calibri Light" w:cs="Calibri Light"/>
                          <w:lang w:val="fr-BE"/>
                        </w:rPr>
                        <w:t>gestionnaires de fonds).</w:t>
                      </w:r>
                      <w:r w:rsidR="00706F3C">
                        <w:rPr>
                          <w:rStyle w:val="Heade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EF649C" w14:textId="77777777" w:rsidR="001D110C" w:rsidRPr="00B97040" w:rsidRDefault="00B97040">
      <w:pPr>
        <w:spacing w:after="0" w:line="264" w:lineRule="auto"/>
        <w:jc w:val="center"/>
        <w:rPr>
          <w:rFonts w:ascii="Calibri Light" w:hAnsi="Calibri Light" w:cs="Calibri Light"/>
          <w:lang w:val="fr-BE"/>
        </w:rPr>
      </w:pPr>
      <w:r w:rsidRPr="00B97040">
        <w:rPr>
          <w:rFonts w:ascii="Calibri Light" w:hAnsi="Calibri Light" w:cs="Calibri Light"/>
          <w:lang w:val="fr-BE"/>
        </w:rPr>
        <w:t>***</w:t>
      </w:r>
    </w:p>
    <w:p w14:paraId="70EF649D" w14:textId="77777777" w:rsidR="001D110C" w:rsidRPr="00B97040" w:rsidRDefault="00B97040">
      <w:pPr>
        <w:pStyle w:val="BodyText"/>
        <w:spacing w:before="120" w:after="0" w:line="30" w:lineRule="atLeast"/>
        <w:jc w:val="center"/>
        <w:rPr>
          <w:lang w:val="fr-BE"/>
        </w:rPr>
      </w:pPr>
      <w:r w:rsidRPr="00B97040">
        <w:rPr>
          <w:rFonts w:ascii="Calibri Light" w:hAnsi="Calibri Light" w:cs="Calibri Light"/>
          <w:sz w:val="18"/>
          <w:szCs w:val="18"/>
          <w:u w:val="single"/>
          <w:lang w:val="fr-BE"/>
        </w:rPr>
        <w:t xml:space="preserve">Contact </w:t>
      </w:r>
      <w:r w:rsidRPr="00B97040">
        <w:rPr>
          <w:rFonts w:ascii="Calibri Light" w:hAnsi="Calibri Light" w:cs="Calibri Light"/>
          <w:sz w:val="18"/>
          <w:szCs w:val="18"/>
          <w:lang w:val="fr-BE"/>
        </w:rPr>
        <w:t xml:space="preserve">: Directeur de la communication ǀ Arnaud Houdmont ǀ +32 (0)2 514 37 77 ǀ </w:t>
      </w:r>
      <w:hyperlink r:id="rId11" w:history="1">
        <w:r w:rsidRPr="00B97040">
          <w:rPr>
            <w:rStyle w:val="Hyperlink"/>
            <w:rFonts w:ascii="Calibri Light" w:hAnsi="Calibri Light" w:cs="Calibri Light"/>
            <w:sz w:val="18"/>
            <w:szCs w:val="18"/>
            <w:lang w:val="fr-BE"/>
          </w:rPr>
          <w:t>houdmont@betterfinance.eu</w:t>
        </w:r>
      </w:hyperlink>
    </w:p>
    <w:sectPr w:rsidR="001D110C" w:rsidRPr="00B970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F649B" w14:textId="77777777" w:rsidR="00B13172" w:rsidRDefault="00B97040">
      <w:pPr>
        <w:spacing w:after="0" w:line="240" w:lineRule="auto"/>
      </w:pPr>
      <w:r>
        <w:separator/>
      </w:r>
    </w:p>
  </w:endnote>
  <w:endnote w:type="continuationSeparator" w:id="0">
    <w:p w14:paraId="70EF649D" w14:textId="77777777" w:rsidR="00B13172" w:rsidRDefault="00B9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7931" w14:textId="77777777" w:rsidR="002202FB" w:rsidRDefault="00220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64A4" w14:textId="26F9D472" w:rsidR="003E2729" w:rsidRPr="00B97040" w:rsidRDefault="00B97040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fr-BE"/>
      </w:rPr>
    </w:pPr>
    <w:r w:rsidRPr="00B97040">
      <w:rPr>
        <w:b/>
        <w:color w:val="006FB4"/>
        <w:sz w:val="16"/>
        <w:szCs w:val="16"/>
        <w:lang w:val="fr-BE"/>
      </w:rPr>
      <w:t xml:space="preserve">Fédération </w:t>
    </w:r>
    <w:r w:rsidR="00D61309">
      <w:rPr>
        <w:b/>
        <w:color w:val="006FB4"/>
        <w:sz w:val="16"/>
        <w:szCs w:val="16"/>
        <w:lang w:val="fr-BE"/>
      </w:rPr>
      <w:t>E</w:t>
    </w:r>
    <w:r w:rsidRPr="00B97040">
      <w:rPr>
        <w:b/>
        <w:color w:val="006FB4"/>
        <w:sz w:val="16"/>
        <w:szCs w:val="16"/>
        <w:lang w:val="fr-BE"/>
      </w:rPr>
      <w:t xml:space="preserve">uropéenne des </w:t>
    </w:r>
    <w:r w:rsidR="00D61309">
      <w:rPr>
        <w:b/>
        <w:color w:val="006FB4"/>
        <w:sz w:val="16"/>
        <w:szCs w:val="16"/>
        <w:lang w:val="fr-BE"/>
      </w:rPr>
      <w:t>I</w:t>
    </w:r>
    <w:r w:rsidRPr="00B97040">
      <w:rPr>
        <w:b/>
        <w:color w:val="006FB4"/>
        <w:sz w:val="16"/>
        <w:szCs w:val="16"/>
        <w:lang w:val="fr-BE"/>
      </w:rPr>
      <w:t xml:space="preserve">nvestisseurs et </w:t>
    </w:r>
    <w:r w:rsidR="00D61309">
      <w:rPr>
        <w:b/>
        <w:color w:val="006FB4"/>
        <w:sz w:val="16"/>
        <w:szCs w:val="16"/>
        <w:lang w:val="fr-BE"/>
      </w:rPr>
      <w:t xml:space="preserve">Usagers </w:t>
    </w:r>
    <w:r w:rsidRPr="00B97040">
      <w:rPr>
        <w:b/>
        <w:color w:val="006FB4"/>
        <w:sz w:val="16"/>
        <w:szCs w:val="16"/>
        <w:lang w:val="fr-BE"/>
      </w:rPr>
      <w:t>de</w:t>
    </w:r>
    <w:r w:rsidR="002202FB">
      <w:rPr>
        <w:b/>
        <w:color w:val="006FB4"/>
        <w:sz w:val="16"/>
        <w:szCs w:val="16"/>
        <w:lang w:val="fr-BE"/>
      </w:rPr>
      <w:t>s</w:t>
    </w:r>
    <w:r w:rsidRPr="00B97040">
      <w:rPr>
        <w:b/>
        <w:color w:val="006FB4"/>
        <w:sz w:val="16"/>
        <w:szCs w:val="16"/>
        <w:lang w:val="fr-BE"/>
      </w:rPr>
      <w:t xml:space="preserve"> </w:t>
    </w:r>
    <w:r w:rsidR="00D61309">
      <w:rPr>
        <w:b/>
        <w:color w:val="006FB4"/>
        <w:sz w:val="16"/>
        <w:szCs w:val="16"/>
        <w:lang w:val="fr-BE"/>
      </w:rPr>
      <w:t>S</w:t>
    </w:r>
    <w:r w:rsidRPr="00B97040">
      <w:rPr>
        <w:b/>
        <w:color w:val="006FB4"/>
        <w:sz w:val="16"/>
        <w:szCs w:val="16"/>
        <w:lang w:val="fr-BE"/>
      </w:rPr>
      <w:t xml:space="preserve">ervices </w:t>
    </w:r>
    <w:r w:rsidR="00D61309">
      <w:rPr>
        <w:b/>
        <w:color w:val="006FB4"/>
        <w:sz w:val="16"/>
        <w:szCs w:val="16"/>
        <w:lang w:val="fr-BE"/>
      </w:rPr>
      <w:t>F</w:t>
    </w:r>
    <w:r w:rsidRPr="00B97040">
      <w:rPr>
        <w:b/>
        <w:color w:val="006FB4"/>
        <w:sz w:val="16"/>
        <w:szCs w:val="16"/>
        <w:lang w:val="fr-BE"/>
      </w:rPr>
      <w:t>inanciers</w:t>
    </w:r>
  </w:p>
  <w:p w14:paraId="70EF64A5" w14:textId="77777777" w:rsidR="003E2729" w:rsidRDefault="00B97040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>44, Rue d'Arenberg, 1000 Bruxelles - Belgique</w:t>
    </w:r>
  </w:p>
  <w:p w14:paraId="70EF64A6" w14:textId="77777777" w:rsidR="003E2729" w:rsidRDefault="00B97040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Tél.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70EF64A7" w14:textId="77777777" w:rsidR="003E2729" w:rsidRDefault="00B97040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 : info@betterfinance.eu - </w:t>
    </w:r>
    <w:bookmarkStart w:id="1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779D7" w14:textId="77777777" w:rsidR="002202FB" w:rsidRDefault="00220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F6497" w14:textId="77777777" w:rsidR="00B13172" w:rsidRDefault="00B970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EF6499" w14:textId="77777777" w:rsidR="00B13172" w:rsidRDefault="00B97040">
      <w:pPr>
        <w:spacing w:after="0" w:line="240" w:lineRule="auto"/>
      </w:pPr>
      <w:r>
        <w:continuationSeparator/>
      </w:r>
    </w:p>
  </w:footnote>
  <w:footnote w:id="1">
    <w:p w14:paraId="08867F70" w14:textId="2E720AA0" w:rsidR="00C73FD8" w:rsidRPr="00D61309" w:rsidRDefault="00C73FD8" w:rsidP="00C73FD8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97040">
        <w:rPr>
          <w:rFonts w:ascii="Calibri Light" w:hAnsi="Calibri Light" w:cs="Calibri Light"/>
          <w:lang w:val="fr-BE"/>
        </w:rPr>
        <w:t xml:space="preserve"> </w:t>
      </w:r>
      <w:r w:rsidR="00D61309">
        <w:rPr>
          <w:rFonts w:ascii="Calibri Light" w:hAnsi="Calibri Light" w:cs="Calibri Light"/>
          <w:lang w:val="fr-FR"/>
        </w:rPr>
        <w:t>« </w:t>
      </w:r>
      <w:r w:rsidRPr="00D61309">
        <w:rPr>
          <w:rFonts w:ascii="Calibri Light" w:hAnsi="Calibri Light" w:cs="Calibri Light"/>
          <w:lang w:val="fr-FR"/>
        </w:rPr>
        <w:t>Incitations</w:t>
      </w:r>
      <w:r w:rsidR="00D61309">
        <w:rPr>
          <w:rFonts w:ascii="Calibri Light" w:hAnsi="Calibri Light" w:cs="Calibri Light"/>
          <w:lang w:val="fr-FR"/>
        </w:rPr>
        <w:t> »</w:t>
      </w:r>
      <w:r w:rsidRPr="00D61309">
        <w:rPr>
          <w:rFonts w:ascii="Calibri Light" w:hAnsi="Calibri Light" w:cs="Calibri Light"/>
          <w:lang w:val="fr-FR"/>
        </w:rPr>
        <w:t xml:space="preserve"> est le terme juridique </w:t>
      </w:r>
      <w:r w:rsidR="00D61309">
        <w:rPr>
          <w:rFonts w:ascii="Calibri Light" w:hAnsi="Calibri Light" w:cs="Calibri Light"/>
          <w:lang w:val="fr-FR"/>
        </w:rPr>
        <w:t xml:space="preserve">vague </w:t>
      </w:r>
      <w:r w:rsidRPr="00D61309">
        <w:rPr>
          <w:rFonts w:ascii="Calibri Light" w:hAnsi="Calibri Light" w:cs="Calibri Light"/>
          <w:lang w:val="fr-FR"/>
        </w:rPr>
        <w:t>utilisé dans le droit communautaire pour désigner les avantages (essentiellement des commissions) versés par les fournisseurs aux distributeurs pour la vente de certains de leurs produits d'investissement.</w:t>
      </w:r>
    </w:p>
  </w:footnote>
  <w:footnote w:id="2">
    <w:p w14:paraId="70EF649A" w14:textId="3D4476FF" w:rsidR="001D110C" w:rsidRPr="00D61309" w:rsidRDefault="00B97040">
      <w:pPr>
        <w:pStyle w:val="FootnoteText"/>
        <w:rPr>
          <w:lang w:val="fr-FR"/>
        </w:rPr>
      </w:pPr>
      <w:r w:rsidRPr="00D61309">
        <w:rPr>
          <w:rStyle w:val="FootnoteReference"/>
          <w:lang w:val="fr-FR"/>
        </w:rPr>
        <w:footnoteRef/>
      </w:r>
      <w:r w:rsidRPr="00D61309">
        <w:rPr>
          <w:rFonts w:ascii="Calibri Light" w:hAnsi="Calibri Light" w:cs="Calibri Light"/>
          <w:lang w:val="fr-FR"/>
        </w:rPr>
        <w:t xml:space="preserve"> </w:t>
      </w:r>
      <w:r w:rsidR="00D61309">
        <w:rPr>
          <w:rFonts w:ascii="Calibri Light" w:hAnsi="Calibri Light" w:cs="Calibri Light"/>
          <w:lang w:val="fr-FR"/>
        </w:rPr>
        <w:t>BETTER FINANCE</w:t>
      </w:r>
      <w:r w:rsidRPr="00D61309">
        <w:rPr>
          <w:rFonts w:ascii="Calibri Light" w:hAnsi="Calibri Light" w:cs="Calibri Light"/>
          <w:lang w:val="fr-FR"/>
        </w:rPr>
        <w:t xml:space="preserve"> </w:t>
      </w:r>
      <w:hyperlink r:id="rId1" w:history="1">
        <w:r w:rsidRPr="00D61309">
          <w:rPr>
            <w:rStyle w:val="Hyperlink"/>
            <w:rFonts w:ascii="Calibri Light" w:hAnsi="Calibri Light" w:cs="Calibri Light"/>
            <w:lang w:val="fr-FR"/>
          </w:rPr>
          <w:t xml:space="preserve">Rapport de recherche </w:t>
        </w:r>
      </w:hyperlink>
      <w:r w:rsidR="00D61309">
        <w:rPr>
          <w:rFonts w:ascii="Calibri Light" w:hAnsi="Calibri Light" w:cs="Calibri Light"/>
          <w:lang w:val="fr-FR"/>
        </w:rPr>
        <w:t xml:space="preserve">sur le rendement réel de l’épargne retraite, </w:t>
      </w:r>
      <w:r w:rsidRPr="00D61309">
        <w:rPr>
          <w:rFonts w:ascii="Calibri Light" w:hAnsi="Calibri Light" w:cs="Calibri Light"/>
          <w:lang w:val="fr-FR"/>
        </w:rPr>
        <w:t>édition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C310" w14:textId="77777777" w:rsidR="002202FB" w:rsidRDefault="00220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649F" w14:textId="77777777" w:rsidR="003E2729" w:rsidRDefault="00B970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EF6497" wp14:editId="70EF6498">
          <wp:simplePos x="0" y="0"/>
          <wp:positionH relativeFrom="margin">
            <wp:posOffset>2564133</wp:posOffset>
          </wp:positionH>
          <wp:positionV relativeFrom="paragraph">
            <wp:posOffset>-265432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0EF64A0" w14:textId="77777777" w:rsidR="003E2729" w:rsidRDefault="002202FB">
    <w:pPr>
      <w:pStyle w:val="Header"/>
    </w:pPr>
  </w:p>
  <w:p w14:paraId="70EF64A1" w14:textId="77777777" w:rsidR="003E2729" w:rsidRDefault="002202FB">
    <w:pPr>
      <w:pStyle w:val="Header"/>
      <w:rPr>
        <w:sz w:val="12"/>
        <w:szCs w:val="12"/>
      </w:rPr>
    </w:pPr>
  </w:p>
  <w:p w14:paraId="70EF64A2" w14:textId="77777777" w:rsidR="003E2729" w:rsidRDefault="002202FB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5C94" w14:textId="77777777" w:rsidR="002202FB" w:rsidRDefault="00220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1274B"/>
    <w:multiLevelType w:val="multilevel"/>
    <w:tmpl w:val="1ECCC60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0D37698"/>
    <w:multiLevelType w:val="multilevel"/>
    <w:tmpl w:val="E2F2FE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0C"/>
    <w:rsid w:val="001D110C"/>
    <w:rsid w:val="002202FB"/>
    <w:rsid w:val="0041009F"/>
    <w:rsid w:val="00510F80"/>
    <w:rsid w:val="00525BC4"/>
    <w:rsid w:val="00706F3C"/>
    <w:rsid w:val="007E327D"/>
    <w:rsid w:val="0084768A"/>
    <w:rsid w:val="009A244D"/>
    <w:rsid w:val="009C2319"/>
    <w:rsid w:val="00AB7317"/>
    <w:rsid w:val="00B13172"/>
    <w:rsid w:val="00B97040"/>
    <w:rsid w:val="00C17F34"/>
    <w:rsid w:val="00C73FD8"/>
    <w:rsid w:val="00CB4A9A"/>
    <w:rsid w:val="00D61309"/>
    <w:rsid w:val="00F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EF648E"/>
  <w15:docId w15:val="{DCB70394-0A60-4522-825D-52AF92D0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BalloonText">
    <w:name w:val="Balloon Text"/>
    <w:basedOn w:val="Normal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Strong">
    <w:name w:val="Strong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Cambria" w:eastAsia="SimSun" w:hAnsi="Cambria" w:cs="Times New Roman"/>
      <w:color w:val="365F91"/>
      <w:sz w:val="26"/>
      <w:szCs w:val="26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basedOn w:val="DefaultParagraphFont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tlid-translation">
    <w:name w:val="tlid-translation"/>
    <w:basedOn w:val="DefaultParagraphFont"/>
  </w:style>
  <w:style w:type="character" w:customStyle="1" w:styleId="hgkelc">
    <w:name w:val="hgkelc"/>
    <w:basedOn w:val="DefaultParagraphFont"/>
    <w:rsid w:val="009A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udmont@betterfinance.e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sma.europa.eu/sites/default/files/library/esma35-43-2126_technical_advice_on_inducements_and_costs_and_charges_disclosure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etterfinance.eu/publication/pension-savings-the-real-return-2019-editi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8AF3C-7E18-489B-AEE0-BDC3B380D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1BD19-F097-41BA-BC3A-580244E60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B66C12-D18A-4570-90B4-E66878556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Houdmont</dc:creator>
  <dc:description/>
  <cp:lastModifiedBy>ISO Translation</cp:lastModifiedBy>
  <cp:revision>3</cp:revision>
  <cp:lastPrinted>2019-03-22T09:41:00Z</cp:lastPrinted>
  <dcterms:created xsi:type="dcterms:W3CDTF">2020-12-10T16:12:00Z</dcterms:created>
  <dcterms:modified xsi:type="dcterms:W3CDTF">2020-12-14T16:06:00Z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