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CCAEC" w14:textId="647A51DF" w:rsidR="008E5F6C" w:rsidRPr="00CD4C02" w:rsidRDefault="008E5F6C">
      <w:pPr>
        <w:rPr>
          <w:lang w:val="fr-FR"/>
        </w:rPr>
      </w:pPr>
    </w:p>
    <w:p w14:paraId="6E0CCAED" w14:textId="2B0D465E" w:rsidR="008E5F6C" w:rsidRPr="00CD4C02" w:rsidRDefault="00DF2380">
      <w:pPr>
        <w:pStyle w:val="Heading2"/>
        <w:spacing w:after="80"/>
        <w:jc w:val="both"/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</w:pPr>
      <w:bookmarkStart w:id="0" w:name="_Hlk4143464"/>
      <w:r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Élaboration et surveillance de la politique financière européenne : mise à l’écart des </w:t>
      </w:r>
      <w:r w:rsidR="00B04EAA"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>citoyens européens</w:t>
      </w:r>
      <w:r w:rsidR="005633E4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 </w:t>
      </w:r>
      <w:r w:rsidR="00B04EAA"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>u</w:t>
      </w:r>
      <w:r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sagers de services </w:t>
      </w:r>
      <w:r w:rsidR="005633E4"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>financiers</w:t>
      </w:r>
      <w:r w:rsidR="005633E4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 </w:t>
      </w:r>
      <w:r w:rsidR="005633E4"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>au</w:t>
      </w:r>
      <w:r w:rsidRPr="00CD4C02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 profit </w:t>
      </w:r>
      <w:r w:rsidR="00545286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>du secteur financier</w:t>
      </w:r>
      <w:r w:rsidR="005633E4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fr-FR"/>
        </w:rPr>
        <w:t xml:space="preserve"> </w:t>
      </w:r>
    </w:p>
    <w:p w14:paraId="6E0CCAEE" w14:textId="22A31CFD" w:rsidR="008E5F6C" w:rsidRPr="00CD4C02" w:rsidRDefault="00B04EAA">
      <w:pPr>
        <w:spacing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b/>
          <w:bCs/>
          <w:lang w:val="fr-FR"/>
        </w:rPr>
        <w:t>Bruxelles, 20 juillet 2020</w:t>
      </w:r>
      <w:bookmarkEnd w:id="0"/>
      <w:r w:rsidRPr="00CD4C02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r w:rsidRPr="00CD4C02">
        <w:rPr>
          <w:rFonts w:ascii="Calibri Light" w:eastAsia="Times New Roman" w:hAnsi="Calibri Light" w:cs="Calibri Light"/>
          <w:lang w:val="fr-FR"/>
        </w:rPr>
        <w:t>- La nouvelle composition des</w:t>
      </w:r>
      <w:r w:rsidR="00DF2380" w:rsidRPr="00CD4C02">
        <w:rPr>
          <w:rFonts w:ascii="Calibri Light" w:eastAsia="Times New Roman" w:hAnsi="Calibri Light" w:cs="Calibri Light"/>
          <w:lang w:val="fr-FR"/>
        </w:rPr>
        <w:t xml:space="preserve"> « </w:t>
      </w:r>
      <w:r w:rsidR="00545286">
        <w:rPr>
          <w:rFonts w:ascii="Calibri Light" w:eastAsia="Times New Roman" w:hAnsi="Calibri Light" w:cs="Calibri Light"/>
          <w:lang w:val="fr-FR"/>
        </w:rPr>
        <w:t>g</w:t>
      </w:r>
      <w:r w:rsidR="00DF2380" w:rsidRPr="00CD4C02">
        <w:rPr>
          <w:rFonts w:ascii="Calibri Light" w:eastAsia="Times New Roman" w:hAnsi="Calibri Light" w:cs="Calibri Light"/>
          <w:lang w:val="fr-FR"/>
        </w:rPr>
        <w:t>roupes de</w:t>
      </w:r>
      <w:r w:rsidR="00545286">
        <w:rPr>
          <w:rFonts w:ascii="Calibri Light" w:eastAsia="Times New Roman" w:hAnsi="Calibri Light" w:cs="Calibri Light"/>
          <w:lang w:val="fr-FR"/>
        </w:rPr>
        <w:t xml:space="preserve"> parties intéressées » </w:t>
      </w:r>
      <w:r w:rsidR="00DF2380" w:rsidRPr="00CD4C02">
        <w:rPr>
          <w:rFonts w:ascii="Calibri Light" w:eastAsia="Times New Roman" w:hAnsi="Calibri Light" w:cs="Calibri Light"/>
          <w:lang w:val="fr-FR"/>
        </w:rPr>
        <w:t>des Autorités européennes de surveillance</w:t>
      </w:r>
      <w:r w:rsidRPr="00CD4C02">
        <w:rPr>
          <w:rStyle w:val="FootnoteReference"/>
          <w:rFonts w:ascii="Calibri Light" w:eastAsia="Times New Roman" w:hAnsi="Calibri Light" w:cs="Calibri Light"/>
          <w:lang w:val="fr-FR"/>
        </w:rPr>
        <w:footnoteReference w:id="1"/>
      </w:r>
      <w:r w:rsidR="00545286">
        <w:rPr>
          <w:rFonts w:ascii="Calibri Light" w:eastAsia="Times New Roman" w:hAnsi="Calibri Light" w:cs="Calibri Light"/>
          <w:lang w:val="fr-FR"/>
        </w:rPr>
        <w:t xml:space="preserve">représente un pas en arrière </w:t>
      </w:r>
      <w:r w:rsidRPr="00CD4C02">
        <w:rPr>
          <w:rFonts w:ascii="Calibri Light" w:eastAsia="Times New Roman" w:hAnsi="Calibri Light" w:cs="Calibri Light"/>
          <w:lang w:val="fr-FR"/>
        </w:rPr>
        <w:t xml:space="preserve">en ce qui concerne </w:t>
      </w:r>
      <w:r w:rsidR="00F238E8" w:rsidRPr="00CD4C02">
        <w:rPr>
          <w:rFonts w:ascii="Calibri Light" w:eastAsia="Times New Roman" w:hAnsi="Calibri Light" w:cs="Calibri Light"/>
          <w:lang w:val="fr-FR"/>
        </w:rPr>
        <w:t>la</w:t>
      </w:r>
      <w:r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545286">
        <w:rPr>
          <w:rFonts w:ascii="Calibri Light" w:eastAsia="Times New Roman" w:hAnsi="Calibri Light" w:cs="Calibri Light"/>
          <w:lang w:val="fr-FR"/>
        </w:rPr>
        <w:t xml:space="preserve">participation </w:t>
      </w:r>
      <w:r w:rsidRPr="00CD4C02">
        <w:rPr>
          <w:rFonts w:ascii="Calibri Light" w:eastAsia="Times New Roman" w:hAnsi="Calibri Light" w:cs="Calibri Light"/>
          <w:lang w:val="fr-FR"/>
        </w:rPr>
        <w:t xml:space="preserve">équilibrée </w:t>
      </w:r>
      <w:r w:rsidR="00545286">
        <w:rPr>
          <w:rFonts w:ascii="Calibri Light" w:eastAsia="Times New Roman" w:hAnsi="Calibri Light" w:cs="Calibri Light"/>
          <w:lang w:val="fr-FR"/>
        </w:rPr>
        <w:t xml:space="preserve">du secteur financier et des </w:t>
      </w:r>
      <w:r w:rsidR="00F238E8" w:rsidRPr="00CD4C02">
        <w:rPr>
          <w:rFonts w:ascii="Calibri Light" w:eastAsia="Times New Roman" w:hAnsi="Calibri Light" w:cs="Calibri Light"/>
          <w:lang w:val="fr-FR"/>
        </w:rPr>
        <w:t xml:space="preserve">consommateurs </w:t>
      </w:r>
      <w:r w:rsidR="00545286">
        <w:rPr>
          <w:rFonts w:ascii="Calibri Light" w:eastAsia="Times New Roman" w:hAnsi="Calibri Light" w:cs="Calibri Light"/>
          <w:lang w:val="fr-FR"/>
        </w:rPr>
        <w:t xml:space="preserve">à </w:t>
      </w:r>
      <w:r w:rsidR="00F238E8" w:rsidRPr="00CD4C02">
        <w:rPr>
          <w:rFonts w:ascii="Calibri Light" w:eastAsia="Times New Roman" w:hAnsi="Calibri Light" w:cs="Calibri Light"/>
          <w:lang w:val="fr-FR"/>
        </w:rPr>
        <w:t>l’élaboration de la réglementation financière</w:t>
      </w:r>
      <w:r w:rsidR="00545286">
        <w:rPr>
          <w:rFonts w:ascii="Calibri Light" w:eastAsia="Times New Roman" w:hAnsi="Calibri Light" w:cs="Calibri Light"/>
          <w:lang w:val="fr-FR"/>
        </w:rPr>
        <w:t xml:space="preserve"> européenne</w:t>
      </w:r>
      <w:r w:rsidR="00F238E8" w:rsidRPr="00CD4C02">
        <w:rPr>
          <w:rFonts w:ascii="Calibri Light" w:eastAsia="Times New Roman" w:hAnsi="Calibri Light" w:cs="Calibri Light"/>
          <w:lang w:val="fr-FR"/>
        </w:rPr>
        <w:t xml:space="preserve">. C’est là la conséquence de la récente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réforme des AES</w:t>
      </w:r>
      <w:r w:rsidR="001A0865">
        <w:rPr>
          <w:rFonts w:ascii="Calibri Light" w:eastAsia="Times New Roman" w:hAnsi="Calibri Light" w:cs="Calibri Light"/>
          <w:i/>
          <w:iCs/>
          <w:lang w:val="fr-FR"/>
        </w:rPr>
        <w:t>,</w:t>
      </w:r>
      <w:r w:rsidRPr="00CD4C02">
        <w:rPr>
          <w:rStyle w:val="FootnoteReference"/>
          <w:rFonts w:ascii="Calibri Light" w:eastAsia="Times New Roman" w:hAnsi="Calibri Light" w:cs="Calibri Light"/>
          <w:lang w:val="fr-FR"/>
        </w:rPr>
        <w:footnoteReference w:id="2"/>
      </w:r>
      <w:r w:rsidRPr="00CD4C02">
        <w:rPr>
          <w:rFonts w:ascii="Calibri Light" w:eastAsia="Times New Roman" w:hAnsi="Calibri Light" w:cs="Calibri Light"/>
          <w:lang w:val="fr-FR"/>
        </w:rPr>
        <w:t xml:space="preserve">qui a </w:t>
      </w:r>
      <w:r w:rsidR="005633E4">
        <w:rPr>
          <w:rFonts w:ascii="Calibri Light" w:eastAsia="Times New Roman" w:hAnsi="Calibri Light" w:cs="Calibri Light"/>
          <w:lang w:val="fr-FR"/>
        </w:rPr>
        <w:t>diminué</w:t>
      </w:r>
      <w:r w:rsidRPr="00CD4C02">
        <w:rPr>
          <w:rFonts w:ascii="Calibri Light" w:eastAsia="Times New Roman" w:hAnsi="Calibri Light" w:cs="Calibri Light"/>
          <w:lang w:val="fr-FR"/>
        </w:rPr>
        <w:t xml:space="preserve"> les quotas </w:t>
      </w:r>
      <w:r w:rsidR="00F238E8" w:rsidRPr="00CD4C02">
        <w:rPr>
          <w:rFonts w:ascii="Calibri Light" w:eastAsia="Times New Roman" w:hAnsi="Calibri Light" w:cs="Calibri Light"/>
          <w:lang w:val="fr-FR"/>
        </w:rPr>
        <w:t>de représentation des consommateurs et des universitaires au profit d</w:t>
      </w:r>
      <w:r w:rsidR="001A0865">
        <w:rPr>
          <w:rFonts w:ascii="Calibri Light" w:eastAsia="Times New Roman" w:hAnsi="Calibri Light" w:cs="Calibri Light"/>
          <w:lang w:val="fr-FR"/>
        </w:rPr>
        <w:t>’une représentation accrue des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  <w:r w:rsidR="00F238E8" w:rsidRPr="00CD4C02">
        <w:rPr>
          <w:rFonts w:ascii="Calibri Light" w:eastAsia="Times New Roman" w:hAnsi="Calibri Light" w:cs="Calibri Light"/>
          <w:lang w:val="fr-FR"/>
        </w:rPr>
        <w:t xml:space="preserve">institutions financières </w:t>
      </w:r>
      <w:r w:rsidRPr="00CD4C02">
        <w:rPr>
          <w:rFonts w:ascii="Calibri Light" w:eastAsia="Times New Roman" w:hAnsi="Calibri Light" w:cs="Calibri Light"/>
          <w:lang w:val="fr-FR"/>
        </w:rPr>
        <w:t>(</w:t>
      </w:r>
      <w:r w:rsidR="001A0865">
        <w:rPr>
          <w:rFonts w:ascii="Calibri Light" w:eastAsia="Times New Roman" w:hAnsi="Calibri Light" w:cs="Calibri Light"/>
          <w:i/>
          <w:iCs/>
          <w:lang w:val="fr-FR"/>
        </w:rPr>
        <w:t>secteur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  <w:r w:rsidR="001A0865">
        <w:rPr>
          <w:rFonts w:ascii="Calibri Light" w:eastAsia="Times New Roman" w:hAnsi="Calibri Light" w:cs="Calibri Light"/>
          <w:i/>
          <w:iCs/>
          <w:lang w:val="fr-FR"/>
        </w:rPr>
        <w:t>&amp;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  <w:r w:rsidR="00F65A2A" w:rsidRPr="00CD4C02">
        <w:rPr>
          <w:rFonts w:ascii="Calibri Light" w:eastAsia="Times New Roman" w:hAnsi="Calibri Light" w:cs="Calibri Light"/>
          <w:i/>
          <w:iCs/>
          <w:lang w:val="fr-FR"/>
        </w:rPr>
        <w:t>« 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associations professionnelles</w:t>
      </w:r>
      <w:r w:rsidR="00F65A2A" w:rsidRPr="00CD4C02">
        <w:rPr>
          <w:rFonts w:ascii="Calibri Light" w:eastAsia="Times New Roman" w:hAnsi="Calibri Light" w:cs="Calibri Light"/>
          <w:i/>
          <w:iCs/>
          <w:lang w:val="fr-FR"/>
        </w:rPr>
        <w:t> »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).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8E5F6C" w:rsidRPr="00CD4C02" w14:paraId="6E0CCAF2" w14:textId="77777777">
        <w:tc>
          <w:tcPr>
            <w:tcW w:w="9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AEF" w14:textId="669BD96B" w:rsidR="008E5F6C" w:rsidRPr="00CD4C02" w:rsidRDefault="00B04EAA">
            <w:pPr>
              <w:spacing w:after="120" w:line="240" w:lineRule="auto"/>
              <w:ind w:firstLine="426"/>
              <w:jc w:val="both"/>
              <w:rPr>
                <w:lang w:val="fr-FR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i/>
                <w:i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6E0CCAF3" wp14:editId="6E0CCAF4">
                  <wp:simplePos x="0" y="0"/>
                  <wp:positionH relativeFrom="margin">
                    <wp:posOffset>-630</wp:posOffset>
                  </wp:positionH>
                  <wp:positionV relativeFrom="paragraph">
                    <wp:posOffset>35561</wp:posOffset>
                  </wp:positionV>
                  <wp:extent cx="195581" cy="195581"/>
                  <wp:effectExtent l="0" t="0" r="0" b="0"/>
                  <wp:wrapNone/>
                  <wp:docPr id="5" name="Graphic 2" descr="Postit No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1" cy="19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4C02">
              <w:rPr>
                <w:rFonts w:ascii="Calibri Light" w:eastAsia="Times New Roman" w:hAnsi="Calibri Light" w:cs="Calibri Light"/>
                <w:b/>
                <w:bCs/>
                <w:i/>
                <w:iCs/>
                <w:lang w:val="fr-FR"/>
              </w:rPr>
              <w:t xml:space="preserve">FAQ pour les épargnants et les investisseurs </w:t>
            </w:r>
            <w:r w:rsidR="00F65A2A" w:rsidRPr="00CD4C02">
              <w:rPr>
                <w:rFonts w:ascii="Calibri Light" w:eastAsia="Times New Roman" w:hAnsi="Calibri Light" w:cs="Calibri Light"/>
                <w:b/>
                <w:bCs/>
                <w:i/>
                <w:iCs/>
                <w:lang w:val="fr-FR"/>
              </w:rPr>
              <w:t xml:space="preserve">particuliers : 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lang w:val="fr-FR"/>
              </w:rPr>
              <w:t>Qu</w:t>
            </w:r>
            <w:r w:rsidR="001A0865">
              <w:rPr>
                <w:rFonts w:ascii="Calibri Light" w:eastAsia="Times New Roman" w:hAnsi="Calibri Light" w:cs="Calibri Light"/>
                <w:i/>
                <w:iCs/>
                <w:lang w:val="fr-FR"/>
              </w:rPr>
              <w:t>els sont les « groupes de parties intéressées »</w:t>
            </w:r>
            <w:r w:rsidR="005633E4">
              <w:rPr>
                <w:rFonts w:ascii="Calibri Light" w:eastAsia="Times New Roman" w:hAnsi="Calibri Light" w:cs="Calibri Light"/>
                <w:i/>
                <w:iCs/>
                <w:lang w:val="fr-FR"/>
              </w:rPr>
              <w:t xml:space="preserve"> </w:t>
            </w:r>
          </w:p>
          <w:p w14:paraId="6E0CCAF0" w14:textId="1E5EA744" w:rsidR="008E5F6C" w:rsidRPr="00CD4C02" w:rsidRDefault="00B04EAA">
            <w:pPr>
              <w:spacing w:after="120" w:line="240" w:lineRule="auto"/>
              <w:jc w:val="both"/>
              <w:rPr>
                <w:lang w:val="fr-FR"/>
              </w:rPr>
            </w:pP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Les 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>A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utorités de surveillance financière de l'UE (AES) 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 xml:space="preserve">mettent en place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des organes consultatifs (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lang w:val="fr-FR"/>
              </w:rPr>
              <w:t>groupes de parties</w:t>
            </w:r>
            <w:r w:rsidR="001A0865">
              <w:rPr>
                <w:rFonts w:ascii="Calibri Light" w:eastAsia="Times New Roman" w:hAnsi="Calibri Light" w:cs="Calibri Light"/>
                <w:i/>
                <w:iCs/>
                <w:lang w:val="fr-FR"/>
              </w:rPr>
              <w:t xml:space="preserve"> intéressées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)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 xml:space="preserve"> chargés de formuler des avis, des recommandations ou des réponses 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 xml:space="preserve">concernant 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 xml:space="preserve">le travail de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réglementation ou de surveillance des AES. Les groupes de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 xml:space="preserve"> parties intéressées, qui se réunissent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régulièrement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 xml:space="preserve">,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sont composés de 30 membres représentant les différentes catégories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 xml:space="preserve"> d’acteurs visés par la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réglementation financière de l'UE (institutions financières, consommateurs, PME, etc.) 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 xml:space="preserve">et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universitaires indépendants. </w:t>
            </w:r>
          </w:p>
          <w:p w14:paraId="6E0CCAF1" w14:textId="4B61A1AC" w:rsidR="008E5F6C" w:rsidRPr="00CD4C02" w:rsidRDefault="00B04EAA">
            <w:pPr>
              <w:spacing w:after="120" w:line="240" w:lineRule="auto"/>
              <w:jc w:val="both"/>
              <w:rPr>
                <w:lang w:val="fr-FR"/>
              </w:rPr>
            </w:pP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Il existe actuellement quatre groupes 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>de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 xml:space="preserve"> parties intéressées : </w:t>
            </w:r>
            <w:r w:rsidR="00F65A2A" w:rsidRPr="00CD4C02">
              <w:rPr>
                <w:rFonts w:ascii="Calibri Light" w:eastAsia="Times New Roman" w:hAnsi="Calibri Light" w:cs="Calibri Light"/>
                <w:lang w:val="fr-FR"/>
              </w:rPr>
              <w:t xml:space="preserve">un pour le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secteur </w:t>
            </w:r>
            <w:r w:rsidR="001A0865">
              <w:rPr>
                <w:rFonts w:ascii="Calibri Light" w:eastAsia="Times New Roman" w:hAnsi="Calibri Light" w:cs="Calibri Light"/>
                <w:lang w:val="fr-FR"/>
              </w:rPr>
              <w:t>de l’assurance</w:t>
            </w:r>
            <w:r w:rsidR="005633E4">
              <w:rPr>
                <w:rFonts w:ascii="Calibri Light" w:eastAsia="Times New Roman" w:hAnsi="Calibri Light" w:cs="Calibri Light"/>
                <w:lang w:val="fr-FR"/>
              </w:rPr>
              <w:t xml:space="preserve">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(IRSG</w:t>
            </w:r>
            <w:r w:rsidRPr="00CD4C02">
              <w:rPr>
                <w:rStyle w:val="FootnoteReference"/>
                <w:rFonts w:ascii="Calibri Light" w:eastAsia="Times New Roman" w:hAnsi="Calibri Light" w:cs="Calibri Light"/>
                <w:lang w:val="fr-FR"/>
              </w:rPr>
              <w:footnoteReference w:id="3"/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 xml:space="preserve">), un pour les </w:t>
            </w:r>
            <w:r w:rsidR="00424303">
              <w:rPr>
                <w:rFonts w:ascii="Calibri Light" w:eastAsia="Times New Roman" w:hAnsi="Calibri Light" w:cs="Calibri Light"/>
                <w:lang w:val="fr-FR"/>
              </w:rPr>
              <w:t xml:space="preserve">pensions </w:t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professionnelles (OPSG</w:t>
            </w:r>
            <w:r w:rsidRPr="00CD4C02">
              <w:rPr>
                <w:rStyle w:val="FootnoteReference"/>
                <w:rFonts w:ascii="Calibri Light" w:eastAsia="Times New Roman" w:hAnsi="Calibri Light" w:cs="Calibri Light"/>
                <w:lang w:val="fr-FR"/>
              </w:rPr>
              <w:footnoteReference w:id="4"/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), un pour les services bancaires (BSG</w:t>
            </w:r>
            <w:r w:rsidRPr="00CD4C02">
              <w:rPr>
                <w:rStyle w:val="FootnoteReference"/>
                <w:rFonts w:ascii="Calibri Light" w:eastAsia="Times New Roman" w:hAnsi="Calibri Light" w:cs="Calibri Light"/>
                <w:lang w:val="fr-FR"/>
              </w:rPr>
              <w:footnoteReference w:id="5"/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) et un pour les marchés des valeurs mobilières (SMSG</w:t>
            </w:r>
            <w:r w:rsidRPr="00CD4C02">
              <w:rPr>
                <w:rStyle w:val="FootnoteReference"/>
                <w:rFonts w:ascii="Calibri Light" w:eastAsia="Times New Roman" w:hAnsi="Calibri Light" w:cs="Calibri Light"/>
                <w:lang w:val="fr-FR"/>
              </w:rPr>
              <w:footnoteReference w:id="6"/>
            </w:r>
            <w:r w:rsidRPr="00CD4C02">
              <w:rPr>
                <w:rFonts w:ascii="Calibri Light" w:eastAsia="Times New Roman" w:hAnsi="Calibri Light" w:cs="Calibri Light"/>
                <w:lang w:val="fr-FR"/>
              </w:rPr>
              <w:t>).</w:t>
            </w:r>
          </w:p>
        </w:tc>
      </w:tr>
    </w:tbl>
    <w:p w14:paraId="6E0CCAF3" w14:textId="46804794" w:rsidR="008E5F6C" w:rsidRPr="00CD4C02" w:rsidRDefault="00B04EAA">
      <w:pPr>
        <w:spacing w:before="120"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Avant la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réforme des AES </w:t>
      </w:r>
      <w:r w:rsidRPr="00CD4C02">
        <w:rPr>
          <w:rFonts w:ascii="Calibri Light" w:eastAsia="Times New Roman" w:hAnsi="Calibri Light" w:cs="Calibri Light"/>
          <w:lang w:val="fr-FR"/>
        </w:rPr>
        <w:t>qui est entrée en vigueur en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  <w:r w:rsidRPr="00CD4C02">
        <w:rPr>
          <w:rFonts w:ascii="Calibri Light" w:eastAsia="Times New Roman" w:hAnsi="Calibri Light" w:cs="Calibri Light"/>
          <w:lang w:val="fr-FR"/>
        </w:rPr>
        <w:t xml:space="preserve">2019, ces groupes de parties </w:t>
      </w:r>
      <w:r w:rsidR="001A0865">
        <w:rPr>
          <w:rFonts w:ascii="Calibri Light" w:eastAsia="Times New Roman" w:hAnsi="Calibri Light" w:cs="Calibri Light"/>
          <w:lang w:val="fr-FR"/>
        </w:rPr>
        <w:t xml:space="preserve">intéressées </w:t>
      </w:r>
      <w:r w:rsidRPr="00CD4C02">
        <w:rPr>
          <w:rFonts w:ascii="Calibri Light" w:eastAsia="Times New Roman" w:hAnsi="Calibri Light" w:cs="Calibri Light"/>
          <w:lang w:val="fr-FR"/>
        </w:rPr>
        <w:t>réservaient 10 places aux représentants du secteur financier, 5 aux universitaires et le reste à une catégorie</w:t>
      </w:r>
      <w:r w:rsidR="00424303">
        <w:rPr>
          <w:rFonts w:ascii="Calibri Light" w:eastAsia="Times New Roman" w:hAnsi="Calibri Light" w:cs="Calibri Light"/>
          <w:lang w:val="fr-FR"/>
        </w:rPr>
        <w:t xml:space="preserve"> hétérogène </w:t>
      </w:r>
      <w:r w:rsidRPr="00CD4C02">
        <w:rPr>
          <w:rFonts w:ascii="Calibri Light" w:eastAsia="Times New Roman" w:hAnsi="Calibri Light" w:cs="Calibri Light"/>
          <w:lang w:val="fr-FR"/>
        </w:rPr>
        <w:t>composée de représentants d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e salariés </w:t>
      </w:r>
      <w:r w:rsidRPr="00CD4C02">
        <w:rPr>
          <w:rFonts w:ascii="Calibri Light" w:eastAsia="Times New Roman" w:hAnsi="Calibri Light" w:cs="Calibri Light"/>
          <w:lang w:val="fr-FR"/>
        </w:rPr>
        <w:t>(des institutions financières), de consommateurs, d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’usagers de </w:t>
      </w:r>
      <w:r w:rsidRPr="00CD4C02">
        <w:rPr>
          <w:rFonts w:ascii="Calibri Light" w:eastAsia="Times New Roman" w:hAnsi="Calibri Light" w:cs="Calibri Light"/>
          <w:lang w:val="fr-FR"/>
        </w:rPr>
        <w:t xml:space="preserve">services financiers et de PME. </w:t>
      </w:r>
      <w:r w:rsidR="004A64F0" w:rsidRPr="00424303">
        <w:rPr>
          <w:rFonts w:ascii="Calibri Light" w:eastAsia="Times New Roman" w:hAnsi="Calibri Light" w:cs="Calibri Light"/>
          <w:lang w:val="fr-FR"/>
        </w:rPr>
        <w:t>À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 la suite de cette réforme, le quota de représentation du secteur </w:t>
      </w:r>
      <w:r w:rsidRPr="00CD4C02">
        <w:rPr>
          <w:rFonts w:ascii="Calibri Light" w:eastAsia="Times New Roman" w:hAnsi="Calibri Light" w:cs="Calibri Light"/>
          <w:lang w:val="fr-FR"/>
        </w:rPr>
        <w:t>financier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 au sein de </w:t>
      </w:r>
      <w:r w:rsidRPr="00CD4C02">
        <w:rPr>
          <w:rFonts w:ascii="Calibri Light" w:eastAsia="Times New Roman" w:hAnsi="Calibri Light" w:cs="Calibri Light"/>
          <w:lang w:val="fr-FR"/>
        </w:rPr>
        <w:t xml:space="preserve">l'ABE et 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de </w:t>
      </w:r>
      <w:r w:rsidRPr="00CD4C02">
        <w:rPr>
          <w:rFonts w:ascii="Calibri Light" w:eastAsia="Times New Roman" w:hAnsi="Calibri Light" w:cs="Calibri Light"/>
          <w:lang w:val="fr-FR"/>
        </w:rPr>
        <w:t xml:space="preserve">l'AEMF a été 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revu à la hausse, au détriment des autres </w:t>
      </w:r>
      <w:r w:rsidRPr="00CD4C02">
        <w:rPr>
          <w:rFonts w:ascii="Calibri Light" w:eastAsia="Times New Roman" w:hAnsi="Calibri Light" w:cs="Calibri Light"/>
          <w:lang w:val="fr-FR"/>
        </w:rPr>
        <w:t>catégories</w:t>
      </w:r>
      <w:r w:rsidR="001A0865">
        <w:rPr>
          <w:rFonts w:ascii="Calibri Light" w:eastAsia="Times New Roman" w:hAnsi="Calibri Light" w:cs="Calibri Light"/>
          <w:lang w:val="fr-FR"/>
        </w:rPr>
        <w:t>. Chaque groupe de parties intéressées se compose désormais comme suit :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  <w:r w:rsidRPr="00CD4C02">
        <w:rPr>
          <w:rFonts w:ascii="Calibri Light" w:eastAsia="Times New Roman" w:hAnsi="Calibri Light" w:cs="Calibri Light"/>
          <w:lang w:val="fr-FR"/>
        </w:rPr>
        <w:t>13 membres représentant le secteur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 financier</w:t>
      </w:r>
      <w:r w:rsidRPr="00CD4C02">
        <w:rPr>
          <w:rFonts w:ascii="Calibri Light" w:eastAsia="Times New Roman" w:hAnsi="Calibri Light" w:cs="Calibri Light"/>
          <w:lang w:val="fr-FR"/>
        </w:rPr>
        <w:t xml:space="preserve">, 4 universitaires et 13 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membres de la catégorie « mixte ». </w:t>
      </w:r>
      <w:r w:rsidRPr="00CD4C02">
        <w:rPr>
          <w:rFonts w:ascii="Calibri Light" w:eastAsia="Times New Roman" w:hAnsi="Calibri Light" w:cs="Calibri Light"/>
          <w:lang w:val="fr-FR"/>
        </w:rPr>
        <w:t xml:space="preserve">La nouvelle règle de l'UE est encore pire dans le cas de l'AEAPP, où </w:t>
      </w:r>
      <w:r w:rsidR="005633E4">
        <w:rPr>
          <w:rFonts w:ascii="Calibri Light" w:eastAsia="Times New Roman" w:hAnsi="Calibri Light" w:cs="Calibri Light"/>
          <w:lang w:val="fr-FR"/>
        </w:rPr>
        <w:t>d</w:t>
      </w:r>
      <w:r w:rsidRPr="00CD4C02">
        <w:rPr>
          <w:rFonts w:ascii="Calibri Light" w:eastAsia="Times New Roman" w:hAnsi="Calibri Light" w:cs="Calibri Light"/>
          <w:lang w:val="fr-FR"/>
        </w:rPr>
        <w:t>es représentants des associations professionnelles s'ajoutent au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 nouveau quota de </w:t>
      </w:r>
      <w:r w:rsidRPr="00CD4C02">
        <w:rPr>
          <w:rFonts w:ascii="Calibri Light" w:eastAsia="Times New Roman" w:hAnsi="Calibri Light" w:cs="Calibri Light"/>
          <w:lang w:val="fr-FR"/>
        </w:rPr>
        <w:t xml:space="preserve">13 </w:t>
      </w:r>
      <w:r w:rsidR="001A0865">
        <w:rPr>
          <w:rFonts w:ascii="Calibri Light" w:eastAsia="Times New Roman" w:hAnsi="Calibri Light" w:cs="Calibri Light"/>
          <w:lang w:val="fr-FR"/>
        </w:rPr>
        <w:t xml:space="preserve">représentants du </w:t>
      </w:r>
      <w:r w:rsidRPr="00CD4C02">
        <w:rPr>
          <w:rFonts w:ascii="Calibri Light" w:eastAsia="Times New Roman" w:hAnsi="Calibri Light" w:cs="Calibri Light"/>
          <w:lang w:val="fr-FR"/>
        </w:rPr>
        <w:t xml:space="preserve">secteur financier, </w:t>
      </w:r>
      <w:r w:rsidR="004A64F0" w:rsidRPr="00CD4C02">
        <w:rPr>
          <w:rFonts w:ascii="Calibri Light" w:eastAsia="Times New Roman" w:hAnsi="Calibri Light" w:cs="Calibri Light"/>
          <w:lang w:val="fr-FR"/>
        </w:rPr>
        <w:t>avec pour conséquence que la moitié de</w:t>
      </w:r>
      <w:r w:rsidR="001A0865">
        <w:rPr>
          <w:rFonts w:ascii="Calibri Light" w:eastAsia="Times New Roman" w:hAnsi="Calibri Light" w:cs="Calibri Light"/>
          <w:lang w:val="fr-FR"/>
        </w:rPr>
        <w:t xml:space="preserve">s membres du groupe de parties intéressées </w:t>
      </w:r>
      <w:r w:rsidR="004A64F0" w:rsidRPr="00CD4C02">
        <w:rPr>
          <w:rFonts w:ascii="Calibri Light" w:eastAsia="Times New Roman" w:hAnsi="Calibri Light" w:cs="Calibri Light"/>
          <w:lang w:val="fr-FR"/>
        </w:rPr>
        <w:t xml:space="preserve">(voire plus) </w:t>
      </w:r>
      <w:r w:rsidR="001A0865">
        <w:rPr>
          <w:rFonts w:ascii="Calibri Light" w:eastAsia="Times New Roman" w:hAnsi="Calibri Light" w:cs="Calibri Light"/>
          <w:lang w:val="fr-FR"/>
        </w:rPr>
        <w:t>sont des représentants du s</w:t>
      </w:r>
      <w:r w:rsidR="004A64F0" w:rsidRPr="00CD4C02">
        <w:rPr>
          <w:rFonts w:ascii="Calibri Light" w:eastAsia="Times New Roman" w:hAnsi="Calibri Light" w:cs="Calibri Light"/>
          <w:lang w:val="fr-FR"/>
        </w:rPr>
        <w:t>ecteur.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</w:p>
    <w:p w14:paraId="6E0CCAF4" w14:textId="15830422" w:rsidR="008E5F6C" w:rsidRPr="00CD4C02" w:rsidRDefault="00B04EAA">
      <w:pPr>
        <w:spacing w:after="120" w:line="240" w:lineRule="auto"/>
        <w:jc w:val="both"/>
        <w:rPr>
          <w:rFonts w:ascii="Calibri Light" w:eastAsia="Times New Roman" w:hAnsi="Calibri Light" w:cs="Calibri Light"/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En outre, la différenciation entre 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« secteur financier » </w:t>
      </w:r>
      <w:r w:rsidRPr="00CD4C02">
        <w:rPr>
          <w:rFonts w:ascii="Calibri Light" w:eastAsia="Times New Roman" w:hAnsi="Calibri Light" w:cs="Calibri Light"/>
          <w:lang w:val="fr-FR"/>
        </w:rPr>
        <w:t xml:space="preserve">et </w:t>
      </w:r>
      <w:r w:rsidR="009D2FFB" w:rsidRPr="00CD4C02">
        <w:rPr>
          <w:rFonts w:ascii="Calibri Light" w:eastAsia="Times New Roman" w:hAnsi="Calibri Light" w:cs="Calibri Light"/>
          <w:lang w:val="fr-FR"/>
        </w:rPr>
        <w:t>« </w:t>
      </w:r>
      <w:r w:rsidRPr="00CD4C02">
        <w:rPr>
          <w:rFonts w:ascii="Calibri Light" w:eastAsia="Times New Roman" w:hAnsi="Calibri Light" w:cs="Calibri Light"/>
          <w:lang w:val="fr-FR"/>
        </w:rPr>
        <w:t>associations professionnelles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 » est pour le moins </w:t>
      </w:r>
      <w:r w:rsidR="001A0865">
        <w:rPr>
          <w:rFonts w:ascii="Calibri Light" w:eastAsia="Times New Roman" w:hAnsi="Calibri Light" w:cs="Calibri Light"/>
          <w:lang w:val="fr-FR"/>
        </w:rPr>
        <w:t>floue</w:t>
      </w:r>
      <w:r w:rsidR="005633E4">
        <w:rPr>
          <w:rFonts w:ascii="Calibri Light" w:eastAsia="Times New Roman" w:hAnsi="Calibri Light" w:cs="Calibri Light"/>
          <w:lang w:val="fr-FR"/>
        </w:rPr>
        <w:t xml:space="preserve"> et étrange</w:t>
      </w:r>
      <w:r w:rsidR="001A0865">
        <w:rPr>
          <w:rFonts w:ascii="Calibri Light" w:eastAsia="Times New Roman" w:hAnsi="Calibri Light" w:cs="Calibri Light"/>
          <w:lang w:val="fr-FR"/>
        </w:rPr>
        <w:t xml:space="preserve">. 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Ainsi, </w:t>
      </w:r>
      <w:r w:rsidR="00842B57">
        <w:rPr>
          <w:rFonts w:ascii="Calibri Light" w:eastAsia="Times New Roman" w:hAnsi="Calibri Light" w:cs="Calibri Light"/>
          <w:lang w:val="fr-FR"/>
        </w:rPr>
        <w:t xml:space="preserve">pour </w:t>
      </w:r>
      <w:r w:rsidRPr="00CD4C02">
        <w:rPr>
          <w:rFonts w:ascii="Calibri Light" w:eastAsia="Times New Roman" w:hAnsi="Calibri Light" w:cs="Calibri Light"/>
          <w:lang w:val="fr-FR"/>
        </w:rPr>
        <w:t>l'AEAPP,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 la </w:t>
      </w:r>
      <w:r w:rsidRPr="00CD4C02">
        <w:rPr>
          <w:rFonts w:ascii="Calibri Light" w:eastAsia="Times New Roman" w:hAnsi="Calibri Light" w:cs="Calibri Light"/>
          <w:lang w:val="fr-FR"/>
        </w:rPr>
        <w:t>FERMA, la Fédération européenne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 des </w:t>
      </w:r>
      <w:r w:rsidR="001A0865">
        <w:rPr>
          <w:rFonts w:ascii="Calibri Light" w:eastAsia="Times New Roman" w:hAnsi="Calibri Light" w:cs="Calibri Light"/>
          <w:lang w:val="fr-FR"/>
        </w:rPr>
        <w:t>a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ssociations de </w:t>
      </w:r>
      <w:r w:rsidR="001A0865">
        <w:rPr>
          <w:rFonts w:ascii="Calibri Light" w:eastAsia="Times New Roman" w:hAnsi="Calibri Light" w:cs="Calibri Light"/>
          <w:lang w:val="fr-FR"/>
        </w:rPr>
        <w:t>r</w:t>
      </w:r>
      <w:r w:rsidR="009D2FFB" w:rsidRPr="00CD4C02">
        <w:rPr>
          <w:rFonts w:ascii="Calibri Light" w:eastAsia="Times New Roman" w:hAnsi="Calibri Light" w:cs="Calibri Light"/>
          <w:lang w:val="fr-FR"/>
        </w:rPr>
        <w:t>isk</w:t>
      </w:r>
      <w:r w:rsidR="001A0865">
        <w:rPr>
          <w:rFonts w:ascii="Calibri Light" w:eastAsia="Times New Roman" w:hAnsi="Calibri Light" w:cs="Calibri Light"/>
          <w:lang w:val="fr-FR"/>
        </w:rPr>
        <w:t xml:space="preserve">-management, fait partie de la </w:t>
      </w:r>
      <w:r w:rsidR="009D2FFB" w:rsidRPr="00CD4C02">
        <w:rPr>
          <w:rFonts w:ascii="Calibri Light" w:eastAsia="Times New Roman" w:hAnsi="Calibri Light" w:cs="Calibri Light"/>
          <w:lang w:val="fr-FR"/>
        </w:rPr>
        <w:t>catégorie des « a</w:t>
      </w:r>
      <w:r w:rsidRPr="00CD4C02">
        <w:rPr>
          <w:rFonts w:ascii="Calibri Light" w:eastAsia="Times New Roman" w:hAnsi="Calibri Light" w:cs="Calibri Light"/>
          <w:lang w:val="fr-FR"/>
        </w:rPr>
        <w:t>ssociations professionnelles</w:t>
      </w:r>
      <w:r w:rsidR="009D2FFB" w:rsidRPr="00CD4C02">
        <w:rPr>
          <w:rFonts w:ascii="Calibri Light" w:eastAsia="Times New Roman" w:hAnsi="Calibri Light" w:cs="Calibri Light"/>
          <w:lang w:val="fr-FR"/>
        </w:rPr>
        <w:t> »</w:t>
      </w:r>
      <w:r w:rsidRPr="00CD4C02">
        <w:rPr>
          <w:rFonts w:ascii="Calibri Light" w:eastAsia="Times New Roman" w:hAnsi="Calibri Light" w:cs="Calibri Light"/>
          <w:lang w:val="fr-FR"/>
        </w:rPr>
        <w:t xml:space="preserve">, 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alors qu’au sein de l’IRSG, </w:t>
      </w:r>
      <w:r w:rsidRPr="00CD4C02">
        <w:rPr>
          <w:rFonts w:ascii="Calibri Light" w:eastAsia="Times New Roman" w:hAnsi="Calibri Light" w:cs="Calibri Light"/>
          <w:lang w:val="fr-FR"/>
        </w:rPr>
        <w:t xml:space="preserve">Insurance Europe, la </w:t>
      </w:r>
      <w:r w:rsidR="009D2FFB" w:rsidRPr="00CD4C02">
        <w:rPr>
          <w:rFonts w:ascii="Calibri Light" w:eastAsia="Times New Roman" w:hAnsi="Calibri Light" w:cs="Calibri Light"/>
          <w:lang w:val="fr-FR"/>
        </w:rPr>
        <w:t>F</w:t>
      </w:r>
      <w:r w:rsidRPr="00CD4C02">
        <w:rPr>
          <w:rFonts w:ascii="Calibri Light" w:eastAsia="Times New Roman" w:hAnsi="Calibri Light" w:cs="Calibri Light"/>
          <w:lang w:val="fr-FR"/>
        </w:rPr>
        <w:t>édération européenne d'assurance et de réassurance,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842B57">
        <w:rPr>
          <w:rFonts w:ascii="Calibri Light" w:eastAsia="Times New Roman" w:hAnsi="Calibri Light" w:cs="Calibri Light"/>
          <w:lang w:val="fr-FR"/>
        </w:rPr>
        <w:t xml:space="preserve">fait partie des </w:t>
      </w:r>
      <w:r w:rsidR="009D2FFB" w:rsidRPr="00CD4C02">
        <w:rPr>
          <w:rFonts w:ascii="Calibri Light" w:eastAsia="Times New Roman" w:hAnsi="Calibri Light" w:cs="Calibri Light"/>
          <w:lang w:val="fr-FR"/>
        </w:rPr>
        <w:lastRenderedPageBreak/>
        <w:t>représentant</w:t>
      </w:r>
      <w:r w:rsidR="00842B57">
        <w:rPr>
          <w:rFonts w:ascii="Calibri Light" w:eastAsia="Times New Roman" w:hAnsi="Calibri Light" w:cs="Calibri Light"/>
          <w:lang w:val="fr-FR"/>
        </w:rPr>
        <w:t>s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 du secteur. Dans </w:t>
      </w:r>
      <w:r w:rsidRPr="00CD4C02">
        <w:rPr>
          <w:rFonts w:ascii="Calibri Light" w:eastAsia="Times New Roman" w:hAnsi="Calibri Light" w:cs="Calibri Light"/>
          <w:lang w:val="fr-FR"/>
        </w:rPr>
        <w:t xml:space="preserve">l'OPSG de l'AEAPP, en revanche, Insurance Europe 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est considérée comme une </w:t>
      </w:r>
      <w:r w:rsidRPr="00CD4C02">
        <w:rPr>
          <w:rFonts w:ascii="Calibri Light" w:eastAsia="Times New Roman" w:hAnsi="Calibri Light" w:cs="Calibri Light"/>
          <w:lang w:val="fr-FR"/>
        </w:rPr>
        <w:t xml:space="preserve">IRP </w:t>
      </w:r>
      <w:r w:rsidR="00842B57">
        <w:rPr>
          <w:rFonts w:ascii="Calibri Light" w:eastAsia="Times New Roman" w:hAnsi="Calibri Light" w:cs="Calibri Light"/>
          <w:lang w:val="fr-FR"/>
        </w:rPr>
        <w:t>–</w:t>
      </w:r>
      <w:r w:rsidRPr="00CD4C02">
        <w:rPr>
          <w:rFonts w:ascii="Calibri Light" w:eastAsia="Times New Roman" w:hAnsi="Calibri Light" w:cs="Calibri Light"/>
          <w:lang w:val="fr-FR"/>
        </w:rPr>
        <w:t xml:space="preserve"> un représentant des régimes de retraite dans le jargon de l'UE </w:t>
      </w:r>
      <w:r w:rsidR="009D2FFB" w:rsidRPr="00CD4C02">
        <w:rPr>
          <w:rFonts w:ascii="Calibri Light" w:eastAsia="Times New Roman" w:hAnsi="Calibri Light" w:cs="Calibri Light"/>
          <w:lang w:val="fr-FR"/>
        </w:rPr>
        <w:t>–</w:t>
      </w:r>
      <w:r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9D2FFB" w:rsidRPr="00CD4C02">
        <w:rPr>
          <w:rFonts w:ascii="Calibri Light" w:eastAsia="Times New Roman" w:hAnsi="Calibri Light" w:cs="Calibri Light"/>
          <w:lang w:val="fr-FR"/>
        </w:rPr>
        <w:t xml:space="preserve">alors que </w:t>
      </w:r>
      <w:r w:rsidRPr="00CD4C02">
        <w:rPr>
          <w:rFonts w:ascii="Calibri Light" w:eastAsia="Times New Roman" w:hAnsi="Calibri Light" w:cs="Calibri Light"/>
          <w:lang w:val="fr-FR"/>
        </w:rPr>
        <w:t>l'EFAMA, l'Association européenne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 de la gestion d’actifs</w:t>
      </w:r>
      <w:r w:rsidR="00842B57">
        <w:rPr>
          <w:rFonts w:ascii="Calibri Light" w:eastAsia="Times New Roman" w:hAnsi="Calibri Light" w:cs="Calibri Light"/>
          <w:lang w:val="fr-FR"/>
        </w:rPr>
        <w:t>,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 est </w:t>
      </w:r>
      <w:r w:rsidR="00842B57">
        <w:rPr>
          <w:rFonts w:ascii="Calibri Light" w:eastAsia="Times New Roman" w:hAnsi="Calibri Light" w:cs="Calibri Light"/>
          <w:lang w:val="fr-FR"/>
        </w:rPr>
        <w:t xml:space="preserve">une </w:t>
      </w:r>
      <w:r w:rsidR="00B364F3" w:rsidRPr="00CD4C02">
        <w:rPr>
          <w:rFonts w:ascii="Calibri Light" w:eastAsia="Times New Roman" w:hAnsi="Calibri Light" w:cs="Calibri Light"/>
          <w:lang w:val="fr-FR"/>
        </w:rPr>
        <w:t>« </w:t>
      </w:r>
      <w:r w:rsidR="002E7E9A">
        <w:rPr>
          <w:rFonts w:ascii="Calibri Light" w:eastAsia="Times New Roman" w:hAnsi="Calibri Light" w:cs="Calibri Light"/>
          <w:lang w:val="fr-FR"/>
        </w:rPr>
        <w:t>a</w:t>
      </w:r>
      <w:r w:rsidR="00B364F3" w:rsidRPr="00CD4C02">
        <w:rPr>
          <w:rFonts w:ascii="Calibri Light" w:eastAsia="Times New Roman" w:hAnsi="Calibri Light" w:cs="Calibri Light"/>
          <w:lang w:val="fr-FR"/>
        </w:rPr>
        <w:t>ssociation professionnelle ».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</w:p>
    <w:p w14:paraId="6E0CCAF5" w14:textId="2D0F3BCD" w:rsidR="008E5F6C" w:rsidRPr="00CD4C02" w:rsidRDefault="00B04EAA">
      <w:pPr>
        <w:spacing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En </w:t>
      </w:r>
      <w:hyperlink r:id="rId11" w:history="1">
        <w:r w:rsidRPr="00CD4C02">
          <w:rPr>
            <w:rStyle w:val="Hyperlink"/>
            <w:rFonts w:ascii="Calibri Light" w:eastAsia="Times New Roman" w:hAnsi="Calibri Light" w:cs="Calibri Light"/>
            <w:lang w:val="fr-FR"/>
          </w:rPr>
          <w:t>janvier 2020, BETTER FINANCE a</w:t>
        </w:r>
        <w:r w:rsidR="00B364F3" w:rsidRPr="00CD4C02">
          <w:rPr>
            <w:rStyle w:val="Hyperlink"/>
            <w:rFonts w:ascii="Calibri Light" w:eastAsia="Times New Roman" w:hAnsi="Calibri Light" w:cs="Calibri Light"/>
            <w:lang w:val="fr-FR"/>
          </w:rPr>
          <w:t>vait</w:t>
        </w:r>
        <w:r w:rsidRPr="00CD4C02">
          <w:rPr>
            <w:rStyle w:val="Hyperlink"/>
            <w:rFonts w:ascii="Calibri Light" w:eastAsia="Times New Roman" w:hAnsi="Calibri Light" w:cs="Calibri Light"/>
            <w:lang w:val="fr-FR"/>
          </w:rPr>
          <w:t xml:space="preserve"> déjà réagi</w:t>
        </w:r>
      </w:hyperlink>
      <w:r w:rsidR="00B364F3" w:rsidRPr="00CD4C02">
        <w:rPr>
          <w:rStyle w:val="Hyperlink"/>
          <w:rFonts w:ascii="Calibri Light" w:eastAsia="Times New Roman" w:hAnsi="Calibri Light" w:cs="Calibri Light"/>
          <w:u w:val="none"/>
          <w:lang w:val="fr-FR"/>
        </w:rPr>
        <w:t xml:space="preserve"> </w:t>
      </w:r>
      <w:r w:rsidR="00B364F3" w:rsidRPr="00CD4C02">
        <w:rPr>
          <w:rFonts w:ascii="Calibri Light" w:eastAsia="Times New Roman" w:hAnsi="Calibri Light" w:cs="Calibri Light"/>
          <w:lang w:val="fr-FR"/>
        </w:rPr>
        <w:t>aux changements apportés</w:t>
      </w:r>
      <w:r w:rsidR="00842B57">
        <w:rPr>
          <w:rFonts w:ascii="Calibri Light" w:eastAsia="Times New Roman" w:hAnsi="Calibri Light" w:cs="Calibri Light"/>
          <w:lang w:val="fr-FR"/>
        </w:rPr>
        <w:t xml:space="preserve"> par le 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règlement AEAPP </w:t>
      </w:r>
      <w:r w:rsidRPr="00CD4C02">
        <w:rPr>
          <w:rStyle w:val="FootnoteReference"/>
          <w:rFonts w:ascii="Calibri Light" w:eastAsia="Times New Roman" w:hAnsi="Calibri Light" w:cs="Calibri Light"/>
          <w:lang w:val="fr-FR"/>
        </w:rPr>
        <w:footnoteReference w:id="7"/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 à la </w:t>
      </w:r>
      <w:r w:rsidRPr="00CD4C02">
        <w:rPr>
          <w:rFonts w:ascii="Calibri Light" w:eastAsia="Times New Roman" w:hAnsi="Calibri Light" w:cs="Calibri Light"/>
          <w:lang w:val="fr-FR"/>
        </w:rPr>
        <w:t>composition de</w:t>
      </w:r>
      <w:r w:rsidR="002E7E9A">
        <w:rPr>
          <w:rFonts w:ascii="Calibri Light" w:eastAsia="Times New Roman" w:hAnsi="Calibri Light" w:cs="Calibri Light"/>
          <w:lang w:val="fr-FR"/>
        </w:rPr>
        <w:t xml:space="preserve">s </w:t>
      </w:r>
      <w:r w:rsidRPr="00CD4C02">
        <w:rPr>
          <w:rFonts w:ascii="Calibri Light" w:eastAsia="Times New Roman" w:hAnsi="Calibri Light" w:cs="Calibri Light"/>
          <w:lang w:val="fr-FR"/>
        </w:rPr>
        <w:t>groupes de</w:t>
      </w:r>
      <w:r w:rsidR="00842B57">
        <w:rPr>
          <w:rFonts w:ascii="Calibri Light" w:eastAsia="Times New Roman" w:hAnsi="Calibri Light" w:cs="Calibri Light"/>
          <w:lang w:val="fr-FR"/>
        </w:rPr>
        <w:t xml:space="preserve"> parties intéressées</w:t>
      </w:r>
      <w:r w:rsidR="002E7E9A">
        <w:rPr>
          <w:rFonts w:ascii="Calibri Light" w:eastAsia="Times New Roman" w:hAnsi="Calibri Light" w:cs="Calibri Light"/>
          <w:lang w:val="fr-FR"/>
        </w:rPr>
        <w:t xml:space="preserve"> de l’AEAPP, 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épinglant le risque élevé </w:t>
      </w:r>
      <w:r w:rsidRPr="00CD4C02">
        <w:rPr>
          <w:rFonts w:ascii="Calibri Light" w:eastAsia="Times New Roman" w:hAnsi="Calibri Light" w:cs="Calibri Light"/>
          <w:lang w:val="fr-FR"/>
        </w:rPr>
        <w:t xml:space="preserve">voir le nombre de représentants des </w:t>
      </w:r>
      <w:r w:rsidR="00B364F3" w:rsidRPr="00CD4C02">
        <w:rPr>
          <w:rFonts w:ascii="Calibri Light" w:eastAsia="Times New Roman" w:hAnsi="Calibri Light" w:cs="Calibri Light"/>
          <w:lang w:val="fr-FR"/>
        </w:rPr>
        <w:t>usagers réduit</w:t>
      </w:r>
      <w:r w:rsidR="00424303">
        <w:rPr>
          <w:rFonts w:ascii="Calibri Light" w:eastAsia="Times New Roman" w:hAnsi="Calibri Light" w:cs="Calibri Light"/>
          <w:lang w:val="fr-FR"/>
        </w:rPr>
        <w:t>,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 au profit des </w:t>
      </w:r>
      <w:r w:rsidR="00842B57">
        <w:rPr>
          <w:rFonts w:ascii="Calibri Light" w:eastAsia="Times New Roman" w:hAnsi="Calibri Light" w:cs="Calibri Light"/>
          <w:lang w:val="fr-FR"/>
        </w:rPr>
        <w:t xml:space="preserve">représentants </w:t>
      </w:r>
      <w:r w:rsidR="00424303">
        <w:rPr>
          <w:rFonts w:ascii="Calibri Light" w:eastAsia="Times New Roman" w:hAnsi="Calibri Light" w:cs="Calibri Light"/>
          <w:lang w:val="fr-FR"/>
        </w:rPr>
        <w:t xml:space="preserve">du </w:t>
      </w:r>
      <w:r w:rsidRPr="00CD4C02">
        <w:rPr>
          <w:rFonts w:ascii="Calibri Light" w:eastAsia="Times New Roman" w:hAnsi="Calibri Light" w:cs="Calibri Light"/>
          <w:lang w:val="fr-FR"/>
        </w:rPr>
        <w:t xml:space="preserve">secteur financier. </w:t>
      </w:r>
    </w:p>
    <w:p w14:paraId="6E0CCAF6" w14:textId="3C75FF5D" w:rsidR="008E5F6C" w:rsidRPr="00CD4C02" w:rsidRDefault="00B04EAA">
      <w:pPr>
        <w:spacing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De plus, la règle de </w:t>
      </w:r>
      <w:r w:rsidRPr="00CD4C02">
        <w:rPr>
          <w:rFonts w:ascii="Calibri Light" w:eastAsia="Times New Roman" w:hAnsi="Calibri Light" w:cs="Calibri Light"/>
          <w:b/>
          <w:bCs/>
          <w:i/>
          <w:iCs/>
          <w:lang w:val="fr-FR"/>
        </w:rPr>
        <w:t xml:space="preserve">représentation équilibrée </w:t>
      </w:r>
      <w:r w:rsidRPr="00CD4C02">
        <w:rPr>
          <w:rFonts w:ascii="Calibri Light" w:eastAsia="Times New Roman" w:hAnsi="Calibri Light" w:cs="Calibri Light"/>
          <w:lang w:val="fr-FR"/>
        </w:rPr>
        <w:t>n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e s’applique plus qu’au secteur financier. </w:t>
      </w:r>
      <w:r w:rsidRPr="00CD4C02">
        <w:rPr>
          <w:rFonts w:ascii="Calibri Light" w:eastAsia="Times New Roman" w:hAnsi="Calibri Light" w:cs="Calibri Light"/>
          <w:lang w:val="fr-FR"/>
        </w:rPr>
        <w:t xml:space="preserve">Guillaume Prache, un </w:t>
      </w:r>
      <w:r w:rsidR="00B364F3" w:rsidRPr="00CD4C02">
        <w:rPr>
          <w:rFonts w:ascii="Calibri Light" w:eastAsia="Times New Roman" w:hAnsi="Calibri Light" w:cs="Calibri Light"/>
          <w:lang w:val="fr-FR"/>
        </w:rPr>
        <w:t>« </w:t>
      </w:r>
      <w:r w:rsidRPr="00CD4C02">
        <w:rPr>
          <w:rFonts w:ascii="Calibri Light" w:eastAsia="Times New Roman" w:hAnsi="Calibri Light" w:cs="Calibri Light"/>
          <w:lang w:val="fr-FR"/>
        </w:rPr>
        <w:t>vétéran</w:t>
      </w:r>
      <w:r w:rsidR="00B364F3" w:rsidRPr="00CD4C02">
        <w:rPr>
          <w:rFonts w:ascii="Calibri Light" w:eastAsia="Times New Roman" w:hAnsi="Calibri Light" w:cs="Calibri Light"/>
          <w:lang w:val="fr-FR"/>
        </w:rPr>
        <w:t> »</w:t>
      </w:r>
      <w:r w:rsidRPr="00CD4C02">
        <w:rPr>
          <w:rFonts w:ascii="Calibri Light" w:eastAsia="Times New Roman" w:hAnsi="Calibri Light" w:cs="Calibri Light"/>
          <w:lang w:val="fr-FR"/>
        </w:rPr>
        <w:t xml:space="preserve"> qui a 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été membre du </w:t>
      </w:r>
      <w:r w:rsidRPr="00CD4C02">
        <w:rPr>
          <w:rFonts w:ascii="Calibri Light" w:eastAsia="Times New Roman" w:hAnsi="Calibri Light" w:cs="Calibri Light"/>
          <w:lang w:val="fr-FR"/>
        </w:rPr>
        <w:t xml:space="preserve">BSG, de l'IRSG et du SMSG, </w:t>
      </w:r>
      <w:r w:rsidR="00B364F3" w:rsidRPr="00CD4C02">
        <w:rPr>
          <w:rFonts w:ascii="Calibri Light" w:eastAsia="Times New Roman" w:hAnsi="Calibri Light" w:cs="Calibri Light"/>
          <w:lang w:val="fr-FR"/>
        </w:rPr>
        <w:t xml:space="preserve">fait remarquer que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>« 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ce qui semblait être </w:t>
      </w:r>
      <w:r w:rsidR="00842B57">
        <w:rPr>
          <w:rFonts w:ascii="Calibri Light" w:eastAsia="Times New Roman" w:hAnsi="Calibri Light" w:cs="Calibri Light"/>
          <w:i/>
          <w:iCs/>
          <w:lang w:val="fr-FR"/>
        </w:rPr>
        <w:t xml:space="preserve">une modification mineure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de la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base juridique a en fait abouti à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la suppression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de la règle </w:t>
      </w:r>
      <w:r w:rsidR="00842B57">
        <w:rPr>
          <w:rFonts w:ascii="Calibri Light" w:eastAsia="Times New Roman" w:hAnsi="Calibri Light" w:cs="Calibri Light"/>
          <w:i/>
          <w:iCs/>
          <w:lang w:val="fr-FR"/>
        </w:rPr>
        <w:t xml:space="preserve">suprême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de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>‘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représentation équilibrée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>’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au sein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des groupes de</w:t>
      </w:r>
      <w:r w:rsidR="00842B57">
        <w:rPr>
          <w:rFonts w:ascii="Calibri Light" w:eastAsia="Times New Roman" w:hAnsi="Calibri Light" w:cs="Calibri Light"/>
          <w:i/>
          <w:iCs/>
          <w:lang w:val="fr-FR"/>
        </w:rPr>
        <w:t xml:space="preserve"> parties intéressées, </w:t>
      </w:r>
      <w:r w:rsidR="00B364F3" w:rsidRPr="00CD4C02">
        <w:rPr>
          <w:rFonts w:ascii="Calibri Light" w:eastAsia="Times New Roman" w:hAnsi="Calibri Light" w:cs="Calibri Light"/>
          <w:i/>
          <w:iCs/>
          <w:lang w:val="fr-FR"/>
        </w:rPr>
        <w:t>faisant pencher désormais la balance du pouvoir en faveur des représentants du secteur ».</w:t>
      </w:r>
      <w:r w:rsidR="005633E4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</w:p>
    <w:p w14:paraId="6E0CCAF7" w14:textId="15D26F1A" w:rsidR="008E5F6C" w:rsidRPr="00CD4C02" w:rsidRDefault="00B04EAA">
      <w:pPr>
        <w:spacing w:after="120" w:line="240" w:lineRule="auto"/>
        <w:jc w:val="both"/>
        <w:rPr>
          <w:rFonts w:ascii="Calibri Light" w:eastAsia="Times New Roman" w:hAnsi="Calibri Light" w:cs="Calibri Light"/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Un coup d'œil rapide 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montre que le pourcentage </w:t>
      </w:r>
      <w:r w:rsidRPr="00CD4C02">
        <w:rPr>
          <w:rFonts w:ascii="Calibri Light" w:eastAsia="Times New Roman" w:hAnsi="Calibri Light" w:cs="Calibri Light"/>
          <w:lang w:val="fr-FR"/>
        </w:rPr>
        <w:t>de représentants des consommateurs et des u</w:t>
      </w:r>
      <w:r w:rsidR="00842B57">
        <w:rPr>
          <w:rFonts w:ascii="Calibri Light" w:eastAsia="Times New Roman" w:hAnsi="Calibri Light" w:cs="Calibri Light"/>
          <w:lang w:val="fr-FR"/>
        </w:rPr>
        <w:t xml:space="preserve">sagers </w:t>
      </w:r>
      <w:r w:rsidR="009676DB" w:rsidRPr="00CD4C02">
        <w:rPr>
          <w:rFonts w:ascii="Calibri Light" w:eastAsia="Times New Roman" w:hAnsi="Calibri Light" w:cs="Calibri Light"/>
          <w:lang w:val="fr-FR"/>
        </w:rPr>
        <w:t>au sein des</w:t>
      </w:r>
      <w:r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842B57">
        <w:rPr>
          <w:rFonts w:ascii="Calibri Light" w:eastAsia="Times New Roman" w:hAnsi="Calibri Light" w:cs="Calibri Light"/>
          <w:lang w:val="fr-FR"/>
        </w:rPr>
        <w:t xml:space="preserve">groupes de parties intéressées 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est passé de </w:t>
      </w:r>
      <w:r w:rsidRPr="00CD4C02">
        <w:rPr>
          <w:rFonts w:ascii="Calibri Light" w:eastAsia="Times New Roman" w:hAnsi="Calibri Light" w:cs="Calibri Light"/>
          <w:lang w:val="fr-FR"/>
        </w:rPr>
        <w:t>de 33 % à 28 %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, et celui </w:t>
      </w:r>
      <w:r w:rsidR="00842B57">
        <w:rPr>
          <w:rFonts w:ascii="Calibri Light" w:eastAsia="Times New Roman" w:hAnsi="Calibri Light" w:cs="Calibri Light"/>
          <w:lang w:val="fr-FR"/>
        </w:rPr>
        <w:t xml:space="preserve">des </w:t>
      </w:r>
      <w:r w:rsidRPr="00CD4C02">
        <w:rPr>
          <w:rFonts w:ascii="Calibri Light" w:eastAsia="Times New Roman" w:hAnsi="Calibri Light" w:cs="Calibri Light"/>
          <w:lang w:val="fr-FR"/>
        </w:rPr>
        <w:t xml:space="preserve">universitaires indépendants de 17 % à 13 %, 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alors que le pourcentage de représentants du secteur </w:t>
      </w:r>
      <w:r w:rsidRPr="00CD4C02">
        <w:rPr>
          <w:rFonts w:ascii="Calibri Light" w:eastAsia="Times New Roman" w:hAnsi="Calibri Light" w:cs="Calibri Light"/>
          <w:lang w:val="fr-FR"/>
        </w:rPr>
        <w:t xml:space="preserve">(y compris les associations professionnelles) </w:t>
      </w:r>
      <w:r w:rsidR="009676DB" w:rsidRPr="00CD4C02">
        <w:rPr>
          <w:rFonts w:ascii="Calibri Light" w:eastAsia="Times New Roman" w:hAnsi="Calibri Light" w:cs="Calibri Light"/>
          <w:lang w:val="fr-FR"/>
        </w:rPr>
        <w:t>a été porté</w:t>
      </w:r>
      <w:r w:rsidR="00842B57">
        <w:rPr>
          <w:rFonts w:ascii="Calibri Light" w:eastAsia="Times New Roman" w:hAnsi="Calibri Light" w:cs="Calibri Light"/>
          <w:lang w:val="fr-FR"/>
        </w:rPr>
        <w:t xml:space="preserve"> à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842B57" w:rsidRPr="00CD4C02">
        <w:rPr>
          <w:rFonts w:ascii="Calibri Light" w:eastAsia="Times New Roman" w:hAnsi="Calibri Light" w:cs="Calibri Light"/>
          <w:lang w:val="fr-FR"/>
        </w:rPr>
        <w:t>48 %</w:t>
      </w:r>
      <w:r w:rsidR="00842B57">
        <w:rPr>
          <w:rFonts w:ascii="Calibri Light" w:eastAsia="Times New Roman" w:hAnsi="Calibri Light" w:cs="Calibri Light"/>
          <w:lang w:val="fr-FR"/>
        </w:rPr>
        <w:t xml:space="preserve"> (contre </w:t>
      </w:r>
      <w:r w:rsidRPr="00CD4C02">
        <w:rPr>
          <w:rFonts w:ascii="Calibri Light" w:eastAsia="Times New Roman" w:hAnsi="Calibri Light" w:cs="Calibri Light"/>
          <w:lang w:val="fr-FR"/>
        </w:rPr>
        <w:t xml:space="preserve">39 % </w:t>
      </w:r>
      <w:r w:rsidR="00842B57">
        <w:rPr>
          <w:rFonts w:ascii="Calibri Light" w:eastAsia="Times New Roman" w:hAnsi="Calibri Light" w:cs="Calibri Light"/>
          <w:lang w:val="fr-FR"/>
        </w:rPr>
        <w:t>précédemment), soit un peu moins de la moitié des membres. Cette</w:t>
      </w:r>
      <w:r w:rsidRPr="00CD4C02">
        <w:rPr>
          <w:rFonts w:ascii="Calibri Light" w:eastAsia="Times New Roman" w:hAnsi="Calibri Light" w:cs="Calibri Light"/>
          <w:lang w:val="fr-FR"/>
        </w:rPr>
        <w:t xml:space="preserve"> situation </w:t>
      </w:r>
      <w:r w:rsidR="009676DB" w:rsidRPr="00CD4C02">
        <w:rPr>
          <w:rFonts w:ascii="Calibri Light" w:eastAsia="Times New Roman" w:hAnsi="Calibri Light" w:cs="Calibri Light"/>
          <w:lang w:val="fr-FR"/>
        </w:rPr>
        <w:t xml:space="preserve">compromet sérieusement les </w:t>
      </w:r>
      <w:r w:rsidRPr="00CD4C02">
        <w:rPr>
          <w:rFonts w:ascii="Calibri Light" w:eastAsia="Times New Roman" w:hAnsi="Calibri Light" w:cs="Calibri Light"/>
          <w:lang w:val="fr-FR"/>
        </w:rPr>
        <w:t xml:space="preserve">efforts déployés pour défendre les intérêts </w:t>
      </w:r>
      <w:r w:rsidR="009676DB" w:rsidRPr="00CD4C02">
        <w:rPr>
          <w:rFonts w:ascii="Calibri Light" w:eastAsia="Times New Roman" w:hAnsi="Calibri Light" w:cs="Calibri Light"/>
          <w:lang w:val="fr-FR"/>
        </w:rPr>
        <w:t>des représentants indépendants du secteur financier.</w:t>
      </w:r>
      <w:r w:rsidRPr="00CD4C02">
        <w:rPr>
          <w:rFonts w:ascii="Calibri Light" w:eastAsia="Times New Roman" w:hAnsi="Calibri Light" w:cs="Calibri Light"/>
          <w:lang w:val="fr-FR"/>
        </w:rPr>
        <w:t xml:space="preserve"> </w:t>
      </w:r>
    </w:p>
    <w:p w14:paraId="6E0CCAF8" w14:textId="44FCE387" w:rsidR="008E5F6C" w:rsidRPr="00CD4C02" w:rsidRDefault="009676DB">
      <w:pPr>
        <w:spacing w:after="120" w:line="240" w:lineRule="auto"/>
        <w:jc w:val="both"/>
        <w:rPr>
          <w:rFonts w:ascii="Calibri Light" w:eastAsia="Times New Roman" w:hAnsi="Calibri Light" w:cs="Calibri Light"/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Et comme si cela ne suffisait pas, les </w:t>
      </w:r>
      <w:r w:rsidR="00B04EAA" w:rsidRPr="00CD4C02">
        <w:rPr>
          <w:rFonts w:ascii="Calibri Light" w:eastAsia="Times New Roman" w:hAnsi="Calibri Light" w:cs="Calibri Light"/>
          <w:lang w:val="fr-FR"/>
        </w:rPr>
        <w:t>AES ont</w:t>
      </w:r>
      <w:r w:rsidR="00CD4C02" w:rsidRPr="00CD4C02">
        <w:rPr>
          <w:rFonts w:ascii="Calibri Light" w:eastAsia="Times New Roman" w:hAnsi="Calibri Light" w:cs="Calibri Light"/>
          <w:lang w:val="fr-FR"/>
        </w:rPr>
        <w:t xml:space="preserve"> </w:t>
      </w:r>
      <w:r w:rsidR="00842B57">
        <w:rPr>
          <w:rFonts w:ascii="Calibri Light" w:eastAsia="Times New Roman" w:hAnsi="Calibri Light" w:cs="Calibri Light"/>
          <w:lang w:val="fr-FR"/>
        </w:rPr>
        <w:t xml:space="preserve">désigné à </w:t>
      </w:r>
      <w:r w:rsidRPr="00CD4C02">
        <w:rPr>
          <w:rFonts w:ascii="Calibri Light" w:eastAsia="Times New Roman" w:hAnsi="Calibri Light" w:cs="Calibri Light"/>
          <w:lang w:val="fr-FR"/>
        </w:rPr>
        <w:t xml:space="preserve">tort des experts « non-consommateurs » </w:t>
      </w:r>
      <w:r w:rsidR="00842B57">
        <w:rPr>
          <w:rFonts w:ascii="Calibri Light" w:eastAsia="Times New Roman" w:hAnsi="Calibri Light" w:cs="Calibri Light"/>
          <w:lang w:val="fr-FR"/>
        </w:rPr>
        <w:t xml:space="preserve">pour la </w:t>
      </w:r>
      <w:r w:rsidR="00CD4C02" w:rsidRPr="00CD4C02">
        <w:rPr>
          <w:rFonts w:ascii="Calibri Light" w:eastAsia="Times New Roman" w:hAnsi="Calibri Light" w:cs="Calibri Light"/>
          <w:lang w:val="fr-FR"/>
        </w:rPr>
        <w:t>catégorie déjà peu nombreuse des r</w:t>
      </w:r>
      <w:r w:rsidR="00B04EAA" w:rsidRPr="00CD4C02">
        <w:rPr>
          <w:rFonts w:ascii="Calibri Light" w:eastAsia="Times New Roman" w:hAnsi="Calibri Light" w:cs="Calibri Light"/>
          <w:lang w:val="fr-FR"/>
        </w:rPr>
        <w:t xml:space="preserve">eprésentants des consommateurs, réduisant encore la voix des citoyens européens au sein des </w:t>
      </w:r>
      <w:r w:rsidR="00CD4C02" w:rsidRPr="00CD4C02">
        <w:rPr>
          <w:rFonts w:ascii="Calibri Light" w:eastAsia="Times New Roman" w:hAnsi="Calibri Light" w:cs="Calibri Light"/>
          <w:lang w:val="fr-FR"/>
        </w:rPr>
        <w:t>groupes de</w:t>
      </w:r>
      <w:r w:rsidR="00842B57">
        <w:rPr>
          <w:rFonts w:ascii="Calibri Light" w:eastAsia="Times New Roman" w:hAnsi="Calibri Light" w:cs="Calibri Light"/>
          <w:lang w:val="fr-FR"/>
        </w:rPr>
        <w:t xml:space="preserve"> parties intéressées.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216"/>
        <w:gridCol w:w="547"/>
        <w:gridCol w:w="216"/>
        <w:gridCol w:w="763"/>
        <w:gridCol w:w="3137"/>
        <w:gridCol w:w="800"/>
        <w:gridCol w:w="831"/>
      </w:tblGrid>
      <w:tr w:rsidR="008E5F6C" w:rsidRPr="00CD4C02" w14:paraId="6E0CCAFA" w14:textId="77777777">
        <w:trPr>
          <w:trHeight w:val="300"/>
          <w:jc w:val="center"/>
        </w:trPr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AF9" w14:textId="34B19CE4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  <w:t>Composition des groupes de</w:t>
            </w:r>
            <w:r w:rsidR="00842B57"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  <w:t xml:space="preserve"> parties intéressées des AES : </w:t>
            </w:r>
            <w:r w:rsidRPr="00CD4C02"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  <w:t>consommateurs/</w:t>
            </w:r>
            <w:r w:rsidR="00CD4C02" w:rsidRPr="00CD4C02"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  <w:t>secteur</w:t>
            </w:r>
          </w:p>
        </w:tc>
      </w:tr>
      <w:tr w:rsidR="008E5F6C" w:rsidRPr="00CD4C02" w14:paraId="6E0CCB01" w14:textId="77777777">
        <w:trPr>
          <w:trHeight w:val="300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AFB" w14:textId="77777777" w:rsidR="008E5F6C" w:rsidRPr="00CD4C02" w:rsidRDefault="008E5F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fr-FR" w:eastAsia="en-GB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AFC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2018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AFD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AFE" w14:textId="77777777" w:rsidR="008E5F6C" w:rsidRPr="00CD4C02" w:rsidRDefault="008E5F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AFF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2018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0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2020</w:t>
            </w:r>
          </w:p>
        </w:tc>
      </w:tr>
      <w:tr w:rsidR="008E5F6C" w:rsidRPr="00CD4C02" w14:paraId="6E0CCB08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2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Valeurs mobilières et marchés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03" w14:textId="77777777" w:rsidR="008E5F6C" w:rsidRPr="00CD4C02" w:rsidRDefault="008E5F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04" w14:textId="77777777" w:rsidR="008E5F6C" w:rsidRPr="00CD4C02" w:rsidRDefault="008E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5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Assurance et réassurance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06" w14:textId="77777777" w:rsidR="008E5F6C" w:rsidRPr="00CD4C02" w:rsidRDefault="008E5F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7" w14:textId="77777777" w:rsidR="008E5F6C" w:rsidRPr="00CD4C02" w:rsidRDefault="008E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8E5F6C" w:rsidRPr="00CD4C02" w14:paraId="6E0CCB0F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9" w14:textId="7FD4A077" w:rsidR="008E5F6C" w:rsidRPr="00CD4C02" w:rsidRDefault="00CD4C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« c</w:t>
            </w:r>
            <w:r w:rsidR="00B04EAA"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onsommateurs et u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sagers </w:t>
            </w: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»</w:t>
            </w:r>
            <w:r w:rsidR="005633E4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 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A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12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B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10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C" w14:textId="63EFDC65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 w:rsid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« consommateurs</w:t>
            </w:r>
            <w:r w:rsidR="00CD4C02"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</w:t>
            </w:r>
            <w:r w:rsid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 » 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D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10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0E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9</w:t>
            </w:r>
          </w:p>
        </w:tc>
      </w:tr>
      <w:tr w:rsidR="008E5F6C" w:rsidRPr="00CD4C02" w14:paraId="6E0CCB16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0" w14:textId="09629BB1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 w:rsidR="00842B57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du secteur </w:t>
            </w:r>
            <w:r w:rsid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** 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1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2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3" w14:textId="1F9ED6AF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 w:rsidR="00842B57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du secteur </w:t>
            </w:r>
            <w:r w:rsid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4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5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15</w:t>
            </w:r>
          </w:p>
        </w:tc>
      </w:tr>
      <w:tr w:rsidR="008E5F6C" w:rsidRPr="00CD4C02" w14:paraId="6E0CCB1D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7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Banque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18" w14:textId="77777777" w:rsidR="008E5F6C" w:rsidRPr="00CD4C02" w:rsidRDefault="008E5F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19" w14:textId="77777777" w:rsidR="008E5F6C" w:rsidRPr="00CD4C02" w:rsidRDefault="008E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A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Pensions professionnelles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CCB1B" w14:textId="77777777" w:rsidR="008E5F6C" w:rsidRPr="00CD4C02" w:rsidRDefault="008E5F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C" w14:textId="77777777" w:rsidR="008E5F6C" w:rsidRPr="00CD4C02" w:rsidRDefault="008E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8E5F6C" w:rsidRPr="00CD4C02" w14:paraId="6E0CCB24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E" w14:textId="40F7D562" w:rsidR="008E5F6C" w:rsidRPr="00CD4C02" w:rsidRDefault="00CD4C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« c</w:t>
            </w: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onsommateurs et u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sagers » </w:t>
            </w: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</w:t>
            </w:r>
            <w:r w:rsidR="005633E4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 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1F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9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0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9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1" w14:textId="5C8FD4AD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 w:rsid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« consommateurs »</w:t>
            </w:r>
            <w:r w:rsidR="00CD4C02"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 </w:t>
            </w: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* (participants </w:t>
            </w:r>
            <w:r w:rsidR="005633E4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aux plans de retraite)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2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8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3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5</w:t>
            </w:r>
          </w:p>
        </w:tc>
      </w:tr>
      <w:tr w:rsidR="008E5F6C" w:rsidRPr="00CD4C02" w14:paraId="6E0CCB2B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5" w14:textId="3C15FE93" w:rsidR="008E5F6C" w:rsidRPr="00CD4C02" w:rsidRDefault="00CD4C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Experts </w:t>
            </w:r>
            <w:r w:rsidR="00842B57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du secteur </w:t>
            </w: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**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6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7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8" w14:textId="42CA8B55" w:rsidR="008E5F6C" w:rsidRPr="00CD4C02" w:rsidRDefault="00CD4C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 xml:space="preserve">Secteur </w:t>
            </w:r>
            <w:r w:rsidR="005633E4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**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9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14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2A" w14:textId="77777777" w:rsidR="008E5F6C" w:rsidRPr="00CD4C02" w:rsidRDefault="00B04EA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color w:val="000000"/>
                <w:lang w:val="fr-FR" w:eastAsia="en-GB"/>
              </w:rPr>
              <w:t>16</w:t>
            </w:r>
          </w:p>
        </w:tc>
      </w:tr>
      <w:tr w:rsidR="008E5F6C" w:rsidRPr="00CD4C02" w14:paraId="6E0CCB30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2C" w14:textId="043E3C8D" w:rsidR="008E5F6C" w:rsidRPr="00CD4C02" w:rsidRDefault="00B04EAA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fr-FR" w:eastAsia="en-GB"/>
              </w:rPr>
              <w:t>Tota</w:t>
            </w:r>
            <w:r w:rsidR="00CD4C02"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fr-FR" w:eastAsia="en-GB"/>
              </w:rPr>
              <w:t>l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2D" w14:textId="77777777" w:rsidR="008E5F6C" w:rsidRPr="00CD4C02" w:rsidRDefault="00B04EAA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2E" w14:textId="77777777" w:rsidR="008E5F6C" w:rsidRPr="00CD4C02" w:rsidRDefault="00B04EAA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2020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2F" w14:textId="1D7466A3" w:rsidR="008E5F6C" w:rsidRPr="00CD4C02" w:rsidRDefault="00B04EAA">
            <w:pPr>
              <w:spacing w:before="120"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* consommateurs =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consommateurs</w:t>
            </w:r>
            <w:r w:rsidR="002E7E9A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autres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usagers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membres de la 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société civile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, etc.</w:t>
            </w:r>
          </w:p>
        </w:tc>
      </w:tr>
      <w:tr w:rsidR="008E5F6C" w:rsidRPr="00CD4C02" w14:paraId="6E0CCB35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1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Représentants des consommateurs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2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33%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3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FF0000"/>
                <w:lang w:val="fr-FR" w:eastAsia="en-GB"/>
              </w:rPr>
              <w:t>28%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4" w14:textId="7214CE28" w:rsidR="008E5F6C" w:rsidRPr="00CD4C02" w:rsidRDefault="00B04EAA">
            <w:pPr>
              <w:spacing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**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secteur</w:t>
            </w:r>
            <w:r w:rsidR="005633E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=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« secteur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acteurs du marché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 », 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IRP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(régimes de retraite professionnelle),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« 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associations professionnelles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 »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, etc.</w:t>
            </w:r>
          </w:p>
        </w:tc>
      </w:tr>
      <w:tr w:rsidR="008E5F6C" w:rsidRPr="00CD4C02" w14:paraId="6E0CCB3A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6" w14:textId="3F09B599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 xml:space="preserve">Représentants </w:t>
            </w:r>
            <w:r w:rsid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du secteur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7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000000"/>
                <w:lang w:val="fr-FR" w:eastAsia="en-GB"/>
              </w:rPr>
              <w:t>39%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8" w14:textId="77777777" w:rsidR="008E5F6C" w:rsidRPr="00CD4C02" w:rsidRDefault="00B04EA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fr-FR" w:eastAsia="en-GB"/>
              </w:rPr>
            </w:pPr>
            <w:r w:rsidRPr="00CD4C02">
              <w:rPr>
                <w:rFonts w:ascii="Calibri Light" w:eastAsia="Times New Roman" w:hAnsi="Calibri Light" w:cs="Calibri Light"/>
                <w:b/>
                <w:bCs/>
                <w:color w:val="FF0000"/>
                <w:lang w:val="fr-FR" w:eastAsia="en-GB"/>
              </w:rPr>
              <w:t>48%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CB39" w14:textId="62AAC7FE" w:rsidR="008E5F6C" w:rsidRPr="00CD4C02" w:rsidRDefault="00B04EAA">
            <w:pPr>
              <w:spacing w:after="120" w:line="240" w:lineRule="auto"/>
              <w:rPr>
                <w:lang w:val="fr-FR"/>
              </w:rPr>
            </w:pP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  <w:lang w:val="fr-FR" w:eastAsia="en-GB"/>
              </w:rPr>
              <w:t xml:space="preserve">Source 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: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AES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, analyse </w:t>
            </w:r>
            <w:r w:rsid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de </w:t>
            </w:r>
            <w:r w:rsidRPr="00CD4C0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>BF : le think tank ECMI</w:t>
            </w:r>
            <w:r w:rsidR="00E46246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et Governmental IMF ne sont pas repris dans les organisations de consommateurs.</w:t>
            </w:r>
            <w:r w:rsidR="005633E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</w:p>
        </w:tc>
      </w:tr>
    </w:tbl>
    <w:p w14:paraId="6E0CCB3B" w14:textId="223EB8EB" w:rsidR="008E5F6C" w:rsidRPr="00CD4C02" w:rsidRDefault="00B04EAA">
      <w:pPr>
        <w:spacing w:before="120"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 xml:space="preserve">Guillaume Prache souligne </w:t>
      </w:r>
      <w:r w:rsidR="003F431F">
        <w:rPr>
          <w:rFonts w:ascii="Calibri Light" w:eastAsia="Times New Roman" w:hAnsi="Calibri Light" w:cs="Calibri Light"/>
          <w:lang w:val="fr-FR"/>
        </w:rPr>
        <w:t>qu’« </w:t>
      </w:r>
      <w:r w:rsidR="003F431F">
        <w:rPr>
          <w:rFonts w:ascii="Calibri Light" w:eastAsia="Times New Roman" w:hAnsi="Calibri Light" w:cs="Calibri Light"/>
          <w:i/>
          <w:iCs/>
          <w:lang w:val="fr-FR"/>
        </w:rPr>
        <w:t xml:space="preserve">une telle réforme représente vraiment un pas en arrière, et un retour aux pratiques d’avant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2008, lorsque</w:t>
      </w:r>
      <w:r w:rsidR="003F431F">
        <w:rPr>
          <w:rFonts w:ascii="Calibri Light" w:eastAsia="Times New Roman" w:hAnsi="Calibri Light" w:cs="Calibri Light"/>
          <w:i/>
          <w:iCs/>
          <w:lang w:val="fr-FR"/>
        </w:rPr>
        <w:t xml:space="preserve"> les politiques financières de l’UE étaient principalement élaborées par les décideurs politiques et les 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lobbyistes du secteur financier</w:t>
      </w:r>
      <w:r w:rsidR="003F431F">
        <w:rPr>
          <w:rFonts w:ascii="Calibri Light" w:eastAsia="Times New Roman" w:hAnsi="Calibri Light" w:cs="Calibri Light"/>
          <w:i/>
          <w:iCs/>
          <w:lang w:val="fr-FR"/>
        </w:rPr>
        <w:t> »</w:t>
      </w:r>
      <w:r w:rsidRPr="00CD4C02">
        <w:rPr>
          <w:rFonts w:ascii="Calibri Light" w:eastAsia="Times New Roman" w:hAnsi="Calibri Light" w:cs="Calibri Light"/>
          <w:lang w:val="fr-FR"/>
        </w:rPr>
        <w:t xml:space="preserve">. </w:t>
      </w:r>
      <w:r w:rsidR="003F431F">
        <w:rPr>
          <w:rFonts w:ascii="Calibri Light" w:eastAsia="Times New Roman" w:hAnsi="Calibri Light" w:cs="Calibri Light"/>
          <w:lang w:val="fr-FR"/>
        </w:rPr>
        <w:t xml:space="preserve">Elle met en péril certains des </w:t>
      </w:r>
      <w:r w:rsidR="003F431F">
        <w:rPr>
          <w:rFonts w:ascii="Calibri Light" w:eastAsia="Times New Roman" w:hAnsi="Calibri Light" w:cs="Calibri Light"/>
          <w:lang w:val="fr-FR"/>
        </w:rPr>
        <w:lastRenderedPageBreak/>
        <w:t xml:space="preserve">formidables progrès réalisés </w:t>
      </w:r>
      <w:r w:rsidRPr="00CD4C02">
        <w:rPr>
          <w:rFonts w:ascii="Calibri Light" w:eastAsia="Times New Roman" w:hAnsi="Calibri Light" w:cs="Calibri Light"/>
          <w:lang w:val="fr-FR"/>
        </w:rPr>
        <w:t xml:space="preserve">en 2018, </w:t>
      </w:r>
      <w:r w:rsidR="003F431F">
        <w:rPr>
          <w:rFonts w:ascii="Calibri Light" w:eastAsia="Times New Roman" w:hAnsi="Calibri Light" w:cs="Calibri Light"/>
          <w:lang w:val="fr-FR"/>
        </w:rPr>
        <w:t xml:space="preserve">année au cours de laquelle </w:t>
      </w:r>
      <w:r w:rsidRPr="00CD4C02">
        <w:rPr>
          <w:rFonts w:ascii="Calibri Light" w:eastAsia="Times New Roman" w:hAnsi="Calibri Light" w:cs="Calibri Light"/>
          <w:lang w:val="fr-FR"/>
        </w:rPr>
        <w:t>BETTER FINANCE a</w:t>
      </w:r>
      <w:r w:rsidR="003F431F">
        <w:rPr>
          <w:rFonts w:ascii="Calibri Light" w:eastAsia="Times New Roman" w:hAnsi="Calibri Light" w:cs="Calibri Light"/>
          <w:lang w:val="fr-FR"/>
        </w:rPr>
        <w:t xml:space="preserve">vait </w:t>
      </w:r>
      <w:hyperlink r:id="rId12" w:history="1">
        <w:r w:rsidRPr="00CD4C02">
          <w:rPr>
            <w:rStyle w:val="Hyperlink"/>
            <w:rFonts w:ascii="Calibri Light" w:eastAsia="Times New Roman" w:hAnsi="Calibri Light" w:cs="Calibri Light"/>
            <w:lang w:val="fr-FR"/>
          </w:rPr>
          <w:t>félicité</w:t>
        </w:r>
      </w:hyperlink>
      <w:r w:rsidR="003F431F">
        <w:rPr>
          <w:rFonts w:ascii="Calibri Light" w:eastAsia="Times New Roman" w:hAnsi="Calibri Light" w:cs="Calibri Light"/>
          <w:lang w:val="fr-FR"/>
        </w:rPr>
        <w:t xml:space="preserve"> l’A</w:t>
      </w:r>
      <w:r w:rsidRPr="00CD4C02">
        <w:rPr>
          <w:rFonts w:ascii="Calibri Light" w:eastAsia="Times New Roman" w:hAnsi="Calibri Light" w:cs="Calibri Light"/>
          <w:lang w:val="fr-FR"/>
        </w:rPr>
        <w:t xml:space="preserve">EAPP </w:t>
      </w:r>
      <w:r w:rsidR="003F431F">
        <w:rPr>
          <w:rFonts w:ascii="Calibri Light" w:eastAsia="Times New Roman" w:hAnsi="Calibri Light" w:cs="Calibri Light"/>
          <w:lang w:val="fr-FR"/>
        </w:rPr>
        <w:t>d</w:t>
      </w:r>
      <w:r w:rsidR="005633E4">
        <w:rPr>
          <w:rFonts w:ascii="Calibri Light" w:eastAsia="Times New Roman" w:hAnsi="Calibri Light" w:cs="Calibri Light"/>
          <w:lang w:val="fr-FR"/>
        </w:rPr>
        <w:t xml:space="preserve">e s’employer à </w:t>
      </w:r>
      <w:r w:rsidR="003F431F">
        <w:rPr>
          <w:rFonts w:ascii="Calibri Light" w:eastAsia="Times New Roman" w:hAnsi="Calibri Light" w:cs="Calibri Light"/>
          <w:lang w:val="fr-FR"/>
        </w:rPr>
        <w:t>«</w:t>
      </w:r>
      <w:r w:rsidR="00545286">
        <w:rPr>
          <w:rFonts w:ascii="Calibri Light" w:eastAsia="Times New Roman" w:hAnsi="Calibri Light" w:cs="Calibri Light"/>
          <w:lang w:val="fr-FR"/>
        </w:rPr>
        <w:t xml:space="preserve"> assurer une plus grande représentation des </w:t>
      </w:r>
      <w:r w:rsidRPr="00CD4C02">
        <w:rPr>
          <w:rFonts w:ascii="Calibri Light" w:eastAsia="Times New Roman" w:hAnsi="Calibri Light" w:cs="Calibri Light"/>
          <w:lang w:val="fr-FR"/>
        </w:rPr>
        <w:t>consommateurs</w:t>
      </w:r>
      <w:r w:rsidR="00545286">
        <w:rPr>
          <w:rFonts w:ascii="Calibri Light" w:eastAsia="Times New Roman" w:hAnsi="Calibri Light" w:cs="Calibri Light"/>
          <w:lang w:val="fr-FR"/>
        </w:rPr>
        <w:t> »</w:t>
      </w:r>
      <w:r w:rsidRPr="00CD4C02">
        <w:rPr>
          <w:rFonts w:ascii="Calibri Light" w:eastAsia="Times New Roman" w:hAnsi="Calibri Light" w:cs="Calibri Light"/>
          <w:lang w:val="fr-FR"/>
        </w:rPr>
        <w:t xml:space="preserve"> et </w:t>
      </w:r>
      <w:r w:rsidR="002E7E9A">
        <w:rPr>
          <w:rFonts w:ascii="Calibri Light" w:eastAsia="Times New Roman" w:hAnsi="Calibri Light" w:cs="Calibri Light"/>
          <w:lang w:val="fr-FR"/>
        </w:rPr>
        <w:t xml:space="preserve">à </w:t>
      </w:r>
      <w:r w:rsidRPr="00CD4C02">
        <w:rPr>
          <w:rFonts w:ascii="Calibri Light" w:eastAsia="Times New Roman" w:hAnsi="Calibri Light" w:cs="Calibri Light"/>
          <w:lang w:val="fr-FR"/>
        </w:rPr>
        <w:t>respecter l'esprit des règlements européens régissant la surveillance financière européenne</w:t>
      </w:r>
      <w:r w:rsidR="002E7E9A">
        <w:rPr>
          <w:rFonts w:ascii="Calibri Light" w:eastAsia="Times New Roman" w:hAnsi="Calibri Light" w:cs="Calibri Light"/>
          <w:lang w:val="fr-FR"/>
        </w:rPr>
        <w:t>,</w:t>
      </w:r>
      <w:r w:rsidR="00545286">
        <w:rPr>
          <w:rFonts w:ascii="Calibri Light" w:eastAsia="Times New Roman" w:hAnsi="Calibri Light" w:cs="Calibri Light"/>
          <w:lang w:val="fr-FR"/>
        </w:rPr>
        <w:t xml:space="preserve"> qui impose</w:t>
      </w:r>
      <w:r w:rsidR="005633E4">
        <w:rPr>
          <w:rFonts w:ascii="Calibri Light" w:eastAsia="Times New Roman" w:hAnsi="Calibri Light" w:cs="Calibri Light"/>
          <w:lang w:val="fr-FR"/>
        </w:rPr>
        <w:t>nt</w:t>
      </w:r>
      <w:r w:rsidR="00545286">
        <w:rPr>
          <w:rFonts w:ascii="Calibri Light" w:eastAsia="Times New Roman" w:hAnsi="Calibri Light" w:cs="Calibri Light"/>
          <w:lang w:val="fr-FR"/>
        </w:rPr>
        <w:t xml:space="preserve"> une participation équilibrée des représentants du secteur et des usagers de détail ».</w:t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</w:p>
    <w:p w14:paraId="6E0CCB3C" w14:textId="1CDCB16B" w:rsidR="008E5F6C" w:rsidRPr="00CD4C02" w:rsidRDefault="00B04EAA">
      <w:pPr>
        <w:spacing w:after="120" w:line="240" w:lineRule="auto"/>
        <w:jc w:val="both"/>
        <w:rPr>
          <w:lang w:val="fr-FR"/>
        </w:rPr>
      </w:pPr>
      <w:r w:rsidRPr="00CD4C02">
        <w:rPr>
          <w:rFonts w:ascii="Calibri Light" w:eastAsia="Times New Roman" w:hAnsi="Calibri Light" w:cs="Calibri Light"/>
          <w:lang w:val="fr-FR"/>
        </w:rPr>
        <w:t>Cette nouvelle composition des groupes de parties</w:t>
      </w:r>
      <w:r w:rsidR="00545286">
        <w:rPr>
          <w:rFonts w:ascii="Calibri Light" w:eastAsia="Times New Roman" w:hAnsi="Calibri Light" w:cs="Calibri Light"/>
          <w:lang w:val="fr-FR"/>
        </w:rPr>
        <w:t xml:space="preserve"> intéressées va clairement à l’encontre des récentes </w:t>
      </w:r>
      <w:r w:rsidRPr="00CD4C02">
        <w:rPr>
          <w:rFonts w:ascii="Calibri Light" w:eastAsia="Times New Roman" w:hAnsi="Calibri Light" w:cs="Calibri Light"/>
          <w:lang w:val="fr-FR"/>
        </w:rPr>
        <w:t>recommandations du</w:t>
      </w:r>
      <w:r w:rsidR="00545286">
        <w:rPr>
          <w:rFonts w:ascii="Calibri Light" w:eastAsia="Times New Roman" w:hAnsi="Calibri Light" w:cs="Calibri Light"/>
          <w:lang w:val="fr-FR"/>
        </w:rPr>
        <w:t xml:space="preserve"> Forum de haut niveau de la Commission européenne sur l’Union des marchés de capitaux qui stipulent que les </w:t>
      </w:r>
      <w:r w:rsidR="002E7E9A">
        <w:rPr>
          <w:rFonts w:ascii="Calibri Light" w:eastAsia="Times New Roman" w:hAnsi="Calibri Light" w:cs="Calibri Light"/>
          <w:lang w:val="fr-FR"/>
        </w:rPr>
        <w:t>A</w:t>
      </w:r>
      <w:r w:rsidRPr="00CD4C02">
        <w:rPr>
          <w:rFonts w:ascii="Calibri Light" w:eastAsia="Times New Roman" w:hAnsi="Calibri Light" w:cs="Calibri Light"/>
          <w:lang w:val="fr-FR"/>
        </w:rPr>
        <w:t xml:space="preserve">utorités européennes de surveillance doivent </w:t>
      </w:r>
      <w:r w:rsidR="00545286">
        <w:rPr>
          <w:rFonts w:ascii="Calibri Light" w:eastAsia="Times New Roman" w:hAnsi="Calibri Light" w:cs="Calibri Light"/>
          <w:i/>
          <w:iCs/>
          <w:lang w:val="fr-FR"/>
        </w:rPr>
        <w:t>« 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>veiller à</w:t>
      </w:r>
      <w:r w:rsidR="00545286">
        <w:rPr>
          <w:rFonts w:ascii="Calibri Light" w:eastAsia="Times New Roman" w:hAnsi="Calibri Light" w:cs="Calibri Light"/>
          <w:i/>
          <w:iCs/>
          <w:lang w:val="fr-FR"/>
        </w:rPr>
        <w:t xml:space="preserve"> une composition équilibrée entre les représentants du secteur et les usagers de détail/consommateurs au sein des groupes de parties intéressées. »</w:t>
      </w:r>
      <w:r w:rsidRPr="00CD4C02">
        <w:rPr>
          <w:rFonts w:ascii="Calibri Light" w:eastAsia="Times New Roman" w:hAnsi="Calibri Light" w:cs="Calibri Light"/>
          <w:i/>
          <w:iCs/>
          <w:lang w:val="fr-FR"/>
        </w:rPr>
        <w:t xml:space="preserve"> </w:t>
      </w:r>
      <w:r w:rsidRPr="00CD4C02">
        <w:rPr>
          <w:rStyle w:val="FootnoteReference"/>
          <w:rFonts w:ascii="Calibri Light" w:eastAsia="Times New Roman" w:hAnsi="Calibri Light" w:cs="Calibri Light"/>
          <w:lang w:val="fr-FR"/>
        </w:rPr>
        <w:footnoteReference w:id="8"/>
      </w:r>
      <w:r w:rsidR="005633E4">
        <w:rPr>
          <w:rFonts w:ascii="Calibri Light" w:eastAsia="Times New Roman" w:hAnsi="Calibri Light" w:cs="Calibri Light"/>
          <w:lang w:val="fr-FR"/>
        </w:rPr>
        <w:t xml:space="preserve"> </w:t>
      </w:r>
    </w:p>
    <w:p w14:paraId="6E0CCB3D" w14:textId="77777777" w:rsidR="008E5F6C" w:rsidRPr="00CD4C02" w:rsidRDefault="00B04EAA">
      <w:pPr>
        <w:spacing w:after="0" w:line="240" w:lineRule="auto"/>
        <w:jc w:val="center"/>
        <w:rPr>
          <w:rFonts w:ascii="Calibri Light" w:hAnsi="Calibri Light" w:cs="Calibri Light"/>
          <w:lang w:val="fr-FR"/>
        </w:rPr>
      </w:pPr>
      <w:r w:rsidRPr="00CD4C02">
        <w:rPr>
          <w:rFonts w:ascii="Calibri Light" w:hAnsi="Calibri Light" w:cs="Calibri Light"/>
          <w:lang w:val="fr-FR"/>
        </w:rPr>
        <w:t>***</w:t>
      </w:r>
    </w:p>
    <w:p w14:paraId="6E0CCB3E" w14:textId="77777777" w:rsidR="008E5F6C" w:rsidRPr="00CD4C02" w:rsidRDefault="00B04EAA">
      <w:pPr>
        <w:pStyle w:val="BodyText"/>
        <w:spacing w:after="0" w:line="240" w:lineRule="auto"/>
        <w:jc w:val="center"/>
        <w:rPr>
          <w:lang w:val="fr-FR"/>
        </w:rPr>
      </w:pPr>
      <w:r w:rsidRPr="00CD4C02">
        <w:rPr>
          <w:rFonts w:ascii="Calibri Light" w:hAnsi="Calibri Light" w:cs="Calibri Light"/>
          <w:sz w:val="20"/>
          <w:u w:val="single"/>
          <w:lang w:val="fr-FR"/>
        </w:rPr>
        <w:t xml:space="preserve">Contact </w:t>
      </w:r>
      <w:r w:rsidRPr="00CD4C02">
        <w:rPr>
          <w:rFonts w:ascii="Calibri Light" w:hAnsi="Calibri Light" w:cs="Calibri Light"/>
          <w:sz w:val="20"/>
          <w:lang w:val="fr-FR"/>
        </w:rPr>
        <w:t xml:space="preserve">: Directeur de la communication ǀ Arnaud Houdmont ǀ +32 (0)2 514 37 77 ǀ </w:t>
      </w:r>
      <w:hyperlink r:id="rId13" w:history="1">
        <w:r w:rsidRPr="00CD4C02">
          <w:rPr>
            <w:rStyle w:val="Hyperlink"/>
            <w:rFonts w:ascii="Calibri Light" w:hAnsi="Calibri Light" w:cs="Calibri Light"/>
            <w:sz w:val="20"/>
            <w:lang w:val="fr-FR"/>
          </w:rPr>
          <w:t>houdmont@betterfinance.eu</w:t>
        </w:r>
      </w:hyperlink>
    </w:p>
    <w:p w14:paraId="6E0CCB3F" w14:textId="77777777" w:rsidR="001C1F83" w:rsidRPr="00CD4C02" w:rsidRDefault="001C1F83">
      <w:pPr>
        <w:rPr>
          <w:lang w:val="fr-FR"/>
        </w:rPr>
        <w:sectPr w:rsidR="001C1F83" w:rsidRPr="00CD4C02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20"/>
        </w:sectPr>
      </w:pPr>
    </w:p>
    <w:p w14:paraId="6E0CCB40" w14:textId="77777777" w:rsidR="008E5F6C" w:rsidRPr="00CD4C02" w:rsidRDefault="008E5F6C">
      <w:pPr>
        <w:pStyle w:val="Heading2"/>
        <w:spacing w:after="80"/>
        <w:rPr>
          <w:lang w:val="fr-FR"/>
        </w:rPr>
      </w:pPr>
    </w:p>
    <w:p w14:paraId="6E0CCB41" w14:textId="77777777" w:rsidR="008E5F6C" w:rsidRPr="00CD4C02" w:rsidRDefault="008E5F6C">
      <w:pPr>
        <w:rPr>
          <w:lang w:val="fr-FR"/>
        </w:rPr>
      </w:pPr>
    </w:p>
    <w:sectPr w:rsidR="008E5F6C" w:rsidRPr="00CD4C02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CCAF9" w14:textId="77777777" w:rsidR="001C1F83" w:rsidRDefault="00B04EAA">
      <w:pPr>
        <w:spacing w:after="0" w:line="240" w:lineRule="auto"/>
      </w:pPr>
      <w:r>
        <w:separator/>
      </w:r>
    </w:p>
  </w:endnote>
  <w:endnote w:type="continuationSeparator" w:id="0">
    <w:p w14:paraId="6E0CCAFB" w14:textId="77777777" w:rsidR="001C1F83" w:rsidRDefault="00B0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CCB03" w14:textId="3C566846" w:rsidR="00380F6F" w:rsidRPr="00B04EAA" w:rsidRDefault="00573F94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>
      <w:rPr>
        <w:b/>
        <w:color w:val="006FB4"/>
        <w:sz w:val="16"/>
        <w:szCs w:val="16"/>
        <w:lang w:val="fr-BE"/>
      </w:rPr>
      <w:t>F</w:t>
    </w:r>
    <w:r w:rsidR="00B04EAA" w:rsidRPr="00B04EAA">
      <w:rPr>
        <w:b/>
        <w:color w:val="006FB4"/>
        <w:sz w:val="16"/>
        <w:szCs w:val="16"/>
        <w:lang w:val="fr-BE"/>
      </w:rPr>
      <w:t xml:space="preserve">édération </w:t>
    </w:r>
    <w:r>
      <w:rPr>
        <w:b/>
        <w:color w:val="006FB4"/>
        <w:sz w:val="16"/>
        <w:szCs w:val="16"/>
        <w:lang w:val="fr-BE"/>
      </w:rPr>
      <w:t>E</w:t>
    </w:r>
    <w:r w:rsidR="00B04EAA" w:rsidRPr="00B04EAA">
      <w:rPr>
        <w:b/>
        <w:color w:val="006FB4"/>
        <w:sz w:val="16"/>
        <w:szCs w:val="16"/>
        <w:lang w:val="fr-BE"/>
      </w:rPr>
      <w:t xml:space="preserve">uropéenne des </w:t>
    </w:r>
    <w:r>
      <w:rPr>
        <w:b/>
        <w:color w:val="006FB4"/>
        <w:sz w:val="16"/>
        <w:szCs w:val="16"/>
        <w:lang w:val="fr-BE"/>
      </w:rPr>
      <w:t>I</w:t>
    </w:r>
    <w:r w:rsidR="00B04EAA" w:rsidRPr="00B04EAA">
      <w:rPr>
        <w:b/>
        <w:color w:val="006FB4"/>
        <w:sz w:val="16"/>
        <w:szCs w:val="16"/>
        <w:lang w:val="fr-BE"/>
      </w:rPr>
      <w:t xml:space="preserve">nvestisseurs et </w:t>
    </w:r>
    <w:r>
      <w:rPr>
        <w:b/>
        <w:color w:val="006FB4"/>
        <w:sz w:val="16"/>
        <w:szCs w:val="16"/>
        <w:lang w:val="fr-BE"/>
      </w:rPr>
      <w:t>Usagers de</w:t>
    </w:r>
    <w:r w:rsidR="00424303">
      <w:rPr>
        <w:b/>
        <w:color w:val="006FB4"/>
        <w:sz w:val="16"/>
        <w:szCs w:val="16"/>
        <w:lang w:val="fr-BE"/>
      </w:rPr>
      <w:t>s</w:t>
    </w:r>
    <w:r>
      <w:rPr>
        <w:b/>
        <w:color w:val="006FB4"/>
        <w:sz w:val="16"/>
        <w:szCs w:val="16"/>
        <w:lang w:val="fr-BE"/>
      </w:rPr>
      <w:t xml:space="preserve"> </w:t>
    </w:r>
    <w:r w:rsidR="00424303">
      <w:rPr>
        <w:b/>
        <w:color w:val="006FB4"/>
        <w:sz w:val="16"/>
        <w:szCs w:val="16"/>
        <w:lang w:val="fr-BE"/>
      </w:rPr>
      <w:t>S</w:t>
    </w:r>
    <w:r w:rsidR="00B04EAA" w:rsidRPr="00B04EAA">
      <w:rPr>
        <w:b/>
        <w:color w:val="006FB4"/>
        <w:sz w:val="16"/>
        <w:szCs w:val="16"/>
        <w:lang w:val="fr-BE"/>
      </w:rPr>
      <w:t xml:space="preserve">ervices </w:t>
    </w:r>
    <w:r w:rsidR="00424303">
      <w:rPr>
        <w:b/>
        <w:color w:val="006FB4"/>
        <w:sz w:val="16"/>
        <w:szCs w:val="16"/>
        <w:lang w:val="fr-BE"/>
      </w:rPr>
      <w:t>F</w:t>
    </w:r>
    <w:r w:rsidR="00B04EAA" w:rsidRPr="00B04EAA">
      <w:rPr>
        <w:b/>
        <w:color w:val="006FB4"/>
        <w:sz w:val="16"/>
        <w:szCs w:val="16"/>
        <w:lang w:val="fr-BE"/>
      </w:rPr>
      <w:t>inanciers</w:t>
    </w:r>
  </w:p>
  <w:p w14:paraId="6E0CCB04" w14:textId="77777777" w:rsidR="00380F6F" w:rsidRDefault="00B04EAA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Bruxelles - Belgique</w:t>
    </w:r>
  </w:p>
  <w:p w14:paraId="6E0CCB05" w14:textId="77777777" w:rsidR="00380F6F" w:rsidRDefault="00B04EAA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Tél.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6E0CCB06" w14:textId="77777777" w:rsidR="00380F6F" w:rsidRDefault="00B04EAA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 : info@betterfinance.eu - </w:t>
    </w:r>
    <w:bookmarkStart w:id="1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CAF5" w14:textId="77777777" w:rsidR="001C1F83" w:rsidRDefault="00B04E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0CCAF7" w14:textId="77777777" w:rsidR="001C1F83" w:rsidRDefault="00B04EAA">
      <w:pPr>
        <w:spacing w:after="0" w:line="240" w:lineRule="auto"/>
      </w:pPr>
      <w:r>
        <w:continuationSeparator/>
      </w:r>
    </w:p>
  </w:footnote>
  <w:footnote w:id="1">
    <w:p w14:paraId="6E0CCAF7" w14:textId="742A7CA6" w:rsidR="008E5F6C" w:rsidRPr="00B04EAA" w:rsidRDefault="00B04EAA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 Les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 xml:space="preserve">trois 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>AES sont l'Autorité européenne des marchés financiers (AEMF), l'Autorité européenne des assurances et des pensions professionnelles (AEAPP) et l'Autorité bancaire européenne (ABE).</w:t>
      </w:r>
    </w:p>
  </w:footnote>
  <w:footnote w:id="2">
    <w:p w14:paraId="6E0CCAF8" w14:textId="7967613D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 </w:t>
      </w:r>
      <w:hyperlink r:id="rId1" w:history="1">
        <w:r w:rsidR="00E46246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>Document de p</w:t>
        </w:r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osition commune </w:t>
        </w:r>
      </w:hyperlink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sur la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 xml:space="preserve">refonte des 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AES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 xml:space="preserve">du Groupe de parties intéressées au secteur bancaire 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(BSG), du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>G</w:t>
      </w:r>
      <w:r w:rsidR="005633E4">
        <w:rPr>
          <w:rFonts w:ascii="Calibri Light" w:hAnsi="Calibri Light" w:cs="Calibri Light"/>
          <w:sz w:val="16"/>
          <w:szCs w:val="16"/>
          <w:lang w:val="fr-BE"/>
        </w:rPr>
        <w:t>r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oupe de parties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 xml:space="preserve">intéressées à l’assurance et à la réassurance (ISRG) et du Groupe de parties intéressées aux pensions professionnelles (OPSG) de l’AEAPP </w:t>
      </w:r>
      <w:r w:rsidR="00424303">
        <w:rPr>
          <w:rFonts w:ascii="Calibri Light" w:hAnsi="Calibri Light" w:cs="Calibri Light"/>
          <w:sz w:val="16"/>
          <w:szCs w:val="16"/>
          <w:lang w:val="fr-BE"/>
        </w:rPr>
        <w:t xml:space="preserve">ainsi que </w:t>
      </w:r>
      <w:r w:rsidR="005633E4">
        <w:rPr>
          <w:rFonts w:ascii="Calibri Light" w:hAnsi="Calibri Light" w:cs="Calibri Light"/>
          <w:sz w:val="16"/>
          <w:szCs w:val="16"/>
          <w:lang w:val="fr-BE"/>
        </w:rPr>
        <w:t xml:space="preserve">du </w:t>
      </w:r>
      <w:r w:rsidR="00E46246">
        <w:rPr>
          <w:rFonts w:ascii="Calibri Light" w:hAnsi="Calibri Light" w:cs="Calibri Light"/>
          <w:sz w:val="16"/>
          <w:szCs w:val="16"/>
          <w:lang w:val="fr-BE"/>
        </w:rPr>
        <w:t xml:space="preserve">Groupe de parties intéressées 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>aux valeurs mobilières et aux marchés (SMSG) de l’AEMF.</w:t>
      </w:r>
      <w:r w:rsidR="005633E4">
        <w:rPr>
          <w:rFonts w:ascii="Calibri Light" w:hAnsi="Calibri Light" w:cs="Calibri Light"/>
          <w:sz w:val="16"/>
          <w:szCs w:val="16"/>
          <w:lang w:val="fr-BE"/>
        </w:rPr>
        <w:t xml:space="preserve"> </w:t>
      </w:r>
    </w:p>
  </w:footnote>
  <w:footnote w:id="3">
    <w:p w14:paraId="6E0CCAF9" w14:textId="0E0A5F0B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2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 </w:t>
        </w:r>
      </w:hyperlink>
      <w:r w:rsidR="00573F94">
        <w:rPr>
          <w:rFonts w:ascii="Calibri Light" w:hAnsi="Calibri Light" w:cs="Calibri Light"/>
          <w:sz w:val="16"/>
          <w:szCs w:val="16"/>
          <w:lang w:val="fr-BE"/>
        </w:rPr>
        <w:t>G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roupe de parties 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>intéressées à l’</w:t>
      </w:r>
      <w:hyperlink r:id="rId3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assurance et </w:t>
        </w:r>
        <w:r w:rsidR="00573F94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>à</w:t>
        </w:r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 la réassurance</w:t>
        </w:r>
      </w:hyperlink>
    </w:p>
  </w:footnote>
  <w:footnote w:id="4">
    <w:p w14:paraId="6E0CCAFA" w14:textId="3EECE277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 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>G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>roupe de parties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 xml:space="preserve"> intéressées aux </w:t>
      </w:r>
      <w:hyperlink r:id="rId4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>pensions professionnelles</w:t>
        </w:r>
      </w:hyperlink>
    </w:p>
  </w:footnote>
  <w:footnote w:id="5">
    <w:p w14:paraId="6E0CCAFB" w14:textId="20B8D549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5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 </w:t>
        </w:r>
      </w:hyperlink>
      <w:r w:rsidR="00573F94">
        <w:rPr>
          <w:rFonts w:ascii="Calibri Light" w:hAnsi="Calibri Light" w:cs="Calibri Light"/>
          <w:sz w:val="16"/>
          <w:szCs w:val="16"/>
          <w:lang w:val="fr-BE"/>
        </w:rPr>
        <w:t>G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roupe 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 xml:space="preserve">de parties intéressées au </w:t>
      </w:r>
      <w:hyperlink r:id="rId6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>secteur bancaire</w:t>
        </w:r>
      </w:hyperlink>
    </w:p>
  </w:footnote>
  <w:footnote w:id="6">
    <w:p w14:paraId="6E0CCAFC" w14:textId="08A02230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7" w:history="1">
        <w:r w:rsidRPr="00B04EAA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 </w:t>
        </w:r>
      </w:hyperlink>
      <w:r w:rsidR="00573F94">
        <w:rPr>
          <w:rFonts w:ascii="Calibri Light" w:hAnsi="Calibri Light" w:cs="Calibri Light"/>
          <w:sz w:val="16"/>
          <w:szCs w:val="16"/>
          <w:lang w:val="fr-BE"/>
        </w:rPr>
        <w:t>Gr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>oupe de</w:t>
      </w:r>
      <w:r w:rsidR="00424303">
        <w:rPr>
          <w:rFonts w:ascii="Calibri Light" w:hAnsi="Calibri Light" w:cs="Calibri Light"/>
          <w:sz w:val="16"/>
          <w:szCs w:val="16"/>
          <w:lang w:val="fr-BE"/>
        </w:rPr>
        <w:t xml:space="preserve"> </w:t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parties </w:t>
      </w:r>
      <w:r w:rsidR="00573F94">
        <w:rPr>
          <w:rFonts w:ascii="Calibri Light" w:hAnsi="Calibri Light" w:cs="Calibri Light"/>
          <w:sz w:val="16"/>
          <w:szCs w:val="16"/>
          <w:lang w:val="fr-BE"/>
        </w:rPr>
        <w:t xml:space="preserve">intéressées aux </w:t>
      </w:r>
      <w:hyperlink r:id="rId8" w:history="1">
        <w:r w:rsidR="00573F94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 xml:space="preserve">valeurs mobilières et aux marchés </w:t>
        </w:r>
      </w:hyperlink>
    </w:p>
  </w:footnote>
  <w:footnote w:id="7">
    <w:p w14:paraId="6E0CCAFD" w14:textId="088EC64E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B04EAA">
        <w:rPr>
          <w:rFonts w:ascii="Calibri Light" w:hAnsi="Calibri Light" w:cs="Calibri Light"/>
          <w:sz w:val="16"/>
          <w:szCs w:val="16"/>
          <w:lang w:val="fr-BE"/>
        </w:rPr>
        <w:t xml:space="preserve"> Voir la position de BETTER FINANCE : </w:t>
      </w:r>
      <w:hyperlink r:id="rId9" w:history="1">
        <w:r w:rsidR="003F431F">
          <w:rPr>
            <w:rStyle w:val="Hyperlink"/>
            <w:rFonts w:ascii="Calibri Light" w:hAnsi="Calibri Light" w:cs="Calibri Light"/>
            <w:sz w:val="16"/>
            <w:szCs w:val="16"/>
            <w:lang w:val="fr-BE"/>
          </w:rPr>
          <w:t>Alliance Letter</w:t>
        </w:r>
      </w:hyperlink>
      <w:r w:rsidR="003F431F">
        <w:rPr>
          <w:rFonts w:ascii="Calibri Light" w:hAnsi="Calibri Light" w:cs="Calibri Light"/>
          <w:sz w:val="16"/>
          <w:szCs w:val="16"/>
          <w:lang w:val="fr-BE"/>
        </w:rPr>
        <w:t xml:space="preserve"> to the EP, EC &amp; EU Council on the Reform of the European Supervisory Authorities and financial consumer protection </w:t>
      </w:r>
    </w:p>
  </w:footnote>
  <w:footnote w:id="8">
    <w:p w14:paraId="6E0CCAFE" w14:textId="18A3F7FC" w:rsidR="008E5F6C" w:rsidRPr="00B04EAA" w:rsidRDefault="00B04EA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B04EAA">
        <w:rPr>
          <w:rFonts w:ascii="Calibri Light" w:hAnsi="Calibri Light" w:cs="Calibri Light"/>
          <w:sz w:val="18"/>
          <w:szCs w:val="18"/>
          <w:lang w:val="fr-BE"/>
        </w:rPr>
        <w:t xml:space="preserve"> </w:t>
      </w:r>
      <w:hyperlink r:id="rId10" w:history="1">
        <w:r w:rsidRPr="00B04EAA">
          <w:rPr>
            <w:rStyle w:val="Hyperlink"/>
            <w:rFonts w:ascii="Calibri Light" w:hAnsi="Calibri Light" w:cs="Calibri Light"/>
            <w:sz w:val="18"/>
            <w:szCs w:val="18"/>
            <w:lang w:val="fr-BE"/>
          </w:rPr>
          <w:t xml:space="preserve">Rapport final </w:t>
        </w:r>
      </w:hyperlink>
      <w:r w:rsidRPr="00B04EAA">
        <w:rPr>
          <w:rFonts w:ascii="Calibri Light" w:hAnsi="Calibri Light" w:cs="Calibri Light"/>
          <w:sz w:val="18"/>
          <w:szCs w:val="18"/>
          <w:lang w:val="fr-BE"/>
        </w:rPr>
        <w:t xml:space="preserve">du Forum de haut niveau sur l'Union des marchés financiers </w:t>
      </w:r>
      <w:r w:rsidR="002E7E9A">
        <w:rPr>
          <w:rFonts w:ascii="Calibri Light" w:hAnsi="Calibri Light" w:cs="Calibri Light"/>
          <w:sz w:val="18"/>
          <w:szCs w:val="18"/>
          <w:lang w:val="fr-BE"/>
        </w:rPr>
        <w:t>–</w:t>
      </w:r>
      <w:r w:rsidRPr="00B04EAA">
        <w:rPr>
          <w:rFonts w:ascii="Calibri Light" w:hAnsi="Calibri Light" w:cs="Calibri Light"/>
          <w:sz w:val="18"/>
          <w:szCs w:val="18"/>
          <w:lang w:val="fr-BE"/>
        </w:rPr>
        <w:t xml:space="preserve"> </w:t>
      </w:r>
      <w:r w:rsidR="002E7E9A">
        <w:rPr>
          <w:rFonts w:ascii="Calibri Light" w:hAnsi="Calibri Light" w:cs="Calibri Light"/>
          <w:sz w:val="18"/>
          <w:szCs w:val="18"/>
          <w:lang w:val="fr-BE"/>
        </w:rPr>
        <w:t xml:space="preserve">A new vision for Europe’s capital markets, </w:t>
      </w:r>
      <w:r w:rsidRPr="00B04EAA">
        <w:rPr>
          <w:rFonts w:ascii="Calibri Light" w:hAnsi="Calibri Light" w:cs="Calibri Light"/>
          <w:sz w:val="18"/>
          <w:szCs w:val="18"/>
          <w:lang w:val="fr-BE"/>
        </w:rPr>
        <w:t>p. 119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CCAFD" w14:textId="77777777" w:rsidR="00380F6F" w:rsidRDefault="00B04E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0CCAF5" wp14:editId="6E0CCAF6">
          <wp:simplePos x="0" y="0"/>
          <wp:positionH relativeFrom="margin">
            <wp:posOffset>2564133</wp:posOffset>
          </wp:positionH>
          <wp:positionV relativeFrom="paragraph">
            <wp:posOffset>-189225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E0CCAFE" w14:textId="77777777" w:rsidR="00380F6F" w:rsidRDefault="00424303">
    <w:pPr>
      <w:pStyle w:val="Header"/>
    </w:pPr>
  </w:p>
  <w:p w14:paraId="6E0CCAFF" w14:textId="77777777" w:rsidR="00380F6F" w:rsidRDefault="00424303">
    <w:pPr>
      <w:pStyle w:val="Header"/>
      <w:rPr>
        <w:sz w:val="12"/>
        <w:szCs w:val="12"/>
      </w:rPr>
    </w:pPr>
  </w:p>
  <w:p w14:paraId="6E0CCB00" w14:textId="77777777" w:rsidR="00380F6F" w:rsidRDefault="00424303">
    <w:pPr>
      <w:pStyle w:val="Header"/>
      <w:rPr>
        <w:sz w:val="12"/>
        <w:szCs w:val="12"/>
      </w:rPr>
    </w:pPr>
  </w:p>
  <w:p w14:paraId="6E0CCB01" w14:textId="77777777" w:rsidR="00380F6F" w:rsidRDefault="00424303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C"/>
    <w:rsid w:val="000448B1"/>
    <w:rsid w:val="001A0865"/>
    <w:rsid w:val="001C1F83"/>
    <w:rsid w:val="002E7E9A"/>
    <w:rsid w:val="003F431F"/>
    <w:rsid w:val="00424303"/>
    <w:rsid w:val="004A64F0"/>
    <w:rsid w:val="00545286"/>
    <w:rsid w:val="005633E4"/>
    <w:rsid w:val="00573F94"/>
    <w:rsid w:val="00842B57"/>
    <w:rsid w:val="008E5F6C"/>
    <w:rsid w:val="009676DB"/>
    <w:rsid w:val="009D2FFB"/>
    <w:rsid w:val="00B04EAA"/>
    <w:rsid w:val="00B364F3"/>
    <w:rsid w:val="00CD4C02"/>
    <w:rsid w:val="00DF2380"/>
    <w:rsid w:val="00E46246"/>
    <w:rsid w:val="00F238E8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AEC"/>
  <w15:docId w15:val="{8A2EEE19-9509-409B-A5C5-6EF74B16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color w:val="365F91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opre">
    <w:name w:val="acopre"/>
    <w:basedOn w:val="DefaultParagraphFont"/>
    <w:rsid w:val="009D2FFB"/>
  </w:style>
  <w:style w:type="character" w:styleId="Emphasis">
    <w:name w:val="Emphasis"/>
    <w:basedOn w:val="DefaultParagraphFont"/>
    <w:uiPriority w:val="20"/>
    <w:qFormat/>
    <w:rsid w:val="009D2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udmont@betterfinance.e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etterfinance.eu/wp-content/uploads/PR_-_EIOPA_IRSG___OPSG_-_190720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tterfinance.eu/publication/alliance-letter-to-the-ep-ec-eu-council-on-the-reform-of-the-european-supervisory-authorities-and-financial-consumer-protection-factual-mistake-in-the-revision-of-the-eiopa-regulation-to-the-det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ma.europa.eu/about-esma/governance/smsg" TargetMode="External"/><Relationship Id="rId3" Type="http://schemas.openxmlformats.org/officeDocument/2006/relationships/hyperlink" Target="https://www.eiopa.europa.eu/about/working-stakeholders/insurance-and-reinsurance-stakeholder-group_en" TargetMode="External"/><Relationship Id="rId7" Type="http://schemas.openxmlformats.org/officeDocument/2006/relationships/hyperlink" Target="https://www.esma.europa.eu/about-esma/governance/smsg" TargetMode="External"/><Relationship Id="rId2" Type="http://schemas.openxmlformats.org/officeDocument/2006/relationships/hyperlink" Target="https://www.eiopa.europa.eu/about/working-stakeholders/insurance-and-reinsurance-stakeholder-group_en" TargetMode="External"/><Relationship Id="rId1" Type="http://schemas.openxmlformats.org/officeDocument/2006/relationships/hyperlink" Target="https://www.esma.europa.eu/sites/default/files/library/esma22-106-2053-joint_opinion_esa_review.pdf" TargetMode="External"/><Relationship Id="rId6" Type="http://schemas.openxmlformats.org/officeDocument/2006/relationships/hyperlink" Target="https://eba.europa.eu/about-us/organisation/banking-stakeholder-group" TargetMode="External"/><Relationship Id="rId5" Type="http://schemas.openxmlformats.org/officeDocument/2006/relationships/hyperlink" Target="https://eba.europa.eu/about-us/organisation/banking-stakeholder-group" TargetMode="External"/><Relationship Id="rId10" Type="http://schemas.openxmlformats.org/officeDocument/2006/relationships/hyperlink" Target="https://ec.europa.eu/info/files/200610-cmu-high-level-forum-final-report_en" TargetMode="External"/><Relationship Id="rId4" Type="http://schemas.openxmlformats.org/officeDocument/2006/relationships/hyperlink" Target="https://www.eiopa.europa.eu/about/working-stakeholders/occupational-pensions-stakeholder-group_en" TargetMode="External"/><Relationship Id="rId9" Type="http://schemas.openxmlformats.org/officeDocument/2006/relationships/hyperlink" Target="https://betterfinance.eu/publication/alliance-letter-to-the-ep-ec-eu-council-on-the-reform-of-the-european-supervisory-authorities-and-financial-consumer-protection-factual-mistake-in-the-revision-of-the-eiopa-regulation-to-the-de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28ED4-E678-4CF3-B6E7-6721DD3A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8CDAC-D9CB-4704-A3D1-6D69F5ED3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32A3A-EEE7-4148-8393-C329FF566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ISO Translation</cp:lastModifiedBy>
  <cp:revision>4</cp:revision>
  <cp:lastPrinted>2020-06-09T11:09:00Z</cp:lastPrinted>
  <dcterms:created xsi:type="dcterms:W3CDTF">2020-12-09T14:46:00Z</dcterms:created>
  <dcterms:modified xsi:type="dcterms:W3CDTF">2020-12-14T15:57:00Z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