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F60FF" w14:textId="668CF430" w:rsidR="00D46169" w:rsidRPr="005A7E87" w:rsidRDefault="00D46169">
      <w:pPr>
        <w:rPr>
          <w:lang w:val="fr-FR"/>
        </w:rPr>
      </w:pPr>
    </w:p>
    <w:p w14:paraId="3E6F6100" w14:textId="77777777" w:rsidR="00D46169" w:rsidRPr="005A7E87" w:rsidRDefault="00D76177">
      <w:pPr>
        <w:pStyle w:val="BodyText"/>
        <w:spacing w:after="120" w:line="312" w:lineRule="auto"/>
        <w:jc w:val="both"/>
        <w:rPr>
          <w:lang w:val="fr-FR"/>
        </w:rPr>
      </w:pPr>
      <w:bookmarkStart w:id="0" w:name="_Hlk4143464"/>
      <w:r w:rsidRPr="005A7E87">
        <w:rPr>
          <w:rStyle w:val="Strong"/>
          <w:rFonts w:ascii="Calibri Light" w:hAnsi="Calibri Light" w:cs="Calibri Light"/>
          <w:sz w:val="18"/>
          <w:lang w:val="fr-FR"/>
        </w:rPr>
        <w:t xml:space="preserve">COMMUNIQUÉ DE PRESSE </w:t>
      </w:r>
    </w:p>
    <w:p w14:paraId="3E6F6101" w14:textId="528156E5" w:rsidR="00D46169" w:rsidRPr="005A7E87" w:rsidRDefault="005A7E87">
      <w:pPr>
        <w:pBdr>
          <w:bottom w:val="single" w:sz="6" w:space="1" w:color="000000"/>
        </w:pBdr>
        <w:spacing w:before="120" w:after="120"/>
        <w:jc w:val="both"/>
        <w:rPr>
          <w:lang w:val="fr-FR"/>
        </w:rPr>
      </w:pPr>
      <w:r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 xml:space="preserve">CORONAVIRUS ET </w:t>
      </w:r>
      <w:r w:rsidR="00CB268B"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 xml:space="preserve">RETRAITES </w:t>
      </w:r>
      <w:r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 xml:space="preserve">: </w:t>
      </w:r>
      <w:r w:rsidR="00D76177" w:rsidRPr="005A7E87"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 xml:space="preserve">AGE Europe, BETTER FINANCE et le CFA Institute </w:t>
      </w:r>
      <w:r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 xml:space="preserve">appellent à des mesures </w:t>
      </w:r>
      <w:r w:rsidR="00D76177" w:rsidRPr="005A7E87"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>pour protéger les cotisations de retraite, l'épargne</w:t>
      </w:r>
      <w:r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>-</w:t>
      </w:r>
      <w:r w:rsidR="00CB268B"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>retraite e</w:t>
      </w:r>
      <w:r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 xml:space="preserve">t les prestations de retraite </w:t>
      </w:r>
      <w:bookmarkEnd w:id="0"/>
      <w:r w:rsidR="00D76177" w:rsidRPr="005A7E87">
        <w:rPr>
          <w:rFonts w:ascii="Calibri Light" w:hAnsi="Calibri Light" w:cs="Calibri Light"/>
          <w:b/>
          <w:color w:val="365F91"/>
          <w:spacing w:val="20"/>
          <w:kern w:val="3"/>
          <w:sz w:val="30"/>
          <w:szCs w:val="30"/>
          <w:lang w:val="fr-FR"/>
        </w:rPr>
        <w:t xml:space="preserve"> </w:t>
      </w:r>
    </w:p>
    <w:p w14:paraId="3E6F6102" w14:textId="09829224" w:rsidR="00D46169" w:rsidRPr="005A7E87" w:rsidRDefault="00D76177">
      <w:pPr>
        <w:jc w:val="both"/>
        <w:rPr>
          <w:lang w:val="fr-FR"/>
        </w:rPr>
      </w:pPr>
      <w:r w:rsidRPr="005A7E87">
        <w:rPr>
          <w:rFonts w:ascii="Calibri Light" w:hAnsi="Calibri Light" w:cs="Calibri Light"/>
          <w:b/>
          <w:bCs/>
          <w:lang w:val="fr-FR"/>
        </w:rPr>
        <w:t xml:space="preserve">Bruxelles, 23 avril 2020 </w:t>
      </w:r>
      <w:r w:rsidRPr="005A7E87">
        <w:rPr>
          <w:rFonts w:ascii="Calibri Light" w:hAnsi="Calibri Light" w:cs="Calibri Light"/>
          <w:lang w:val="fr-FR"/>
        </w:rPr>
        <w:t>- Les mesures sanitaires, de quarantaine et de distanciation sociale</w:t>
      </w:r>
      <w:r w:rsidR="005A7E87">
        <w:rPr>
          <w:rFonts w:ascii="Calibri Light" w:hAnsi="Calibri Light" w:cs="Calibri Light"/>
          <w:lang w:val="fr-FR"/>
        </w:rPr>
        <w:t xml:space="preserve"> prises pour lutter contre l’actuelle </w:t>
      </w:r>
      <w:r w:rsidR="007D67EC">
        <w:rPr>
          <w:rFonts w:ascii="Calibri Light" w:hAnsi="Calibri Light" w:cs="Calibri Light"/>
          <w:lang w:val="fr-FR"/>
        </w:rPr>
        <w:t xml:space="preserve">pandémie </w:t>
      </w:r>
      <w:r w:rsidRPr="005A7E87">
        <w:rPr>
          <w:rFonts w:ascii="Calibri Light" w:hAnsi="Calibri Light" w:cs="Calibri Light"/>
          <w:lang w:val="fr-FR"/>
        </w:rPr>
        <w:t>de Covid-19 font payer un lourd tribut aux économies du monde entier. Cette stratégie</w:t>
      </w:r>
      <w:r w:rsidR="005A7E87">
        <w:rPr>
          <w:rFonts w:ascii="Calibri Light" w:hAnsi="Calibri Light" w:cs="Calibri Light"/>
          <w:lang w:val="fr-FR"/>
        </w:rPr>
        <w:t xml:space="preserve"> absolument indispensable</w:t>
      </w:r>
      <w:r w:rsidR="007D67EC">
        <w:rPr>
          <w:rFonts w:ascii="Calibri Light" w:hAnsi="Calibri Light" w:cs="Calibri Light"/>
          <w:lang w:val="fr-FR"/>
        </w:rPr>
        <w:t>,</w:t>
      </w:r>
      <w:r w:rsidR="00972D1C">
        <w:rPr>
          <w:rFonts w:ascii="Calibri Light" w:hAnsi="Calibri Light" w:cs="Calibri Light"/>
          <w:lang w:val="fr-FR"/>
        </w:rPr>
        <w:t xml:space="preserve"> </w:t>
      </w:r>
      <w:r w:rsidR="005A7E87">
        <w:rPr>
          <w:rFonts w:ascii="Calibri Light" w:hAnsi="Calibri Light" w:cs="Calibri Light"/>
          <w:lang w:val="fr-FR"/>
        </w:rPr>
        <w:t xml:space="preserve">associée à </w:t>
      </w:r>
      <w:r w:rsidR="00972D1C">
        <w:rPr>
          <w:rFonts w:ascii="Calibri Light" w:hAnsi="Calibri Light" w:cs="Calibri Light"/>
          <w:lang w:val="fr-FR"/>
        </w:rPr>
        <w:t xml:space="preserve">une relance monétaire et budgétaire sans </w:t>
      </w:r>
      <w:r w:rsidR="005A7E87">
        <w:rPr>
          <w:rFonts w:ascii="Calibri Light" w:hAnsi="Calibri Light" w:cs="Calibri Light"/>
          <w:lang w:val="fr-FR"/>
        </w:rPr>
        <w:t>précédent</w:t>
      </w:r>
      <w:r w:rsidR="00972D1C">
        <w:rPr>
          <w:rFonts w:ascii="Calibri Light" w:hAnsi="Calibri Light" w:cs="Calibri Light"/>
          <w:lang w:val="fr-FR"/>
        </w:rPr>
        <w:t xml:space="preserve">, </w:t>
      </w:r>
      <w:r w:rsidRPr="005A7E87">
        <w:rPr>
          <w:rFonts w:ascii="Calibri Light" w:hAnsi="Calibri Light" w:cs="Calibri Light"/>
          <w:lang w:val="fr-FR"/>
        </w:rPr>
        <w:t>aura</w:t>
      </w:r>
      <w:r w:rsidR="00972D1C">
        <w:rPr>
          <w:rFonts w:ascii="Calibri Light" w:hAnsi="Calibri Light" w:cs="Calibri Light"/>
          <w:lang w:val="fr-FR"/>
        </w:rPr>
        <w:t xml:space="preserve"> des répercussions économiques </w:t>
      </w:r>
      <w:r w:rsidR="007D67EC">
        <w:rPr>
          <w:rFonts w:ascii="Calibri Light" w:hAnsi="Calibri Light" w:cs="Calibri Light"/>
          <w:lang w:val="fr-FR"/>
        </w:rPr>
        <w:t xml:space="preserve">durables </w:t>
      </w:r>
      <w:r w:rsidR="00972D1C">
        <w:rPr>
          <w:rFonts w:ascii="Calibri Light" w:hAnsi="Calibri Light" w:cs="Calibri Light"/>
          <w:lang w:val="fr-FR"/>
        </w:rPr>
        <w:t xml:space="preserve">– une conséquence de la fermeture soudaine et légalement imposée de nos </w:t>
      </w:r>
      <w:r w:rsidRPr="005A7E87">
        <w:rPr>
          <w:rFonts w:ascii="Calibri Light" w:hAnsi="Calibri Light" w:cs="Calibri Light"/>
          <w:lang w:val="fr-FR"/>
        </w:rPr>
        <w:t xml:space="preserve">économies. </w:t>
      </w:r>
    </w:p>
    <w:p w14:paraId="3E6F6103" w14:textId="4DEDEF55" w:rsidR="00D46169" w:rsidRPr="005A7E87" w:rsidRDefault="007D67EC">
      <w:pPr>
        <w:jc w:val="both"/>
        <w:rPr>
          <w:lang w:val="fr-FR"/>
        </w:rPr>
      </w:pPr>
      <w:r>
        <w:rPr>
          <w:rFonts w:ascii="Calibri Light" w:hAnsi="Calibri Light" w:cs="Calibri Light"/>
          <w:lang w:val="fr-FR"/>
        </w:rPr>
        <w:t xml:space="preserve">Au lendemain de la </w:t>
      </w:r>
      <w:r w:rsidR="00972D1C">
        <w:rPr>
          <w:rFonts w:ascii="Calibri Light" w:hAnsi="Calibri Light" w:cs="Calibri Light"/>
          <w:lang w:val="fr-FR"/>
        </w:rPr>
        <w:t xml:space="preserve">crise </w:t>
      </w:r>
      <w:r w:rsidR="00D76177" w:rsidRPr="005A7E87">
        <w:rPr>
          <w:rFonts w:ascii="Calibri Light" w:hAnsi="Calibri Light" w:cs="Calibri Light"/>
          <w:lang w:val="fr-FR"/>
        </w:rPr>
        <w:t>financière, les gouvernements</w:t>
      </w:r>
      <w:r w:rsidR="00972D1C">
        <w:rPr>
          <w:rFonts w:ascii="Calibri Light" w:hAnsi="Calibri Light" w:cs="Calibri Light"/>
          <w:lang w:val="fr-FR"/>
        </w:rPr>
        <w:t xml:space="preserve"> </w:t>
      </w:r>
      <w:r>
        <w:rPr>
          <w:rFonts w:ascii="Calibri Light" w:hAnsi="Calibri Light" w:cs="Calibri Light"/>
          <w:lang w:val="fr-FR"/>
        </w:rPr>
        <w:t xml:space="preserve">avaient </w:t>
      </w:r>
      <w:r w:rsidR="00972D1C">
        <w:rPr>
          <w:rFonts w:ascii="Calibri Light" w:hAnsi="Calibri Light" w:cs="Calibri Light"/>
          <w:lang w:val="fr-FR"/>
        </w:rPr>
        <w:t>contracté de nouvelles dettes</w:t>
      </w:r>
      <w:r w:rsidR="00D76177" w:rsidRPr="005A7E87">
        <w:rPr>
          <w:rFonts w:ascii="Calibri Light" w:hAnsi="Calibri Light" w:cs="Calibri Light"/>
          <w:lang w:val="fr-FR"/>
        </w:rPr>
        <w:t xml:space="preserve"> pour tenter de relancer la croissance</w:t>
      </w:r>
      <w:r w:rsidR="00972D1C">
        <w:rPr>
          <w:rFonts w:ascii="Calibri Light" w:hAnsi="Calibri Light" w:cs="Calibri Light"/>
          <w:lang w:val="fr-FR"/>
        </w:rPr>
        <w:t xml:space="preserve">. </w:t>
      </w:r>
      <w:r w:rsidR="00D76177" w:rsidRPr="005A7E87">
        <w:rPr>
          <w:rFonts w:ascii="Calibri Light" w:hAnsi="Calibri Light" w:cs="Calibri Light"/>
          <w:lang w:val="fr-FR"/>
        </w:rPr>
        <w:t xml:space="preserve">Les banques centrales </w:t>
      </w:r>
      <w:r w:rsidR="00972D1C">
        <w:rPr>
          <w:rFonts w:ascii="Calibri Light" w:hAnsi="Calibri Light" w:cs="Calibri Light"/>
          <w:lang w:val="fr-FR"/>
        </w:rPr>
        <w:t>ont fait tourner la planche à billets à une allure inédite,</w:t>
      </w:r>
      <w:r w:rsidR="00871989">
        <w:rPr>
          <w:rFonts w:ascii="Calibri Light" w:hAnsi="Calibri Light" w:cs="Calibri Light"/>
          <w:lang w:val="fr-FR"/>
        </w:rPr>
        <w:t xml:space="preserve"> </w:t>
      </w:r>
      <w:r>
        <w:rPr>
          <w:rFonts w:ascii="Calibri Light" w:hAnsi="Calibri Light" w:cs="Calibri Light"/>
          <w:lang w:val="fr-FR"/>
        </w:rPr>
        <w:t xml:space="preserve">faisant gonfler leurs bilans </w:t>
      </w:r>
      <w:r w:rsidR="00871989">
        <w:rPr>
          <w:rFonts w:ascii="Calibri Light" w:hAnsi="Calibri Light" w:cs="Calibri Light"/>
          <w:lang w:val="fr-FR"/>
        </w:rPr>
        <w:t>ces dernières années</w:t>
      </w:r>
      <w:r w:rsidR="00D76177" w:rsidRPr="005A7E87">
        <w:rPr>
          <w:rStyle w:val="FootnoteReference"/>
          <w:rFonts w:ascii="Calibri Light" w:hAnsi="Calibri Light" w:cs="Calibri Light"/>
          <w:lang w:val="fr-FR"/>
        </w:rPr>
        <w:footnoteReference w:id="1"/>
      </w:r>
      <w:r w:rsidR="00871989">
        <w:rPr>
          <w:rFonts w:ascii="Calibri Light" w:hAnsi="Calibri Light" w:cs="Calibri Light"/>
          <w:lang w:val="fr-FR"/>
        </w:rPr>
        <w:t xml:space="preserve"> </w:t>
      </w:r>
      <w:r w:rsidR="00D76177" w:rsidRPr="005A7E87">
        <w:rPr>
          <w:rFonts w:ascii="Calibri Light" w:hAnsi="Calibri Light" w:cs="Calibri Light"/>
          <w:lang w:val="fr-FR"/>
        </w:rPr>
        <w:t>sous l</w:t>
      </w:r>
      <w:r w:rsidR="00871989">
        <w:rPr>
          <w:rFonts w:ascii="Calibri Light" w:hAnsi="Calibri Light" w:cs="Calibri Light"/>
          <w:lang w:val="fr-FR"/>
        </w:rPr>
        <w:t>’effet des mesures d</w:t>
      </w:r>
      <w:r>
        <w:rPr>
          <w:rFonts w:ascii="Calibri Light" w:hAnsi="Calibri Light" w:cs="Calibri Light"/>
          <w:lang w:val="fr-FR"/>
        </w:rPr>
        <w:t>’« assouplissement</w:t>
      </w:r>
      <w:r w:rsidR="00871989">
        <w:rPr>
          <w:rFonts w:ascii="Calibri Light" w:hAnsi="Calibri Light" w:cs="Calibri Light"/>
          <w:lang w:val="fr-FR"/>
        </w:rPr>
        <w:t xml:space="preserve"> qua</w:t>
      </w:r>
      <w:r w:rsidR="00C64B8C">
        <w:rPr>
          <w:rFonts w:ascii="Calibri Light" w:hAnsi="Calibri Light" w:cs="Calibri Light"/>
          <w:lang w:val="fr-FR"/>
        </w:rPr>
        <w:t>ntitatif</w:t>
      </w:r>
      <w:r w:rsidR="00871989">
        <w:rPr>
          <w:rFonts w:ascii="Calibri Light" w:hAnsi="Calibri Light" w:cs="Calibri Light"/>
          <w:lang w:val="fr-FR"/>
        </w:rPr>
        <w:t xml:space="preserve"> » ou de « politique monétaire non-conventionnelle ». </w:t>
      </w:r>
      <w:r w:rsidR="00D76177" w:rsidRPr="005A7E87">
        <w:rPr>
          <w:rFonts w:ascii="Calibri Light" w:hAnsi="Calibri Light" w:cs="Calibri Light"/>
          <w:lang w:val="fr-FR"/>
        </w:rPr>
        <w:t>Les</w:t>
      </w:r>
      <w:r w:rsidR="00871989">
        <w:rPr>
          <w:rFonts w:ascii="Calibri Light" w:hAnsi="Calibri Light" w:cs="Calibri Light"/>
          <w:lang w:val="fr-FR"/>
        </w:rPr>
        <w:t xml:space="preserve"> </w:t>
      </w:r>
      <w:r w:rsidR="00D76177" w:rsidRPr="005A7E87">
        <w:rPr>
          <w:rFonts w:ascii="Calibri Light" w:hAnsi="Calibri Light" w:cs="Calibri Light"/>
          <w:lang w:val="fr-FR"/>
        </w:rPr>
        <w:t xml:space="preserve">citoyens ordinaires, les investisseurs </w:t>
      </w:r>
      <w:r w:rsidR="00871989">
        <w:rPr>
          <w:rFonts w:ascii="Calibri Light" w:hAnsi="Calibri Light" w:cs="Calibri Light"/>
          <w:lang w:val="fr-FR"/>
        </w:rPr>
        <w:t>particuliers</w:t>
      </w:r>
      <w:r>
        <w:rPr>
          <w:rFonts w:ascii="Calibri Light" w:hAnsi="Calibri Light" w:cs="Calibri Light"/>
          <w:lang w:val="fr-FR"/>
        </w:rPr>
        <w:t xml:space="preserve"> et les</w:t>
      </w:r>
      <w:r w:rsidR="00871989">
        <w:rPr>
          <w:rFonts w:ascii="Calibri Light" w:hAnsi="Calibri Light" w:cs="Calibri Light"/>
          <w:lang w:val="fr-FR"/>
        </w:rPr>
        <w:t xml:space="preserve"> </w:t>
      </w:r>
      <w:r w:rsidR="00D76177" w:rsidRPr="005A7E87">
        <w:rPr>
          <w:rFonts w:ascii="Calibri Light" w:hAnsi="Calibri Light" w:cs="Calibri Light"/>
          <w:lang w:val="fr-FR"/>
        </w:rPr>
        <w:t>épargnants de retraite</w:t>
      </w:r>
      <w:r>
        <w:rPr>
          <w:rFonts w:ascii="Calibri Light" w:hAnsi="Calibri Light" w:cs="Calibri Light"/>
          <w:lang w:val="fr-FR"/>
        </w:rPr>
        <w:t xml:space="preserve"> ont finalement payé </w:t>
      </w:r>
      <w:r w:rsidR="00871989">
        <w:rPr>
          <w:rFonts w:ascii="Calibri Light" w:hAnsi="Calibri Light" w:cs="Calibri Light"/>
          <w:lang w:val="fr-FR"/>
        </w:rPr>
        <w:t>l’addition et il est probable</w:t>
      </w:r>
      <w:r>
        <w:rPr>
          <w:rFonts w:ascii="Calibri Light" w:hAnsi="Calibri Light" w:cs="Calibri Light"/>
          <w:lang w:val="fr-FR"/>
        </w:rPr>
        <w:t xml:space="preserve"> que ce soit à nouveau le cas. </w:t>
      </w:r>
      <w:r w:rsidR="00871989">
        <w:rPr>
          <w:rFonts w:ascii="Calibri Light" w:hAnsi="Calibri Light" w:cs="Calibri Light"/>
          <w:lang w:val="fr-FR"/>
        </w:rPr>
        <w:t xml:space="preserve"> </w:t>
      </w:r>
      <w:r w:rsidR="00D76177" w:rsidRPr="005A7E87">
        <w:rPr>
          <w:rFonts w:ascii="Calibri Light" w:hAnsi="Calibri Light" w:cs="Calibri Light"/>
          <w:lang w:val="fr-FR"/>
        </w:rPr>
        <w:t xml:space="preserve"> </w:t>
      </w:r>
      <w:r w:rsidR="00871989">
        <w:rPr>
          <w:rFonts w:ascii="Calibri Light" w:hAnsi="Calibri Light" w:cs="Calibri Light"/>
          <w:lang w:val="fr-FR"/>
        </w:rPr>
        <w:t xml:space="preserve"> </w:t>
      </w:r>
    </w:p>
    <w:p w14:paraId="3E6F6104" w14:textId="3AB9797F" w:rsidR="00D46169" w:rsidRPr="005A7E87" w:rsidRDefault="00D76177">
      <w:pPr>
        <w:jc w:val="both"/>
        <w:rPr>
          <w:lang w:val="fr-FR"/>
        </w:rPr>
      </w:pPr>
      <w:r w:rsidRPr="005A7E87">
        <w:rPr>
          <w:rFonts w:ascii="Calibri Light" w:hAnsi="Calibri Light" w:cs="Calibri Light"/>
          <w:lang w:val="fr-FR"/>
        </w:rPr>
        <w:t xml:space="preserve">Les gouvernements nationaux, les institutions européennes et les banques centrales </w:t>
      </w:r>
      <w:r w:rsidR="00871989">
        <w:rPr>
          <w:rFonts w:ascii="Calibri Light" w:hAnsi="Calibri Light" w:cs="Calibri Light"/>
          <w:lang w:val="fr-FR"/>
        </w:rPr>
        <w:t xml:space="preserve">ont pris la décision d’intervenir pour </w:t>
      </w:r>
      <w:r w:rsidRPr="005A7E87">
        <w:rPr>
          <w:rFonts w:ascii="Calibri Light" w:hAnsi="Calibri Light" w:cs="Calibri Light"/>
          <w:lang w:val="fr-FR"/>
        </w:rPr>
        <w:t>tenter d'atténuer l</w:t>
      </w:r>
      <w:r w:rsidR="00871989">
        <w:rPr>
          <w:rFonts w:ascii="Calibri Light" w:hAnsi="Calibri Light" w:cs="Calibri Light"/>
          <w:lang w:val="fr-FR"/>
        </w:rPr>
        <w:t xml:space="preserve">’impact </w:t>
      </w:r>
      <w:r w:rsidRPr="005A7E87">
        <w:rPr>
          <w:rFonts w:ascii="Calibri Light" w:hAnsi="Calibri Light" w:cs="Calibri Light"/>
          <w:lang w:val="fr-FR"/>
        </w:rPr>
        <w:t>économique</w:t>
      </w:r>
      <w:r w:rsidR="00871989">
        <w:rPr>
          <w:rFonts w:ascii="Calibri Light" w:hAnsi="Calibri Light" w:cs="Calibri Light"/>
          <w:lang w:val="fr-FR"/>
        </w:rPr>
        <w:t xml:space="preserve"> de la </w:t>
      </w:r>
      <w:r w:rsidRPr="005A7E87">
        <w:rPr>
          <w:rFonts w:ascii="Calibri Light" w:hAnsi="Calibri Light" w:cs="Calibri Light"/>
          <w:lang w:val="fr-FR"/>
        </w:rPr>
        <w:t>Covid-19</w:t>
      </w:r>
      <w:r w:rsidR="00871989">
        <w:rPr>
          <w:rFonts w:ascii="Calibri Light" w:hAnsi="Calibri Light" w:cs="Calibri Light"/>
          <w:lang w:val="fr-FR"/>
        </w:rPr>
        <w:t xml:space="preserve"> en lançant des </w:t>
      </w:r>
      <w:r w:rsidRPr="005A7E87">
        <w:rPr>
          <w:rFonts w:ascii="Calibri Light" w:hAnsi="Calibri Light" w:cs="Calibri Light"/>
          <w:lang w:val="fr-FR"/>
        </w:rPr>
        <w:t xml:space="preserve">mesures et des plans de relance </w:t>
      </w:r>
      <w:r w:rsidR="00871989">
        <w:rPr>
          <w:rFonts w:ascii="Calibri Light" w:hAnsi="Calibri Light" w:cs="Calibri Light"/>
          <w:lang w:val="fr-FR"/>
        </w:rPr>
        <w:t xml:space="preserve">fiscale </w:t>
      </w:r>
      <w:r w:rsidRPr="005A7E87">
        <w:rPr>
          <w:rFonts w:ascii="Calibri Light" w:hAnsi="Calibri Light" w:cs="Calibri Light"/>
          <w:lang w:val="fr-FR"/>
        </w:rPr>
        <w:t xml:space="preserve">et monétaire encore plus </w:t>
      </w:r>
      <w:r w:rsidR="00871989">
        <w:rPr>
          <w:rFonts w:ascii="Calibri Light" w:hAnsi="Calibri Light" w:cs="Calibri Light"/>
          <w:lang w:val="fr-FR"/>
        </w:rPr>
        <w:t xml:space="preserve">vastes et plus </w:t>
      </w:r>
      <w:r w:rsidRPr="005A7E87">
        <w:rPr>
          <w:rFonts w:ascii="Calibri Light" w:hAnsi="Calibri Light" w:cs="Calibri Light"/>
          <w:lang w:val="fr-FR"/>
        </w:rPr>
        <w:t>ambitieux</w:t>
      </w:r>
      <w:r w:rsidR="00871989">
        <w:rPr>
          <w:rFonts w:ascii="Calibri Light" w:hAnsi="Calibri Light" w:cs="Calibri Light"/>
          <w:lang w:val="fr-FR"/>
        </w:rPr>
        <w:t>.</w:t>
      </w:r>
      <w:r w:rsidRPr="005A7E87">
        <w:rPr>
          <w:rStyle w:val="FootnoteReference"/>
          <w:rFonts w:ascii="Calibri Light" w:hAnsi="Calibri Light" w:cs="Calibri Light"/>
          <w:lang w:val="fr-FR"/>
        </w:rPr>
        <w:footnoteReference w:id="2"/>
      </w:r>
      <w:r w:rsidR="00871989">
        <w:rPr>
          <w:rFonts w:ascii="Calibri Light" w:hAnsi="Calibri Light" w:cs="Calibri Light"/>
          <w:lang w:val="fr-FR"/>
        </w:rPr>
        <w:t xml:space="preserve"> </w:t>
      </w:r>
      <w:r w:rsidRPr="005A7E87">
        <w:rPr>
          <w:rFonts w:ascii="Calibri Light" w:hAnsi="Calibri Light" w:cs="Calibri Light"/>
          <w:lang w:val="fr-FR"/>
        </w:rPr>
        <w:t>Le 19 mars 2020, la Banque centrale européenne (BCE) a annoncé un programme</w:t>
      </w:r>
      <w:r w:rsidR="00770C57">
        <w:rPr>
          <w:rFonts w:ascii="Calibri Light" w:hAnsi="Calibri Light" w:cs="Calibri Light"/>
          <w:lang w:val="fr-FR"/>
        </w:rPr>
        <w:t xml:space="preserve"> d’achats d’urgence face à la pandémie</w:t>
      </w:r>
      <w:r w:rsidR="00770C57" w:rsidRPr="005A7E87">
        <w:rPr>
          <w:rStyle w:val="FootnoteReference"/>
          <w:rFonts w:ascii="Calibri Light" w:hAnsi="Calibri Light" w:cs="Calibri Light"/>
          <w:lang w:val="fr-FR"/>
        </w:rPr>
        <w:footnoteReference w:id="3"/>
      </w:r>
      <w:r w:rsidR="00770C57">
        <w:rPr>
          <w:rFonts w:ascii="Calibri Light" w:hAnsi="Calibri Light" w:cs="Calibri Light"/>
          <w:lang w:val="fr-FR"/>
        </w:rPr>
        <w:t xml:space="preserve"> doté d’une enveloppe de </w:t>
      </w:r>
      <w:r w:rsidRPr="005A7E87">
        <w:rPr>
          <w:rFonts w:ascii="Calibri Light" w:hAnsi="Calibri Light" w:cs="Calibri Light"/>
          <w:lang w:val="fr-FR"/>
        </w:rPr>
        <w:t>750 milliards</w:t>
      </w:r>
      <w:bookmarkStart w:id="1" w:name="_Hlk58398839"/>
      <w:r w:rsidR="00770C57">
        <w:rPr>
          <w:rFonts w:ascii="Calibri Light" w:hAnsi="Calibri Light" w:cs="Calibri Light"/>
          <w:lang w:val="fr-FR"/>
        </w:rPr>
        <w:t xml:space="preserve"> (venant s’ajouter à une première enveloppe de 120 milliards annoncée le 12 mars</w:t>
      </w:r>
      <w:r w:rsidRPr="005A7E87">
        <w:rPr>
          <w:rStyle w:val="FootnoteReference"/>
          <w:rFonts w:ascii="Calibri Light" w:hAnsi="Calibri Light" w:cs="Calibri Light"/>
          <w:lang w:val="fr-FR"/>
        </w:rPr>
        <w:footnoteReference w:id="4"/>
      </w:r>
      <w:bookmarkEnd w:id="1"/>
      <w:r w:rsidR="00770C57">
        <w:rPr>
          <w:rFonts w:ascii="Calibri Light" w:hAnsi="Calibri Light" w:cs="Calibri Light"/>
          <w:lang w:val="fr-FR"/>
        </w:rPr>
        <w:t>)</w:t>
      </w:r>
      <w:r w:rsidRPr="005A7E87">
        <w:rPr>
          <w:rFonts w:ascii="Calibri Light" w:hAnsi="Calibri Light" w:cs="Calibri Light"/>
          <w:lang w:val="fr-FR"/>
        </w:rPr>
        <w:t xml:space="preserve"> qui contribuera à soutenir les nombreuses initiatives mises en œuvre au niveau national dans les États membres de l'UE. Ce montant n'inclut pas les quelque 3 000 milliards d'euros </w:t>
      </w:r>
      <w:r w:rsidR="007D67EC">
        <w:rPr>
          <w:rFonts w:ascii="Calibri Light" w:hAnsi="Calibri Light" w:cs="Calibri Light"/>
          <w:lang w:val="fr-FR"/>
        </w:rPr>
        <w:t xml:space="preserve">dégagés via des </w:t>
      </w:r>
      <w:r w:rsidR="00770C57">
        <w:rPr>
          <w:rFonts w:ascii="Calibri Light" w:hAnsi="Calibri Light" w:cs="Calibri Light"/>
          <w:lang w:val="fr-FR"/>
        </w:rPr>
        <w:t xml:space="preserve">opérations de refinancement de la </w:t>
      </w:r>
      <w:r w:rsidRPr="005A7E87">
        <w:rPr>
          <w:rFonts w:ascii="Calibri Light" w:hAnsi="Calibri Light" w:cs="Calibri Light"/>
          <w:lang w:val="fr-FR"/>
        </w:rPr>
        <w:t>BCE au taux d'intérêt</w:t>
      </w:r>
      <w:r w:rsidR="00770C57">
        <w:rPr>
          <w:rFonts w:ascii="Calibri Light" w:hAnsi="Calibri Light" w:cs="Calibri Light"/>
          <w:lang w:val="fr-FR"/>
        </w:rPr>
        <w:t xml:space="preserve"> historiquement bas de</w:t>
      </w:r>
      <w:r w:rsidRPr="005A7E87">
        <w:rPr>
          <w:rFonts w:ascii="Calibri Light" w:hAnsi="Calibri Light" w:cs="Calibri Light"/>
          <w:lang w:val="fr-FR"/>
        </w:rPr>
        <w:t xml:space="preserve"> -</w:t>
      </w:r>
      <w:r w:rsidR="007D67EC">
        <w:rPr>
          <w:rFonts w:ascii="Calibri Light" w:hAnsi="Calibri Light" w:cs="Calibri Light"/>
          <w:lang w:val="fr-FR"/>
        </w:rPr>
        <w:t> </w:t>
      </w:r>
      <w:r w:rsidRPr="005A7E87">
        <w:rPr>
          <w:rFonts w:ascii="Calibri Light" w:hAnsi="Calibri Light" w:cs="Calibri Light"/>
          <w:lang w:val="fr-FR"/>
        </w:rPr>
        <w:t>0,75</w:t>
      </w:r>
      <w:r w:rsidR="007D67EC">
        <w:rPr>
          <w:rFonts w:ascii="Calibri Light" w:hAnsi="Calibri Light" w:cs="Calibri Light"/>
          <w:lang w:val="fr-FR"/>
        </w:rPr>
        <w:t> </w:t>
      </w:r>
      <w:r w:rsidRPr="005A7E87">
        <w:rPr>
          <w:rFonts w:ascii="Calibri Light" w:hAnsi="Calibri Light" w:cs="Calibri Light"/>
          <w:lang w:val="fr-FR"/>
        </w:rPr>
        <w:t xml:space="preserve">%. </w:t>
      </w:r>
      <w:r w:rsidR="00770C57">
        <w:rPr>
          <w:rFonts w:ascii="Calibri Light" w:hAnsi="Calibri Light" w:cs="Calibri Light"/>
          <w:lang w:val="fr-FR"/>
        </w:rPr>
        <w:t>Il ne s’agit</w:t>
      </w:r>
      <w:r w:rsidR="00B77403">
        <w:rPr>
          <w:rFonts w:ascii="Calibri Light" w:hAnsi="Calibri Light" w:cs="Calibri Light"/>
          <w:lang w:val="fr-FR"/>
        </w:rPr>
        <w:t xml:space="preserve"> ici</w:t>
      </w:r>
      <w:r w:rsidR="00770C57">
        <w:rPr>
          <w:rFonts w:ascii="Calibri Light" w:hAnsi="Calibri Light" w:cs="Calibri Light"/>
          <w:lang w:val="fr-FR"/>
        </w:rPr>
        <w:t xml:space="preserve"> ni plus ni moins que d’une vaste subvention, </w:t>
      </w:r>
      <w:r w:rsidRPr="005A7E87">
        <w:rPr>
          <w:rFonts w:ascii="Calibri Light" w:hAnsi="Calibri Light" w:cs="Calibri Light"/>
          <w:lang w:val="fr-FR"/>
        </w:rPr>
        <w:t>déguisée mais directe, de la BCE aux banques européennes, puisqu</w:t>
      </w:r>
      <w:r w:rsidR="00006FA5">
        <w:rPr>
          <w:rFonts w:ascii="Calibri Light" w:hAnsi="Calibri Light" w:cs="Calibri Light"/>
          <w:lang w:val="fr-FR"/>
        </w:rPr>
        <w:t>e</w:t>
      </w:r>
      <w:r w:rsidR="007D67EC">
        <w:rPr>
          <w:rFonts w:ascii="Calibri Light" w:hAnsi="Calibri Light" w:cs="Calibri Light"/>
          <w:lang w:val="fr-FR"/>
        </w:rPr>
        <w:t xml:space="preserve"> celles-ci </w:t>
      </w:r>
      <w:r w:rsidR="00006FA5">
        <w:rPr>
          <w:rFonts w:ascii="Calibri Light" w:hAnsi="Calibri Light" w:cs="Calibri Light"/>
          <w:lang w:val="fr-FR"/>
        </w:rPr>
        <w:t xml:space="preserve">gagneront en fait de l’argent en lui empruntant des milliards d’euros par an.  </w:t>
      </w:r>
    </w:p>
    <w:p w14:paraId="3E6F6105" w14:textId="10DBACE3" w:rsidR="00D46169" w:rsidRPr="005A7E87" w:rsidRDefault="00D76177">
      <w:pPr>
        <w:jc w:val="both"/>
        <w:rPr>
          <w:rFonts w:ascii="Calibri Light" w:hAnsi="Calibri Light" w:cs="Calibri Light"/>
          <w:lang w:val="fr-FR"/>
        </w:rPr>
      </w:pPr>
      <w:r w:rsidRPr="005A7E87">
        <w:rPr>
          <w:rFonts w:ascii="Calibri Light" w:hAnsi="Calibri Light" w:cs="Calibri Light"/>
          <w:lang w:val="fr-FR"/>
        </w:rPr>
        <w:t xml:space="preserve">Hélas, comme </w:t>
      </w:r>
      <w:r w:rsidR="00006FA5">
        <w:rPr>
          <w:rFonts w:ascii="Calibri Light" w:hAnsi="Calibri Light" w:cs="Calibri Light"/>
          <w:lang w:val="fr-FR"/>
        </w:rPr>
        <w:t xml:space="preserve">ce fut le cas pour la crise </w:t>
      </w:r>
      <w:r w:rsidRPr="005A7E87">
        <w:rPr>
          <w:rFonts w:ascii="Calibri Light" w:hAnsi="Calibri Light" w:cs="Calibri Light"/>
          <w:lang w:val="fr-FR"/>
        </w:rPr>
        <w:t xml:space="preserve">financière, les </w:t>
      </w:r>
      <w:r w:rsidR="00006FA5">
        <w:rPr>
          <w:rFonts w:ascii="Calibri Light" w:hAnsi="Calibri Light" w:cs="Calibri Light"/>
          <w:lang w:val="fr-FR"/>
        </w:rPr>
        <w:t>épargnants et les petits investisseurs européens (</w:t>
      </w:r>
      <w:r w:rsidRPr="005A7E87">
        <w:rPr>
          <w:rFonts w:ascii="Calibri Light" w:hAnsi="Calibri Light" w:cs="Calibri Light"/>
          <w:lang w:val="fr-FR"/>
        </w:rPr>
        <w:t>c'est-à-dire l</w:t>
      </w:r>
      <w:r w:rsidR="00006FA5">
        <w:rPr>
          <w:rFonts w:ascii="Calibri Light" w:hAnsi="Calibri Light" w:cs="Calibri Light"/>
          <w:lang w:val="fr-FR"/>
        </w:rPr>
        <w:t>es</w:t>
      </w:r>
      <w:r w:rsidRPr="005A7E87">
        <w:rPr>
          <w:rFonts w:ascii="Calibri Light" w:hAnsi="Calibri Light" w:cs="Calibri Light"/>
          <w:lang w:val="fr-FR"/>
        </w:rPr>
        <w:t xml:space="preserve"> classes moyennes) risquent </w:t>
      </w:r>
      <w:r w:rsidR="00006FA5">
        <w:rPr>
          <w:rFonts w:ascii="Calibri Light" w:hAnsi="Calibri Light" w:cs="Calibri Light"/>
          <w:lang w:val="fr-FR"/>
        </w:rPr>
        <w:t xml:space="preserve">fort bien </w:t>
      </w:r>
      <w:r w:rsidRPr="005A7E87">
        <w:rPr>
          <w:rFonts w:ascii="Calibri Light" w:hAnsi="Calibri Light" w:cs="Calibri Light"/>
          <w:lang w:val="fr-FR"/>
        </w:rPr>
        <w:t xml:space="preserve">de payer une </w:t>
      </w:r>
      <w:r w:rsidR="00006FA5">
        <w:rPr>
          <w:rFonts w:ascii="Calibri Light" w:hAnsi="Calibri Light" w:cs="Calibri Light"/>
          <w:lang w:val="fr-FR"/>
        </w:rPr>
        <w:t xml:space="preserve">nouvelle fois le prix fort, </w:t>
      </w:r>
      <w:r w:rsidRPr="005A7E87">
        <w:rPr>
          <w:rFonts w:ascii="Calibri Light" w:hAnsi="Calibri Light" w:cs="Calibri Light"/>
          <w:lang w:val="fr-FR"/>
        </w:rPr>
        <w:t xml:space="preserve">de manière disproportionnée. </w:t>
      </w:r>
    </w:p>
    <w:p w14:paraId="3E6F6106" w14:textId="42E34DD1" w:rsidR="00D46169" w:rsidRPr="005A7E87" w:rsidRDefault="00D76177">
      <w:pPr>
        <w:jc w:val="both"/>
        <w:rPr>
          <w:lang w:val="fr-FR"/>
        </w:rPr>
      </w:pPr>
      <w:r w:rsidRPr="005A7E87">
        <w:rPr>
          <w:rFonts w:ascii="Calibri Light" w:hAnsi="Calibri Light" w:cs="Calibri Light"/>
          <w:lang w:val="fr-FR"/>
        </w:rPr>
        <w:lastRenderedPageBreak/>
        <w:t>Cela nous amène au concept économique de</w:t>
      </w:r>
      <w:r w:rsidR="00DB0A2E">
        <w:rPr>
          <w:rFonts w:ascii="Calibri Light" w:hAnsi="Calibri Light" w:cs="Calibri Light"/>
          <w:lang w:val="fr-FR"/>
        </w:rPr>
        <w:t xml:space="preserve"> </w:t>
      </w:r>
      <w:r w:rsidR="00DB0A2E">
        <w:rPr>
          <w:rFonts w:ascii="Calibri Light" w:hAnsi="Calibri Light" w:cs="Calibri Light"/>
          <w:i/>
          <w:iCs/>
          <w:lang w:val="fr-FR"/>
        </w:rPr>
        <w:t xml:space="preserve">« répression financière », </w:t>
      </w:r>
      <w:r w:rsidR="00DB0A2E">
        <w:rPr>
          <w:rFonts w:ascii="Calibri Light" w:hAnsi="Calibri Light" w:cs="Calibri Light"/>
          <w:lang w:val="fr-FR"/>
        </w:rPr>
        <w:t xml:space="preserve">résultat </w:t>
      </w:r>
      <w:r w:rsidRPr="005A7E87">
        <w:rPr>
          <w:rFonts w:ascii="Calibri Light" w:hAnsi="Calibri Light" w:cs="Calibri Light"/>
          <w:lang w:val="fr-FR"/>
        </w:rPr>
        <w:t>des politiques mises en œuvre par les gouvernements et les banques centrales lors de la dernière crise et qui seront très probablement</w:t>
      </w:r>
      <w:r w:rsidR="00DB0A2E">
        <w:rPr>
          <w:rFonts w:ascii="Calibri Light" w:hAnsi="Calibri Light" w:cs="Calibri Light"/>
          <w:lang w:val="fr-FR"/>
        </w:rPr>
        <w:t xml:space="preserve"> à nouveau déployées pour faire face à l’imminente crise économique provoquée par </w:t>
      </w:r>
      <w:r w:rsidR="00C64B8C">
        <w:rPr>
          <w:rFonts w:ascii="Calibri Light" w:hAnsi="Calibri Light" w:cs="Calibri Light"/>
          <w:lang w:val="fr-FR"/>
        </w:rPr>
        <w:t xml:space="preserve">la </w:t>
      </w:r>
      <w:r w:rsidR="00C64B8C" w:rsidRPr="005A7E87">
        <w:rPr>
          <w:rFonts w:ascii="Calibri Light" w:hAnsi="Calibri Light" w:cs="Calibri Light"/>
          <w:lang w:val="fr-FR"/>
        </w:rPr>
        <w:t>Covid</w:t>
      </w:r>
      <w:r w:rsidRPr="005A7E87">
        <w:rPr>
          <w:rFonts w:ascii="Calibri Light" w:hAnsi="Calibri Light" w:cs="Calibri Light"/>
          <w:lang w:val="fr-FR"/>
        </w:rPr>
        <w:t>-19</w:t>
      </w:r>
      <w:r w:rsidR="00DB0A2E">
        <w:rPr>
          <w:rFonts w:ascii="Calibri Light" w:hAnsi="Calibri Light" w:cs="Calibri Light"/>
          <w:lang w:val="fr-FR"/>
        </w:rPr>
        <w:t xml:space="preserve">. </w:t>
      </w:r>
      <w:r w:rsidRPr="005A7E87">
        <w:rPr>
          <w:rFonts w:ascii="Calibri Light" w:hAnsi="Calibri Light" w:cs="Calibri Light"/>
          <w:lang w:val="fr-FR"/>
        </w:rPr>
        <w:t>Les gouvernements seront encore plus</w:t>
      </w:r>
      <w:r w:rsidR="00DB0A2E">
        <w:rPr>
          <w:rFonts w:ascii="Calibri Light" w:hAnsi="Calibri Light" w:cs="Calibri Light"/>
          <w:lang w:val="fr-FR"/>
        </w:rPr>
        <w:t xml:space="preserve"> tentés de trouver des </w:t>
      </w:r>
      <w:r w:rsidRPr="005A7E87">
        <w:rPr>
          <w:rFonts w:ascii="Calibri Light" w:hAnsi="Calibri Light" w:cs="Calibri Light"/>
          <w:lang w:val="fr-FR"/>
        </w:rPr>
        <w:t>investisseurs</w:t>
      </w:r>
      <w:r w:rsidR="00DB0A2E">
        <w:rPr>
          <w:rFonts w:ascii="Calibri Light" w:hAnsi="Calibri Light" w:cs="Calibri Light"/>
          <w:lang w:val="fr-FR"/>
        </w:rPr>
        <w:t xml:space="preserve"> qui achèteront des </w:t>
      </w:r>
      <w:r w:rsidRPr="005A7E87">
        <w:rPr>
          <w:rFonts w:ascii="Calibri Light" w:hAnsi="Calibri Light" w:cs="Calibri Light"/>
          <w:lang w:val="fr-FR"/>
        </w:rPr>
        <w:t xml:space="preserve">obligations à taux d'intérêt négatif ou très bas. </w:t>
      </w:r>
      <w:r w:rsidR="00DB0A2E">
        <w:rPr>
          <w:rFonts w:ascii="Calibri Light" w:hAnsi="Calibri Light" w:cs="Calibri Light"/>
          <w:lang w:val="fr-FR"/>
        </w:rPr>
        <w:t xml:space="preserve">L’approche </w:t>
      </w:r>
      <w:r w:rsidRPr="005A7E87">
        <w:rPr>
          <w:rFonts w:ascii="Calibri Light" w:hAnsi="Calibri Light" w:cs="Calibri Light"/>
          <w:lang w:val="fr-FR"/>
        </w:rPr>
        <w:t xml:space="preserve">de répression financière la moins visible pour y </w:t>
      </w:r>
      <w:r w:rsidR="00DB0A2E">
        <w:rPr>
          <w:rFonts w:ascii="Calibri Light" w:hAnsi="Calibri Light" w:cs="Calibri Light"/>
          <w:lang w:val="fr-FR"/>
        </w:rPr>
        <w:t xml:space="preserve">arriver </w:t>
      </w:r>
      <w:r w:rsidRPr="005A7E87">
        <w:rPr>
          <w:rFonts w:ascii="Calibri Light" w:hAnsi="Calibri Light" w:cs="Calibri Light"/>
          <w:lang w:val="fr-FR"/>
        </w:rPr>
        <w:t xml:space="preserve">consiste à </w:t>
      </w:r>
      <w:r w:rsidR="00DB0A2E">
        <w:rPr>
          <w:rFonts w:ascii="Calibri Light" w:hAnsi="Calibri Light" w:cs="Calibri Light"/>
          <w:lang w:val="fr-FR"/>
        </w:rPr>
        <w:t xml:space="preserve">inciter </w:t>
      </w:r>
      <w:r w:rsidRPr="005A7E87">
        <w:rPr>
          <w:rFonts w:ascii="Calibri Light" w:hAnsi="Calibri Light" w:cs="Calibri Light"/>
          <w:lang w:val="fr-FR"/>
        </w:rPr>
        <w:t xml:space="preserve">les banques centrales à acheter massivement des obligations </w:t>
      </w:r>
      <w:r w:rsidR="00DB0A2E">
        <w:rPr>
          <w:rFonts w:ascii="Calibri Light" w:hAnsi="Calibri Light" w:cs="Calibri Light"/>
          <w:lang w:val="fr-FR"/>
        </w:rPr>
        <w:t>d’</w:t>
      </w:r>
      <w:r w:rsidR="00C64B8C">
        <w:rPr>
          <w:rFonts w:ascii="Calibri Light" w:hAnsi="Calibri Light" w:cs="Calibri Light"/>
          <w:lang w:val="fr-FR"/>
        </w:rPr>
        <w:t>É</w:t>
      </w:r>
      <w:r w:rsidR="00DB0A2E">
        <w:rPr>
          <w:rFonts w:ascii="Calibri Light" w:hAnsi="Calibri Light" w:cs="Calibri Light"/>
          <w:lang w:val="fr-FR"/>
        </w:rPr>
        <w:t xml:space="preserve">tat </w:t>
      </w:r>
      <w:r w:rsidRPr="005A7E87">
        <w:rPr>
          <w:rFonts w:ascii="Calibri Light" w:hAnsi="Calibri Light" w:cs="Calibri Light"/>
          <w:lang w:val="fr-FR"/>
        </w:rPr>
        <w:t>sur les marchés secondaires</w:t>
      </w:r>
      <w:r w:rsidR="00DB0A2E">
        <w:rPr>
          <w:rFonts w:ascii="Calibri Light" w:hAnsi="Calibri Light" w:cs="Calibri Light"/>
          <w:lang w:val="fr-FR"/>
        </w:rPr>
        <w:t xml:space="preserve">, par le </w:t>
      </w:r>
      <w:r w:rsidRPr="005A7E87">
        <w:rPr>
          <w:rFonts w:ascii="Calibri Light" w:hAnsi="Calibri Light" w:cs="Calibri Light"/>
          <w:lang w:val="fr-FR"/>
        </w:rPr>
        <w:t xml:space="preserve">biais des campagnes d'assouplissement quantitatif </w:t>
      </w:r>
      <w:r w:rsidR="00DB0A2E">
        <w:rPr>
          <w:rFonts w:ascii="Calibri Light" w:hAnsi="Calibri Light" w:cs="Calibri Light"/>
          <w:lang w:val="fr-FR"/>
        </w:rPr>
        <w:t xml:space="preserve">qui nous sont aujourd’hui familières. </w:t>
      </w:r>
      <w:r w:rsidRPr="005A7E87">
        <w:rPr>
          <w:rFonts w:ascii="Calibri Light" w:hAnsi="Calibri Light" w:cs="Calibri Light"/>
          <w:lang w:val="fr-FR"/>
        </w:rPr>
        <w:t xml:space="preserve">Les règles prudentielles </w:t>
      </w:r>
      <w:r w:rsidR="00DB0A2E">
        <w:rPr>
          <w:rFonts w:ascii="Calibri Light" w:hAnsi="Calibri Light" w:cs="Calibri Light"/>
          <w:lang w:val="fr-FR"/>
        </w:rPr>
        <w:t xml:space="preserve">aujourd’hui applicables aux établissements bancaires et aux assureurs peuvent de fait les </w:t>
      </w:r>
      <w:r w:rsidRPr="005A7E87">
        <w:rPr>
          <w:rFonts w:ascii="Calibri Light" w:hAnsi="Calibri Light" w:cs="Calibri Light"/>
          <w:lang w:val="fr-FR"/>
        </w:rPr>
        <w:t xml:space="preserve">pousser à acheter des titres à rendement négatif. </w:t>
      </w:r>
    </w:p>
    <w:p w14:paraId="3E6F6107" w14:textId="62DACBFC" w:rsidR="00D46169" w:rsidRPr="005A7E87" w:rsidRDefault="00C64B8C">
      <w:pPr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L’impact négatif sur les retraites sera quadruple :  </w:t>
      </w:r>
    </w:p>
    <w:p w14:paraId="3E6F6108" w14:textId="5A4608A7" w:rsidR="00D46169" w:rsidRPr="005A7E87" w:rsidRDefault="00D76177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lang w:val="fr-FR"/>
        </w:rPr>
      </w:pPr>
      <w:r w:rsidRPr="005A7E87">
        <w:rPr>
          <w:rFonts w:ascii="Calibri Light" w:hAnsi="Calibri Light" w:cs="Calibri Light"/>
          <w:b/>
          <w:bCs/>
          <w:lang w:val="fr-FR"/>
        </w:rPr>
        <w:t xml:space="preserve">Les régimes </w:t>
      </w:r>
      <w:r w:rsidR="004A65F3">
        <w:rPr>
          <w:rFonts w:ascii="Calibri Light" w:hAnsi="Calibri Light" w:cs="Calibri Light"/>
          <w:b/>
          <w:bCs/>
          <w:lang w:val="fr-FR"/>
        </w:rPr>
        <w:t xml:space="preserve">de retraite publics </w:t>
      </w:r>
      <w:r w:rsidRPr="005A7E87">
        <w:rPr>
          <w:rFonts w:ascii="Calibri Light" w:hAnsi="Calibri Light" w:cs="Calibri Light"/>
          <w:lang w:val="fr-FR"/>
        </w:rPr>
        <w:t xml:space="preserve">obligatoires </w:t>
      </w:r>
      <w:r w:rsidRPr="005A7E87">
        <w:rPr>
          <w:rFonts w:ascii="Calibri Light" w:hAnsi="Calibri Light" w:cs="Calibri Light"/>
          <w:b/>
          <w:bCs/>
          <w:lang w:val="fr-FR"/>
        </w:rPr>
        <w:t>(</w:t>
      </w:r>
      <w:r w:rsidR="004A65F3">
        <w:rPr>
          <w:rFonts w:ascii="Calibri Light" w:hAnsi="Calibri Light" w:cs="Calibri Light"/>
          <w:b/>
          <w:bCs/>
          <w:lang w:val="fr-FR"/>
        </w:rPr>
        <w:t>« </w:t>
      </w:r>
      <w:r w:rsidR="004A65F3" w:rsidRPr="00C64B8C">
        <w:rPr>
          <w:rFonts w:ascii="Calibri Light" w:hAnsi="Calibri Light" w:cs="Calibri Light"/>
          <w:b/>
          <w:bCs/>
          <w:i/>
          <w:iCs/>
          <w:lang w:val="fr-FR"/>
        </w:rPr>
        <w:t>pay-as-you-go</w:t>
      </w:r>
      <w:r w:rsidR="004A65F3">
        <w:rPr>
          <w:rFonts w:ascii="Calibri Light" w:hAnsi="Calibri Light" w:cs="Calibri Light"/>
          <w:b/>
          <w:bCs/>
          <w:lang w:val="fr-FR"/>
        </w:rPr>
        <w:t> »</w:t>
      </w:r>
      <w:r w:rsidR="00C64B8C">
        <w:rPr>
          <w:rFonts w:ascii="Calibri Light" w:hAnsi="Calibri Light" w:cs="Calibri Light"/>
          <w:b/>
          <w:bCs/>
          <w:lang w:val="fr-FR"/>
        </w:rPr>
        <w:t xml:space="preserve"> ou </w:t>
      </w:r>
      <w:r w:rsidR="004A65F3">
        <w:rPr>
          <w:rFonts w:ascii="Calibri Light" w:hAnsi="Calibri Light" w:cs="Calibri Light"/>
          <w:b/>
          <w:bCs/>
          <w:lang w:val="fr-FR"/>
        </w:rPr>
        <w:t>système</w:t>
      </w:r>
      <w:r w:rsidR="00C64B8C">
        <w:rPr>
          <w:rFonts w:ascii="Calibri Light" w:hAnsi="Calibri Light" w:cs="Calibri Light"/>
          <w:b/>
          <w:bCs/>
          <w:lang w:val="fr-FR"/>
        </w:rPr>
        <w:t>s</w:t>
      </w:r>
      <w:r w:rsidR="004A65F3">
        <w:rPr>
          <w:rFonts w:ascii="Calibri Light" w:hAnsi="Calibri Light" w:cs="Calibri Light"/>
          <w:b/>
          <w:bCs/>
          <w:lang w:val="fr-FR"/>
        </w:rPr>
        <w:t xml:space="preserve"> p</w:t>
      </w:r>
      <w:r w:rsidRPr="005A7E87">
        <w:rPr>
          <w:rFonts w:ascii="Calibri Light" w:hAnsi="Calibri Light" w:cs="Calibri Light"/>
          <w:b/>
          <w:bCs/>
          <w:lang w:val="fr-FR"/>
        </w:rPr>
        <w:t xml:space="preserve">ar répartition) seront </w:t>
      </w:r>
      <w:r w:rsidR="004A65F3">
        <w:rPr>
          <w:rFonts w:ascii="Calibri Light" w:hAnsi="Calibri Light" w:cs="Calibri Light"/>
          <w:b/>
          <w:bCs/>
          <w:lang w:val="fr-FR"/>
        </w:rPr>
        <w:t xml:space="preserve">mis encore à plus rude épreuve </w:t>
      </w:r>
      <w:r w:rsidR="004A65F3">
        <w:rPr>
          <w:rFonts w:ascii="Calibri Light" w:hAnsi="Calibri Light" w:cs="Calibri Light"/>
          <w:lang w:val="fr-FR"/>
        </w:rPr>
        <w:t xml:space="preserve">en raison </w:t>
      </w:r>
      <w:r w:rsidRPr="005A7E87">
        <w:rPr>
          <w:rFonts w:ascii="Calibri Light" w:hAnsi="Calibri Light" w:cs="Calibri Light"/>
          <w:lang w:val="fr-FR"/>
        </w:rPr>
        <w:t xml:space="preserve">du risque d'une hausse sans précédent du chômage et d'une charge budgétaire accrue pour les États membres de l'UE. Leur rôle </w:t>
      </w:r>
      <w:r w:rsidR="00C64B8C" w:rsidRPr="005A7E87">
        <w:rPr>
          <w:rFonts w:ascii="Calibri Light" w:hAnsi="Calibri Light" w:cs="Calibri Light"/>
          <w:lang w:val="fr-FR"/>
        </w:rPr>
        <w:t xml:space="preserve">essentiel </w:t>
      </w:r>
      <w:r w:rsidR="00C64B8C">
        <w:rPr>
          <w:rFonts w:ascii="Calibri Light" w:hAnsi="Calibri Light" w:cs="Calibri Light"/>
          <w:lang w:val="fr-FR"/>
        </w:rPr>
        <w:t>pour</w:t>
      </w:r>
      <w:r w:rsidR="004A65F3">
        <w:rPr>
          <w:rFonts w:ascii="Calibri Light" w:hAnsi="Calibri Light" w:cs="Calibri Light"/>
          <w:lang w:val="fr-FR"/>
        </w:rPr>
        <w:t xml:space="preserve"> garantir des revenus suffisants à toutes les personnes âgées devrait être </w:t>
      </w:r>
      <w:r w:rsidRPr="005A7E87">
        <w:rPr>
          <w:rFonts w:ascii="Calibri Light" w:hAnsi="Calibri Light" w:cs="Calibri Light"/>
          <w:lang w:val="fr-FR"/>
        </w:rPr>
        <w:t xml:space="preserve">protégé, comme le recommande </w:t>
      </w:r>
      <w:r w:rsidR="00B77403">
        <w:rPr>
          <w:rFonts w:ascii="Calibri Light" w:hAnsi="Calibri Light" w:cs="Calibri Light"/>
          <w:lang w:val="fr-FR"/>
        </w:rPr>
        <w:t xml:space="preserve">d’ailleurs </w:t>
      </w:r>
      <w:r w:rsidRPr="005A7E87">
        <w:rPr>
          <w:rFonts w:ascii="Calibri Light" w:hAnsi="Calibri Light" w:cs="Calibri Light"/>
          <w:lang w:val="fr-FR"/>
        </w:rPr>
        <w:t xml:space="preserve">le </w:t>
      </w:r>
      <w:r w:rsidR="004A65F3">
        <w:rPr>
          <w:rFonts w:ascii="Calibri Light" w:hAnsi="Calibri Light" w:cs="Calibri Light"/>
          <w:lang w:val="fr-FR"/>
        </w:rPr>
        <w:t>G</w:t>
      </w:r>
      <w:r w:rsidRPr="005A7E87">
        <w:rPr>
          <w:rFonts w:ascii="Calibri Light" w:hAnsi="Calibri Light" w:cs="Calibri Light"/>
          <w:lang w:val="fr-FR"/>
        </w:rPr>
        <w:t xml:space="preserve">roupe de haut niveau de l'UE sur les </w:t>
      </w:r>
      <w:r w:rsidR="005A568C">
        <w:rPr>
          <w:rFonts w:ascii="Calibri Light" w:hAnsi="Calibri Light" w:cs="Calibri Light"/>
          <w:lang w:val="fr-FR"/>
        </w:rPr>
        <w:t>retraites</w:t>
      </w:r>
      <w:r w:rsidR="004A65F3">
        <w:rPr>
          <w:rFonts w:ascii="Calibri Light" w:hAnsi="Calibri Light" w:cs="Calibri Light"/>
          <w:lang w:val="fr-FR"/>
        </w:rPr>
        <w:t>.</w:t>
      </w:r>
      <w:r w:rsidRPr="005A7E87">
        <w:rPr>
          <w:rStyle w:val="FootnoteReference"/>
          <w:rFonts w:ascii="Calibri Light" w:hAnsi="Calibri Light" w:cs="Calibri Light"/>
          <w:lang w:val="fr-FR"/>
        </w:rPr>
        <w:footnoteReference w:id="5"/>
      </w:r>
    </w:p>
    <w:p w14:paraId="3E6F6109" w14:textId="66D80D96" w:rsidR="00D46169" w:rsidRPr="005A7E87" w:rsidRDefault="00D76177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lang w:val="fr-FR"/>
        </w:rPr>
      </w:pPr>
      <w:r w:rsidRPr="005A7E87">
        <w:rPr>
          <w:rFonts w:ascii="Calibri Light" w:hAnsi="Calibri Light" w:cs="Calibri Light"/>
          <w:b/>
          <w:bCs/>
          <w:lang w:val="fr-FR"/>
        </w:rPr>
        <w:t xml:space="preserve">Les marchés d'actions mondiaux et européens se sont effondrés </w:t>
      </w:r>
      <w:r w:rsidRPr="005A7E87">
        <w:rPr>
          <w:rFonts w:ascii="Calibri Light" w:hAnsi="Calibri Light" w:cs="Calibri Light"/>
          <w:lang w:val="fr-FR"/>
        </w:rPr>
        <w:t xml:space="preserve">(au 14/04/2020, le MSCI World et le STOXX All Europe </w:t>
      </w:r>
      <w:r w:rsidR="007628C0">
        <w:rPr>
          <w:rFonts w:ascii="Calibri Light" w:hAnsi="Calibri Light" w:cs="Calibri Light"/>
          <w:lang w:val="fr-FR"/>
        </w:rPr>
        <w:t xml:space="preserve">avaient perdu respectivement </w:t>
      </w:r>
      <w:r w:rsidRPr="005A7E87">
        <w:rPr>
          <w:rFonts w:ascii="Calibri Light" w:hAnsi="Calibri Light" w:cs="Calibri Light"/>
          <w:lang w:val="fr-FR"/>
        </w:rPr>
        <w:t>18</w:t>
      </w:r>
      <w:r w:rsidR="007628C0">
        <w:rPr>
          <w:rFonts w:ascii="Calibri Light" w:hAnsi="Calibri Light" w:cs="Calibri Light"/>
          <w:lang w:val="fr-FR"/>
        </w:rPr>
        <w:t> %</w:t>
      </w:r>
      <w:r w:rsidRPr="005A7E87">
        <w:rPr>
          <w:rFonts w:ascii="Calibri Light" w:hAnsi="Calibri Light" w:cs="Calibri Light"/>
          <w:lang w:val="fr-FR"/>
        </w:rPr>
        <w:t xml:space="preserve"> et 22 % par rapport au 14 février) et mettront probablement un certain temps à se redresser. Ce</w:t>
      </w:r>
      <w:r w:rsidR="007628C0">
        <w:rPr>
          <w:rFonts w:ascii="Calibri Light" w:hAnsi="Calibri Light" w:cs="Calibri Light"/>
          <w:lang w:val="fr-FR"/>
        </w:rPr>
        <w:t xml:space="preserve">tte situation a un impact </w:t>
      </w:r>
      <w:r w:rsidRPr="005A7E87">
        <w:rPr>
          <w:rFonts w:ascii="Calibri Light" w:hAnsi="Calibri Light" w:cs="Calibri Light"/>
          <w:lang w:val="fr-FR"/>
        </w:rPr>
        <w:t xml:space="preserve">immédiat et direct sur la quasi-totalité des produits de retraite. </w:t>
      </w:r>
      <w:r w:rsidR="00C64B8C" w:rsidRPr="005A568C">
        <w:rPr>
          <w:rFonts w:ascii="Calibri Light" w:hAnsi="Calibri Light" w:cs="Calibri Light"/>
          <w:lang w:val="fr-FR"/>
        </w:rPr>
        <w:t>À</w:t>
      </w:r>
      <w:r w:rsidR="007628C0">
        <w:rPr>
          <w:rFonts w:ascii="Calibri Light" w:hAnsi="Calibri Light" w:cs="Calibri Light"/>
          <w:lang w:val="fr-FR"/>
        </w:rPr>
        <w:t xml:space="preserve"> cela s’ajoute encore le fait que les </w:t>
      </w:r>
      <w:r w:rsidRPr="005A7E87">
        <w:rPr>
          <w:rFonts w:ascii="Calibri Light" w:hAnsi="Calibri Light" w:cs="Calibri Light"/>
          <w:lang w:val="fr-FR"/>
        </w:rPr>
        <w:t xml:space="preserve">gouvernements nationaux et la BCE </w:t>
      </w:r>
      <w:r w:rsidR="007628C0">
        <w:rPr>
          <w:rFonts w:ascii="Calibri Light" w:hAnsi="Calibri Light" w:cs="Calibri Light"/>
          <w:lang w:val="fr-FR"/>
        </w:rPr>
        <w:t xml:space="preserve">appellent à présent à la </w:t>
      </w:r>
      <w:r w:rsidRPr="005A7E87">
        <w:rPr>
          <w:rFonts w:ascii="Calibri Light" w:hAnsi="Calibri Light" w:cs="Calibri Light"/>
          <w:lang w:val="fr-FR"/>
        </w:rPr>
        <w:t xml:space="preserve">suppression des dividendes, </w:t>
      </w:r>
      <w:r w:rsidR="007628C0">
        <w:rPr>
          <w:rFonts w:ascii="Calibri Light" w:hAnsi="Calibri Light" w:cs="Calibri Light"/>
          <w:lang w:val="fr-FR"/>
        </w:rPr>
        <w:t xml:space="preserve">tout en autorisant les </w:t>
      </w:r>
      <w:r w:rsidRPr="005A7E87">
        <w:rPr>
          <w:rFonts w:ascii="Calibri Light" w:hAnsi="Calibri Light" w:cs="Calibri Light"/>
          <w:lang w:val="fr-FR"/>
        </w:rPr>
        <w:t>émetteurs d</w:t>
      </w:r>
      <w:r w:rsidR="007628C0">
        <w:rPr>
          <w:rFonts w:ascii="Calibri Light" w:hAnsi="Calibri Light" w:cs="Calibri Light"/>
          <w:lang w:val="fr-FR"/>
        </w:rPr>
        <w:t xml:space="preserve">’actions </w:t>
      </w:r>
      <w:r w:rsidRPr="005A7E87">
        <w:rPr>
          <w:rFonts w:ascii="Calibri Light" w:hAnsi="Calibri Light" w:cs="Calibri Light"/>
          <w:lang w:val="fr-FR"/>
        </w:rPr>
        <w:t>coté</w:t>
      </w:r>
      <w:r w:rsidR="007628C0">
        <w:rPr>
          <w:rFonts w:ascii="Calibri Light" w:hAnsi="Calibri Light" w:cs="Calibri Light"/>
          <w:lang w:val="fr-FR"/>
        </w:rPr>
        <w:t>e</w:t>
      </w:r>
      <w:r w:rsidRPr="005A7E87">
        <w:rPr>
          <w:rFonts w:ascii="Calibri Light" w:hAnsi="Calibri Light" w:cs="Calibri Light"/>
          <w:lang w:val="fr-FR"/>
        </w:rPr>
        <w:t xml:space="preserve">s de tenir </w:t>
      </w:r>
      <w:r w:rsidR="007628C0">
        <w:rPr>
          <w:rFonts w:ascii="Calibri Light" w:hAnsi="Calibri Light" w:cs="Calibri Light"/>
          <w:lang w:val="fr-FR"/>
        </w:rPr>
        <w:t xml:space="preserve">cette année leurs </w:t>
      </w:r>
      <w:r w:rsidRPr="005A7E87">
        <w:rPr>
          <w:rFonts w:ascii="Calibri Light" w:hAnsi="Calibri Light" w:cs="Calibri Light"/>
          <w:lang w:val="fr-FR"/>
        </w:rPr>
        <w:t>assemblées générales à huis clos</w:t>
      </w:r>
      <w:r w:rsidR="00C64B8C">
        <w:rPr>
          <w:rFonts w:ascii="Calibri Light" w:hAnsi="Calibri Light" w:cs="Calibri Light"/>
          <w:lang w:val="fr-FR"/>
        </w:rPr>
        <w:t xml:space="preserve">, </w:t>
      </w:r>
      <w:r w:rsidRPr="005A7E87">
        <w:rPr>
          <w:rFonts w:ascii="Calibri Light" w:hAnsi="Calibri Light" w:cs="Calibri Light"/>
          <w:lang w:val="fr-FR"/>
        </w:rPr>
        <w:t>privant ainsi les actionnaires d</w:t>
      </w:r>
      <w:r w:rsidR="007628C0">
        <w:rPr>
          <w:rFonts w:ascii="Calibri Light" w:hAnsi="Calibri Light" w:cs="Calibri Light"/>
          <w:lang w:val="fr-FR"/>
        </w:rPr>
        <w:t>’une série de</w:t>
      </w:r>
      <w:r w:rsidR="005A568C">
        <w:rPr>
          <w:rFonts w:ascii="Calibri Light" w:hAnsi="Calibri Light" w:cs="Calibri Light"/>
          <w:lang w:val="fr-FR"/>
        </w:rPr>
        <w:t xml:space="preserve"> leurs</w:t>
      </w:r>
      <w:r w:rsidR="007628C0">
        <w:rPr>
          <w:rFonts w:ascii="Calibri Light" w:hAnsi="Calibri Light" w:cs="Calibri Light"/>
          <w:lang w:val="fr-FR"/>
        </w:rPr>
        <w:t xml:space="preserve"> droits fondamentaux. </w:t>
      </w:r>
      <w:r w:rsidRPr="005A7E87">
        <w:rPr>
          <w:rFonts w:ascii="Calibri Light" w:hAnsi="Calibri Light" w:cs="Calibri Light"/>
          <w:lang w:val="fr-FR"/>
        </w:rPr>
        <w:t>Voilà pour</w:t>
      </w:r>
      <w:r w:rsidR="007628C0">
        <w:rPr>
          <w:rFonts w:ascii="Calibri Light" w:hAnsi="Calibri Light" w:cs="Calibri Light"/>
          <w:lang w:val="fr-FR"/>
        </w:rPr>
        <w:t xml:space="preserve"> les discours politiques qui prônent l’engagement actionnarial et la </w:t>
      </w:r>
      <w:r w:rsidRPr="005A7E87">
        <w:rPr>
          <w:rFonts w:ascii="Calibri Light" w:hAnsi="Calibri Light" w:cs="Calibri Light"/>
          <w:lang w:val="fr-FR"/>
        </w:rPr>
        <w:t xml:space="preserve">gouvernance d'entreprise ! </w:t>
      </w:r>
    </w:p>
    <w:p w14:paraId="3E6F610A" w14:textId="0C812A21" w:rsidR="00D46169" w:rsidRPr="005A7E87" w:rsidRDefault="007628C0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lang w:val="fr-FR"/>
        </w:rPr>
      </w:pPr>
      <w:r>
        <w:rPr>
          <w:rFonts w:ascii="Calibri Light" w:hAnsi="Calibri Light" w:cs="Calibri Light"/>
          <w:lang w:val="fr-FR"/>
        </w:rPr>
        <w:t xml:space="preserve">Dans </w:t>
      </w:r>
      <w:r w:rsidR="00C64B8C">
        <w:rPr>
          <w:rFonts w:ascii="Calibri Light" w:hAnsi="Calibri Light" w:cs="Calibri Light"/>
          <w:lang w:val="fr-FR"/>
        </w:rPr>
        <w:t xml:space="preserve">ce </w:t>
      </w:r>
      <w:r>
        <w:rPr>
          <w:rFonts w:ascii="Calibri Light" w:hAnsi="Calibri Light" w:cs="Calibri Light"/>
          <w:lang w:val="fr-FR"/>
        </w:rPr>
        <w:t>contexte de t</w:t>
      </w:r>
      <w:r w:rsidR="00D76177" w:rsidRPr="005A7E87">
        <w:rPr>
          <w:rFonts w:ascii="Calibri Light" w:hAnsi="Calibri Light" w:cs="Calibri Light"/>
          <w:lang w:val="fr-FR"/>
        </w:rPr>
        <w:t>aux d'intérêt historiquement bas (</w:t>
      </w:r>
      <w:r>
        <w:rPr>
          <w:rFonts w:ascii="Calibri Light" w:hAnsi="Calibri Light" w:cs="Calibri Light"/>
          <w:lang w:val="fr-FR"/>
        </w:rPr>
        <w:t xml:space="preserve">et </w:t>
      </w:r>
      <w:r w:rsidR="00D76177" w:rsidRPr="005A7E87">
        <w:rPr>
          <w:rFonts w:ascii="Calibri Light" w:hAnsi="Calibri Light" w:cs="Calibri Light"/>
          <w:lang w:val="fr-FR"/>
        </w:rPr>
        <w:t>parfois même négatifs), les vastes plans de relance budgétaire et monétaire</w:t>
      </w:r>
      <w:r>
        <w:rPr>
          <w:rFonts w:ascii="Calibri Light" w:hAnsi="Calibri Light" w:cs="Calibri Light"/>
          <w:lang w:val="fr-FR"/>
        </w:rPr>
        <w:t xml:space="preserve"> lancés à la suite de la crise du coronavirus </w:t>
      </w:r>
      <w:r w:rsidR="00C64B8C">
        <w:rPr>
          <w:rFonts w:ascii="Calibri Light" w:hAnsi="Calibri Light" w:cs="Calibri Light"/>
          <w:lang w:val="fr-FR"/>
        </w:rPr>
        <w:t xml:space="preserve">laissent clairement supposer </w:t>
      </w:r>
      <w:r w:rsidR="00D76177" w:rsidRPr="005A7E87">
        <w:rPr>
          <w:rFonts w:ascii="Calibri Light" w:hAnsi="Calibri Light" w:cs="Calibri Light"/>
          <w:lang w:val="fr-FR"/>
        </w:rPr>
        <w:t xml:space="preserve">que la </w:t>
      </w:r>
      <w:r w:rsidR="00D76177" w:rsidRPr="005A7E87">
        <w:rPr>
          <w:rFonts w:ascii="Calibri Light" w:hAnsi="Calibri Light" w:cs="Calibri Light"/>
          <w:b/>
          <w:bCs/>
          <w:lang w:val="fr-FR"/>
        </w:rPr>
        <w:t xml:space="preserve">répression financière </w:t>
      </w:r>
      <w:r>
        <w:rPr>
          <w:rFonts w:ascii="Calibri Light" w:hAnsi="Calibri Light" w:cs="Calibri Light"/>
          <w:b/>
          <w:bCs/>
          <w:lang w:val="fr-FR"/>
        </w:rPr>
        <w:t>a encore de beaux jours devant elle et qu’elle s’aggravera</w:t>
      </w:r>
      <w:r w:rsidR="00C64B8C">
        <w:rPr>
          <w:rFonts w:ascii="Calibri Light" w:hAnsi="Calibri Light" w:cs="Calibri Light"/>
          <w:b/>
          <w:bCs/>
          <w:lang w:val="fr-FR"/>
        </w:rPr>
        <w:t xml:space="preserve"> même</w:t>
      </w:r>
      <w:r>
        <w:rPr>
          <w:rFonts w:ascii="Calibri Light" w:hAnsi="Calibri Light" w:cs="Calibri Light"/>
          <w:b/>
          <w:bCs/>
          <w:lang w:val="fr-FR"/>
        </w:rPr>
        <w:t xml:space="preserve">, </w:t>
      </w:r>
      <w:r w:rsidR="00D76177" w:rsidRPr="005A7E87">
        <w:rPr>
          <w:rFonts w:ascii="Calibri Light" w:hAnsi="Calibri Light" w:cs="Calibri Light"/>
          <w:b/>
          <w:bCs/>
          <w:lang w:val="fr-FR"/>
        </w:rPr>
        <w:t xml:space="preserve">les taux d'intérêt réels négatifs ou proches de zéro devenant la norme pour </w:t>
      </w:r>
      <w:r w:rsidR="005A568C">
        <w:rPr>
          <w:rFonts w:ascii="Calibri Light" w:hAnsi="Calibri Light" w:cs="Calibri Light"/>
          <w:b/>
          <w:bCs/>
          <w:lang w:val="fr-FR"/>
        </w:rPr>
        <w:t xml:space="preserve">les </w:t>
      </w:r>
      <w:r w:rsidR="00D76177" w:rsidRPr="005A7E87">
        <w:rPr>
          <w:rFonts w:ascii="Calibri Light" w:hAnsi="Calibri Light" w:cs="Calibri Light"/>
          <w:b/>
          <w:bCs/>
          <w:lang w:val="fr-FR"/>
        </w:rPr>
        <w:t>nombreuses années</w:t>
      </w:r>
      <w:r w:rsidR="005A568C">
        <w:rPr>
          <w:rFonts w:ascii="Calibri Light" w:hAnsi="Calibri Light" w:cs="Calibri Light"/>
          <w:b/>
          <w:bCs/>
          <w:lang w:val="fr-FR"/>
        </w:rPr>
        <w:t xml:space="preserve"> à venir</w:t>
      </w:r>
      <w:r w:rsidR="00980CB0">
        <w:rPr>
          <w:rFonts w:ascii="Calibri Light" w:hAnsi="Calibri Light" w:cs="Calibri Light"/>
          <w:b/>
          <w:bCs/>
          <w:lang w:val="fr-FR"/>
        </w:rPr>
        <w:t xml:space="preserve">. </w:t>
      </w:r>
    </w:p>
    <w:p w14:paraId="3E6F610B" w14:textId="299240D8" w:rsidR="00D46169" w:rsidRPr="005A7E87" w:rsidRDefault="00D76177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lang w:val="fr-FR"/>
        </w:rPr>
      </w:pPr>
      <w:r w:rsidRPr="005A7E87">
        <w:rPr>
          <w:rFonts w:ascii="Calibri Light" w:hAnsi="Calibri Light" w:cs="Calibri Light"/>
          <w:lang w:val="fr-FR"/>
        </w:rPr>
        <w:t xml:space="preserve">Cette création monétaire sans précédent, </w:t>
      </w:r>
      <w:r w:rsidR="00980CB0">
        <w:rPr>
          <w:rFonts w:ascii="Calibri Light" w:hAnsi="Calibri Light" w:cs="Calibri Light"/>
          <w:lang w:val="fr-FR"/>
        </w:rPr>
        <w:t xml:space="preserve">associée à des chaînes logistiques de plus en plus tendues, sera </w:t>
      </w:r>
      <w:r w:rsidR="00980CB0">
        <w:rPr>
          <w:rFonts w:ascii="Calibri Light" w:hAnsi="Calibri Light" w:cs="Calibri Light"/>
          <w:b/>
          <w:bCs/>
          <w:lang w:val="fr-FR"/>
        </w:rPr>
        <w:t>vraisemblablement à l’origine d’une montée en flèche de l’inflation,</w:t>
      </w:r>
      <w:r w:rsidRPr="005A7E87">
        <w:rPr>
          <w:rFonts w:ascii="Calibri Light" w:hAnsi="Calibri Light" w:cs="Calibri Light"/>
          <w:b/>
          <w:bCs/>
          <w:lang w:val="fr-FR"/>
        </w:rPr>
        <w:t xml:space="preserve"> ce qui érodera </w:t>
      </w:r>
      <w:r w:rsidR="00980CB0">
        <w:rPr>
          <w:rFonts w:ascii="Calibri Light" w:hAnsi="Calibri Light" w:cs="Calibri Light"/>
          <w:b/>
          <w:bCs/>
          <w:lang w:val="fr-FR"/>
        </w:rPr>
        <w:t xml:space="preserve">encore plus </w:t>
      </w:r>
      <w:r w:rsidRPr="005A7E87">
        <w:rPr>
          <w:rFonts w:ascii="Calibri Light" w:hAnsi="Calibri Light" w:cs="Calibri Light"/>
          <w:b/>
          <w:bCs/>
          <w:lang w:val="fr-FR"/>
        </w:rPr>
        <w:t>le pouvoir d'achat de l'épargne-</w:t>
      </w:r>
      <w:r w:rsidR="00C64B8C">
        <w:rPr>
          <w:rFonts w:ascii="Calibri Light" w:hAnsi="Calibri Light" w:cs="Calibri Light"/>
          <w:b/>
          <w:bCs/>
          <w:lang w:val="fr-FR"/>
        </w:rPr>
        <w:t>retraite</w:t>
      </w:r>
      <w:r w:rsidR="00980CB0">
        <w:rPr>
          <w:rFonts w:ascii="Calibri Light" w:hAnsi="Calibri Light" w:cs="Calibri Light"/>
          <w:b/>
          <w:bCs/>
          <w:lang w:val="fr-FR"/>
        </w:rPr>
        <w:t xml:space="preserve"> et des </w:t>
      </w:r>
      <w:r w:rsidRPr="005A7E87">
        <w:rPr>
          <w:rFonts w:ascii="Calibri Light" w:hAnsi="Calibri Light" w:cs="Calibri Light"/>
          <w:b/>
          <w:bCs/>
          <w:lang w:val="fr-FR"/>
        </w:rPr>
        <w:t>revenus</w:t>
      </w:r>
      <w:r w:rsidRPr="005A7E87">
        <w:rPr>
          <w:rFonts w:ascii="Calibri Light" w:hAnsi="Calibri Light" w:cs="Calibri Light"/>
          <w:lang w:val="fr-FR"/>
        </w:rPr>
        <w:t>.</w:t>
      </w:r>
    </w:p>
    <w:p w14:paraId="3E6F610C" w14:textId="78069102" w:rsidR="00D46169" w:rsidRPr="005A7E87" w:rsidRDefault="00D76177">
      <w:pPr>
        <w:jc w:val="both"/>
        <w:rPr>
          <w:lang w:val="fr-FR"/>
        </w:rPr>
      </w:pPr>
      <w:r w:rsidRPr="005A7E87">
        <w:rPr>
          <w:rFonts w:ascii="Calibri Light" w:hAnsi="Calibri Light" w:cs="Calibri Light"/>
          <w:lang w:val="fr-FR"/>
        </w:rPr>
        <w:t xml:space="preserve">La bombe à retardement des retraites </w:t>
      </w:r>
      <w:r w:rsidR="00980CB0">
        <w:rPr>
          <w:rFonts w:ascii="Calibri Light" w:hAnsi="Calibri Light" w:cs="Calibri Light"/>
          <w:lang w:val="fr-FR"/>
        </w:rPr>
        <w:t xml:space="preserve">est déjà amorcée </w:t>
      </w:r>
      <w:r w:rsidRPr="005A7E87">
        <w:rPr>
          <w:rFonts w:ascii="Calibri Light" w:hAnsi="Calibri Light" w:cs="Calibri Light"/>
          <w:lang w:val="fr-FR"/>
        </w:rPr>
        <w:t>en Europe</w:t>
      </w:r>
      <w:r w:rsidR="00980CB0">
        <w:rPr>
          <w:rFonts w:ascii="Calibri Light" w:hAnsi="Calibri Light" w:cs="Calibri Light"/>
          <w:lang w:val="fr-FR"/>
        </w:rPr>
        <w:t xml:space="preserve">. Des </w:t>
      </w:r>
      <w:r w:rsidRPr="005A7E87">
        <w:rPr>
          <w:rFonts w:ascii="Calibri Light" w:hAnsi="Calibri Light" w:cs="Calibri Light"/>
          <w:lang w:val="fr-FR"/>
        </w:rPr>
        <w:t xml:space="preserve">études de BETTER FINANCE et de l'OCDE </w:t>
      </w:r>
      <w:r w:rsidR="00980CB0">
        <w:rPr>
          <w:rFonts w:ascii="Calibri Light" w:hAnsi="Calibri Light" w:cs="Calibri Light"/>
          <w:lang w:val="fr-FR"/>
        </w:rPr>
        <w:t>démontr</w:t>
      </w:r>
      <w:r w:rsidR="00C64B8C">
        <w:rPr>
          <w:rFonts w:ascii="Calibri Light" w:hAnsi="Calibri Light" w:cs="Calibri Light"/>
          <w:lang w:val="fr-FR"/>
        </w:rPr>
        <w:t>e</w:t>
      </w:r>
      <w:r w:rsidR="00980CB0">
        <w:rPr>
          <w:rFonts w:ascii="Calibri Light" w:hAnsi="Calibri Light" w:cs="Calibri Light"/>
          <w:lang w:val="fr-FR"/>
        </w:rPr>
        <w:t xml:space="preserve">nt que les </w:t>
      </w:r>
      <w:r w:rsidRPr="005A7E87">
        <w:rPr>
          <w:rFonts w:ascii="Calibri Light" w:hAnsi="Calibri Light" w:cs="Calibri Light"/>
          <w:lang w:val="fr-FR"/>
        </w:rPr>
        <w:t xml:space="preserve">récents rendements réels des investissements à long terme étaient déjà trop souvent négatifs, et insuffisants pour </w:t>
      </w:r>
      <w:r w:rsidR="00C64B8C">
        <w:rPr>
          <w:rFonts w:ascii="Calibri Light" w:hAnsi="Calibri Light" w:cs="Calibri Light"/>
          <w:lang w:val="fr-FR"/>
        </w:rPr>
        <w:t xml:space="preserve">garantir </w:t>
      </w:r>
      <w:r w:rsidRPr="005A7E87">
        <w:rPr>
          <w:rFonts w:ascii="Calibri Light" w:hAnsi="Calibri Light" w:cs="Calibri Light"/>
          <w:lang w:val="fr-FR"/>
        </w:rPr>
        <w:t xml:space="preserve">un revenu de remplacement </w:t>
      </w:r>
      <w:r w:rsidR="00980CB0">
        <w:rPr>
          <w:rFonts w:ascii="Calibri Light" w:hAnsi="Calibri Light" w:cs="Calibri Light"/>
          <w:lang w:val="fr-FR"/>
        </w:rPr>
        <w:t xml:space="preserve">suffisant </w:t>
      </w:r>
      <w:r w:rsidRPr="005A7E87">
        <w:rPr>
          <w:rFonts w:ascii="Calibri Light" w:hAnsi="Calibri Light" w:cs="Calibri Light"/>
          <w:lang w:val="fr-FR"/>
        </w:rPr>
        <w:t>à la retraite.</w:t>
      </w:r>
      <w:r w:rsidRPr="005A7E87">
        <w:rPr>
          <w:rStyle w:val="FootnoteReference"/>
          <w:rFonts w:ascii="Calibri Light" w:hAnsi="Calibri Light" w:cs="Calibri Light"/>
          <w:lang w:val="fr-FR"/>
        </w:rPr>
        <w:footnoteReference w:id="6"/>
      </w:r>
      <w:r w:rsidRPr="005A7E87">
        <w:rPr>
          <w:rFonts w:ascii="Calibri Light" w:hAnsi="Calibri Light" w:cs="Calibri Light"/>
          <w:lang w:val="fr-FR"/>
        </w:rPr>
        <w:t xml:space="preserve"> Le</w:t>
      </w:r>
      <w:r w:rsidR="00980CB0">
        <w:rPr>
          <w:rFonts w:ascii="Calibri Light" w:hAnsi="Calibri Light" w:cs="Calibri Light"/>
          <w:lang w:val="fr-FR"/>
        </w:rPr>
        <w:t xml:space="preserve"> </w:t>
      </w:r>
      <w:r w:rsidRPr="005A7E87">
        <w:rPr>
          <w:rFonts w:ascii="Calibri Light" w:hAnsi="Calibri Light" w:cs="Calibri Light"/>
          <w:b/>
          <w:bCs/>
          <w:lang w:val="fr-FR"/>
        </w:rPr>
        <w:t>rendement réel (après inflation) d</w:t>
      </w:r>
      <w:r w:rsidR="00980CB0">
        <w:rPr>
          <w:rFonts w:ascii="Calibri Light" w:hAnsi="Calibri Light" w:cs="Calibri Light"/>
          <w:b/>
          <w:bCs/>
          <w:lang w:val="fr-FR"/>
        </w:rPr>
        <w:t xml:space="preserve">es retraites </w:t>
      </w:r>
      <w:r w:rsidRPr="005A7E87">
        <w:rPr>
          <w:rFonts w:ascii="Calibri Light" w:hAnsi="Calibri Light" w:cs="Calibri Light"/>
          <w:b/>
          <w:bCs/>
          <w:lang w:val="fr-FR"/>
        </w:rPr>
        <w:t>v</w:t>
      </w:r>
      <w:r w:rsidR="00980CB0">
        <w:rPr>
          <w:rFonts w:ascii="Calibri Light" w:hAnsi="Calibri Light" w:cs="Calibri Light"/>
          <w:b/>
          <w:bCs/>
          <w:lang w:val="fr-FR"/>
        </w:rPr>
        <w:t>a</w:t>
      </w:r>
      <w:r w:rsidRPr="005A7E87">
        <w:rPr>
          <w:rFonts w:ascii="Calibri Light" w:hAnsi="Calibri Light" w:cs="Calibri Light"/>
          <w:b/>
          <w:bCs/>
          <w:lang w:val="fr-FR"/>
        </w:rPr>
        <w:t xml:space="preserve"> s'effondrer cette année, </w:t>
      </w:r>
      <w:r w:rsidRPr="005A7E87">
        <w:rPr>
          <w:rFonts w:ascii="Calibri Light" w:hAnsi="Calibri Light" w:cs="Calibri Light"/>
          <w:bCs/>
          <w:lang w:val="fr-FR"/>
        </w:rPr>
        <w:t>principalement en raison de</w:t>
      </w:r>
      <w:r w:rsidR="00980CB0">
        <w:rPr>
          <w:rFonts w:ascii="Calibri Light" w:hAnsi="Calibri Light" w:cs="Calibri Light"/>
          <w:bCs/>
          <w:lang w:val="fr-FR"/>
        </w:rPr>
        <w:t xml:space="preserve">s tensions sur les marchés boursiers </w:t>
      </w:r>
      <w:r w:rsidRPr="005A7E87">
        <w:rPr>
          <w:rFonts w:ascii="Calibri Light" w:hAnsi="Calibri Light" w:cs="Calibri Light"/>
          <w:lang w:val="fr-FR"/>
        </w:rPr>
        <w:t xml:space="preserve">mais aussi du </w:t>
      </w:r>
      <w:r w:rsidR="00980CB0">
        <w:rPr>
          <w:rFonts w:ascii="Calibri Light" w:hAnsi="Calibri Light" w:cs="Calibri Light"/>
          <w:lang w:val="fr-FR"/>
        </w:rPr>
        <w:t xml:space="preserve">taux d’intérêt très bas des </w:t>
      </w:r>
      <w:r w:rsidRPr="005A7E87">
        <w:rPr>
          <w:rFonts w:ascii="Calibri Light" w:hAnsi="Calibri Light" w:cs="Calibri Light"/>
          <w:lang w:val="fr-FR"/>
        </w:rPr>
        <w:t>obligations d'État</w:t>
      </w:r>
      <w:r w:rsidR="0081119F">
        <w:rPr>
          <w:rFonts w:ascii="Calibri Light" w:hAnsi="Calibri Light" w:cs="Calibri Light"/>
          <w:lang w:val="fr-FR"/>
        </w:rPr>
        <w:t xml:space="preserve">. La </w:t>
      </w:r>
      <w:r w:rsidR="0081119F">
        <w:rPr>
          <w:rFonts w:ascii="Calibri Light" w:hAnsi="Calibri Light" w:cs="Calibri Light"/>
          <w:lang w:val="fr-FR"/>
        </w:rPr>
        <w:lastRenderedPageBreak/>
        <w:t xml:space="preserve">situation s’aggravera encore dans un </w:t>
      </w:r>
      <w:r w:rsidR="00AC432F">
        <w:rPr>
          <w:rFonts w:ascii="Calibri Light" w:hAnsi="Calibri Light" w:cs="Calibri Light"/>
          <w:lang w:val="fr-FR"/>
        </w:rPr>
        <w:t xml:space="preserve">avenir proche </w:t>
      </w:r>
      <w:r w:rsidRPr="005A7E87">
        <w:rPr>
          <w:rFonts w:ascii="Calibri Light" w:hAnsi="Calibri Light" w:cs="Calibri Light"/>
          <w:lang w:val="fr-FR"/>
        </w:rPr>
        <w:t xml:space="preserve">à cause de la répression financière, </w:t>
      </w:r>
      <w:r w:rsidR="00AC432F">
        <w:rPr>
          <w:rFonts w:ascii="Calibri Light" w:hAnsi="Calibri Light" w:cs="Calibri Light"/>
          <w:lang w:val="fr-FR"/>
        </w:rPr>
        <w:t xml:space="preserve">d’autant qu’une reprise de l’inflation est également à craindre.  </w:t>
      </w:r>
    </w:p>
    <w:p w14:paraId="3E6F610D" w14:textId="72317465" w:rsidR="00D46169" w:rsidRPr="005A7E87" w:rsidRDefault="00D76177">
      <w:pPr>
        <w:jc w:val="both"/>
        <w:rPr>
          <w:rFonts w:ascii="Calibri Light" w:hAnsi="Calibri Light" w:cs="Calibri Light"/>
          <w:lang w:val="fr-FR"/>
        </w:rPr>
      </w:pPr>
      <w:r w:rsidRPr="005A7E87">
        <w:rPr>
          <w:rFonts w:ascii="Calibri Light" w:hAnsi="Calibri Light" w:cs="Calibri Light"/>
          <w:lang w:val="fr-FR"/>
        </w:rPr>
        <w:t xml:space="preserve">BETTER FINANCE avait déjà plaidé en faveur de </w:t>
      </w:r>
      <w:r w:rsidR="00AC432F">
        <w:rPr>
          <w:rFonts w:ascii="Calibri Light" w:hAnsi="Calibri Light" w:cs="Calibri Light"/>
          <w:lang w:val="fr-FR"/>
        </w:rPr>
        <w:t>l’adoption de plusieurs mesures vis</w:t>
      </w:r>
      <w:r w:rsidR="0081119F">
        <w:rPr>
          <w:rFonts w:ascii="Calibri Light" w:hAnsi="Calibri Light" w:cs="Calibri Light"/>
          <w:lang w:val="fr-FR"/>
        </w:rPr>
        <w:t>ant</w:t>
      </w:r>
      <w:r w:rsidR="00AC432F">
        <w:rPr>
          <w:rFonts w:ascii="Calibri Light" w:hAnsi="Calibri Light" w:cs="Calibri Light"/>
          <w:lang w:val="fr-FR"/>
        </w:rPr>
        <w:t xml:space="preserve"> </w:t>
      </w:r>
      <w:r w:rsidRPr="005A7E87">
        <w:rPr>
          <w:rFonts w:ascii="Calibri Light" w:hAnsi="Calibri Light" w:cs="Calibri Light"/>
          <w:lang w:val="fr-FR"/>
        </w:rPr>
        <w:t>à lutter contre la faiblesse général</w:t>
      </w:r>
      <w:r w:rsidR="00AC432F">
        <w:rPr>
          <w:rFonts w:ascii="Calibri Light" w:hAnsi="Calibri Light" w:cs="Calibri Light"/>
          <w:lang w:val="fr-FR"/>
        </w:rPr>
        <w:t xml:space="preserve">isée </w:t>
      </w:r>
      <w:r w:rsidRPr="005A7E87">
        <w:rPr>
          <w:rFonts w:ascii="Calibri Light" w:hAnsi="Calibri Light" w:cs="Calibri Light"/>
          <w:lang w:val="fr-FR"/>
        </w:rPr>
        <w:t xml:space="preserve">des rendements réels à long terme de l'épargne-retraite dans l'UE - notamment </w:t>
      </w:r>
      <w:r w:rsidR="00AC432F">
        <w:rPr>
          <w:rFonts w:ascii="Calibri Light" w:hAnsi="Calibri Light" w:cs="Calibri Light"/>
          <w:lang w:val="fr-FR"/>
        </w:rPr>
        <w:t xml:space="preserve">via l’initiative d’Union </w:t>
      </w:r>
      <w:r w:rsidRPr="005A7E87">
        <w:rPr>
          <w:rFonts w:ascii="Calibri Light" w:hAnsi="Calibri Light" w:cs="Calibri Light"/>
          <w:lang w:val="fr-FR"/>
        </w:rPr>
        <w:t>des marchés</w:t>
      </w:r>
      <w:r w:rsidR="00AC432F">
        <w:rPr>
          <w:rFonts w:ascii="Calibri Light" w:hAnsi="Calibri Light" w:cs="Calibri Light"/>
          <w:lang w:val="fr-FR"/>
        </w:rPr>
        <w:t xml:space="preserve"> de capitaux. Un rappel </w:t>
      </w:r>
      <w:r w:rsidR="0081119F">
        <w:rPr>
          <w:rFonts w:ascii="Calibri Light" w:hAnsi="Calibri Light" w:cs="Calibri Light"/>
          <w:lang w:val="fr-FR"/>
        </w:rPr>
        <w:t xml:space="preserve">n’est pas inutile </w:t>
      </w:r>
      <w:r w:rsidR="00AC432F">
        <w:rPr>
          <w:rFonts w:ascii="Calibri Light" w:hAnsi="Calibri Light" w:cs="Calibri Light"/>
          <w:lang w:val="fr-FR"/>
        </w:rPr>
        <w:t xml:space="preserve">! </w:t>
      </w:r>
    </w:p>
    <w:p w14:paraId="3E6F610E" w14:textId="68FC619E" w:rsidR="00D46169" w:rsidRPr="005A7E87" w:rsidRDefault="00AC432F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lang w:val="fr-FR"/>
        </w:rPr>
      </w:pPr>
      <w:r>
        <w:rPr>
          <w:rFonts w:ascii="Calibri Light" w:hAnsi="Calibri Light" w:cs="Calibri Light"/>
          <w:b/>
          <w:bCs/>
          <w:lang w:val="fr-FR"/>
        </w:rPr>
        <w:t xml:space="preserve">Faire en sorte </w:t>
      </w:r>
      <w:r w:rsidR="00D76177" w:rsidRPr="005A7E87">
        <w:rPr>
          <w:rFonts w:ascii="Calibri Light" w:hAnsi="Calibri Light" w:cs="Calibri Light"/>
          <w:b/>
          <w:bCs/>
          <w:lang w:val="fr-FR"/>
        </w:rPr>
        <w:t>que tous les</w:t>
      </w:r>
      <w:r>
        <w:rPr>
          <w:rFonts w:ascii="Calibri Light" w:hAnsi="Calibri Light" w:cs="Calibri Light"/>
          <w:b/>
          <w:bCs/>
          <w:lang w:val="fr-FR"/>
        </w:rPr>
        <w:t xml:space="preserve"> usagers de services financiers </w:t>
      </w:r>
      <w:r w:rsidR="00D76177" w:rsidRPr="005A7E87">
        <w:rPr>
          <w:rFonts w:ascii="Calibri Light" w:hAnsi="Calibri Light" w:cs="Calibri Light"/>
          <w:b/>
          <w:bCs/>
          <w:lang w:val="fr-FR"/>
        </w:rPr>
        <w:t xml:space="preserve">aient accès à tous les marchés, y compris les marchés </w:t>
      </w:r>
      <w:r>
        <w:rPr>
          <w:rFonts w:ascii="Calibri Light" w:hAnsi="Calibri Light" w:cs="Calibri Light"/>
          <w:b/>
          <w:bCs/>
          <w:lang w:val="fr-FR"/>
        </w:rPr>
        <w:t xml:space="preserve">financiers. </w:t>
      </w:r>
      <w:r w:rsidR="00D76177" w:rsidRPr="005A7E87">
        <w:rPr>
          <w:rFonts w:ascii="Calibri Light" w:hAnsi="Calibri Light" w:cs="Calibri Light"/>
          <w:lang w:val="fr-FR"/>
        </w:rPr>
        <w:t xml:space="preserve">Le CFA Institute a récemment publié une étude </w:t>
      </w:r>
      <w:r>
        <w:rPr>
          <w:rFonts w:ascii="Calibri Light" w:hAnsi="Calibri Light" w:cs="Calibri Light"/>
          <w:lang w:val="fr-FR"/>
        </w:rPr>
        <w:t xml:space="preserve">qui analyse comment les régimes à </w:t>
      </w:r>
      <w:r w:rsidR="00D76177" w:rsidRPr="005A7E87">
        <w:rPr>
          <w:rFonts w:ascii="Calibri Light" w:hAnsi="Calibri Light" w:cs="Calibri Light"/>
          <w:lang w:val="fr-FR"/>
        </w:rPr>
        <w:t xml:space="preserve">cotisations </w:t>
      </w:r>
      <w:r>
        <w:rPr>
          <w:rFonts w:ascii="Calibri Light" w:hAnsi="Calibri Light" w:cs="Calibri Light"/>
          <w:lang w:val="fr-FR"/>
        </w:rPr>
        <w:t xml:space="preserve">déterminées </w:t>
      </w:r>
      <w:r w:rsidR="00D76177" w:rsidRPr="005A7E87">
        <w:rPr>
          <w:rFonts w:ascii="Calibri Light" w:hAnsi="Calibri Light" w:cs="Calibri Light"/>
          <w:lang w:val="fr-FR"/>
        </w:rPr>
        <w:t>sont contraints de rechercher</w:t>
      </w:r>
      <w:r w:rsidR="001A0C53">
        <w:rPr>
          <w:rFonts w:ascii="Calibri Light" w:hAnsi="Calibri Light" w:cs="Calibri Light"/>
          <w:lang w:val="fr-FR"/>
        </w:rPr>
        <w:t xml:space="preserve"> des rendements en se tournant vers des</w:t>
      </w:r>
      <w:r w:rsidR="0081119F">
        <w:rPr>
          <w:rFonts w:ascii="Calibri Light" w:hAnsi="Calibri Light" w:cs="Calibri Light"/>
          <w:lang w:val="fr-FR"/>
        </w:rPr>
        <w:t xml:space="preserve"> produits d’investissement </w:t>
      </w:r>
      <w:r w:rsidR="001A0C53">
        <w:rPr>
          <w:rFonts w:ascii="Calibri Light" w:hAnsi="Calibri Light" w:cs="Calibri Light"/>
          <w:lang w:val="fr-FR"/>
        </w:rPr>
        <w:t>privés assortis de risques tels que des déséquilibres en matière de liquidités et des rendements inférieurs aux attentes.</w:t>
      </w:r>
      <w:r w:rsidR="00D76177" w:rsidRPr="005A7E87">
        <w:rPr>
          <w:rStyle w:val="FootnoteReference"/>
          <w:rFonts w:ascii="Calibri Light" w:hAnsi="Calibri Light" w:cs="Calibri Light"/>
          <w:lang w:val="fr-FR"/>
        </w:rPr>
        <w:footnoteReference w:id="7"/>
      </w:r>
      <w:r w:rsidR="00D76177" w:rsidRPr="005A7E87">
        <w:rPr>
          <w:rFonts w:ascii="Calibri Light" w:hAnsi="Calibri Light" w:cs="Calibri Light"/>
          <w:lang w:val="fr-FR"/>
        </w:rPr>
        <w:t xml:space="preserve"> Cela nécessite un retour sur le capital investi sous la forme soit de paiements de dividendes, soit d'augmentations du prix de l'action. Les dividendes sont essentiels à la </w:t>
      </w:r>
      <w:r w:rsidR="001A0C53">
        <w:rPr>
          <w:rFonts w:ascii="Calibri Light" w:hAnsi="Calibri Light" w:cs="Calibri Light"/>
          <w:lang w:val="fr-FR"/>
        </w:rPr>
        <w:t>pérennité de la plupart des rég</w:t>
      </w:r>
      <w:r w:rsidR="00D76177" w:rsidRPr="005A7E87">
        <w:rPr>
          <w:rFonts w:ascii="Calibri Light" w:hAnsi="Calibri Light" w:cs="Calibri Light"/>
          <w:lang w:val="fr-FR"/>
        </w:rPr>
        <w:t>imes de retraite</w:t>
      </w:r>
      <w:r w:rsidR="001A0C53">
        <w:rPr>
          <w:rFonts w:ascii="Calibri Light" w:hAnsi="Calibri Light" w:cs="Calibri Light"/>
          <w:lang w:val="fr-FR"/>
        </w:rPr>
        <w:t xml:space="preserve">. Nous estimons dès lors que </w:t>
      </w:r>
      <w:r w:rsidR="00D76177" w:rsidRPr="005A7E87">
        <w:rPr>
          <w:rFonts w:ascii="Calibri Light" w:hAnsi="Calibri Light" w:cs="Calibri Light"/>
          <w:lang w:val="fr-FR"/>
        </w:rPr>
        <w:t xml:space="preserve">l'État ne </w:t>
      </w:r>
      <w:r w:rsidR="001A0C53">
        <w:rPr>
          <w:rFonts w:ascii="Calibri Light" w:hAnsi="Calibri Light" w:cs="Calibri Light"/>
          <w:lang w:val="fr-FR"/>
        </w:rPr>
        <w:t xml:space="preserve">doit pas interdire le versement de dividendes, sauf </w:t>
      </w:r>
      <w:r w:rsidR="00B77403">
        <w:rPr>
          <w:rFonts w:ascii="Calibri Light" w:hAnsi="Calibri Light" w:cs="Calibri Light"/>
          <w:lang w:val="fr-FR"/>
        </w:rPr>
        <w:t xml:space="preserve">dans le cas d’une </w:t>
      </w:r>
      <w:r w:rsidR="001A0C53">
        <w:rPr>
          <w:rFonts w:ascii="Calibri Light" w:hAnsi="Calibri Light" w:cs="Calibri Light"/>
          <w:lang w:val="fr-FR"/>
        </w:rPr>
        <w:t>entreprise touchée de plein fouet par la crise du coronavirus, qu</w:t>
      </w:r>
      <w:r w:rsidR="00E528A4">
        <w:rPr>
          <w:rFonts w:ascii="Calibri Light" w:hAnsi="Calibri Light" w:cs="Calibri Light"/>
          <w:lang w:val="fr-FR"/>
        </w:rPr>
        <w:t xml:space="preserve">i </w:t>
      </w:r>
      <w:r w:rsidR="001A0C53">
        <w:rPr>
          <w:rFonts w:ascii="Calibri Light" w:hAnsi="Calibri Light" w:cs="Calibri Light"/>
          <w:lang w:val="fr-FR"/>
        </w:rPr>
        <w:t>rencontre des prob</w:t>
      </w:r>
      <w:r w:rsidR="00D76177" w:rsidRPr="005A7E87">
        <w:rPr>
          <w:rFonts w:ascii="Calibri Light" w:hAnsi="Calibri Light" w:cs="Calibri Light"/>
          <w:lang w:val="fr-FR"/>
        </w:rPr>
        <w:t>lèmes de liquidité</w:t>
      </w:r>
      <w:r w:rsidR="0081119F">
        <w:rPr>
          <w:rFonts w:ascii="Calibri Light" w:hAnsi="Calibri Light" w:cs="Calibri Light"/>
          <w:lang w:val="fr-FR"/>
        </w:rPr>
        <w:t>s</w:t>
      </w:r>
      <w:r w:rsidR="00D76177" w:rsidRPr="005A7E87">
        <w:rPr>
          <w:rFonts w:ascii="Calibri Light" w:hAnsi="Calibri Light" w:cs="Calibri Light"/>
          <w:lang w:val="fr-FR"/>
        </w:rPr>
        <w:t xml:space="preserve"> ou</w:t>
      </w:r>
      <w:r w:rsidR="001A0C53">
        <w:rPr>
          <w:rFonts w:ascii="Calibri Light" w:hAnsi="Calibri Light" w:cs="Calibri Light"/>
          <w:lang w:val="fr-FR"/>
        </w:rPr>
        <w:t xml:space="preserve"> qu</w:t>
      </w:r>
      <w:r w:rsidR="00E528A4">
        <w:rPr>
          <w:rFonts w:ascii="Calibri Light" w:hAnsi="Calibri Light" w:cs="Calibri Light"/>
          <w:lang w:val="fr-FR"/>
        </w:rPr>
        <w:t xml:space="preserve">i </w:t>
      </w:r>
      <w:r w:rsidR="001A0C53">
        <w:rPr>
          <w:rFonts w:ascii="Calibri Light" w:hAnsi="Calibri Light" w:cs="Calibri Light"/>
          <w:lang w:val="fr-FR"/>
        </w:rPr>
        <w:t xml:space="preserve">a bénéficié d’une aide publique d’urgence. </w:t>
      </w:r>
    </w:p>
    <w:p w14:paraId="3E6F610F" w14:textId="3572D5FE" w:rsidR="00D46169" w:rsidRPr="005A7E87" w:rsidRDefault="001A0C53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lang w:val="fr-FR"/>
        </w:rPr>
      </w:pPr>
      <w:r>
        <w:rPr>
          <w:rFonts w:ascii="Calibri Light" w:hAnsi="Calibri Light" w:cs="Calibri Light"/>
          <w:b/>
          <w:bCs/>
          <w:lang w:val="fr-FR"/>
        </w:rPr>
        <w:t xml:space="preserve">Mettre en place des </w:t>
      </w:r>
      <w:r w:rsidR="00D76177" w:rsidRPr="005A7E87">
        <w:rPr>
          <w:rFonts w:ascii="Calibri Light" w:hAnsi="Calibri Light" w:cs="Calibri Light"/>
          <w:b/>
          <w:bCs/>
          <w:lang w:val="fr-FR"/>
        </w:rPr>
        <w:t xml:space="preserve">programmes d'actionnariat salarié </w:t>
      </w:r>
      <w:r w:rsidR="00D76177" w:rsidRPr="001A0C53">
        <w:rPr>
          <w:rFonts w:ascii="Calibri Light" w:hAnsi="Calibri Light" w:cs="Calibri Light"/>
          <w:lang w:val="fr-FR"/>
        </w:rPr>
        <w:t>dans les</w:t>
      </w:r>
      <w:r w:rsidR="00D76177" w:rsidRPr="005A7E87">
        <w:rPr>
          <w:rFonts w:ascii="Calibri Light" w:hAnsi="Calibri Light" w:cs="Calibri Light"/>
          <w:b/>
          <w:bCs/>
          <w:lang w:val="fr-FR"/>
        </w:rPr>
        <w:t xml:space="preserve"> </w:t>
      </w:r>
      <w:r w:rsidR="00D76177" w:rsidRPr="005A7E87">
        <w:rPr>
          <w:rFonts w:ascii="Calibri Light" w:hAnsi="Calibri Light" w:cs="Calibri Light"/>
          <w:lang w:val="fr-FR"/>
        </w:rPr>
        <w:t>24 prochains mois,</w:t>
      </w:r>
      <w:r>
        <w:rPr>
          <w:rFonts w:ascii="Calibri Light" w:hAnsi="Calibri Light" w:cs="Calibri Light"/>
          <w:lang w:val="fr-FR"/>
        </w:rPr>
        <w:t xml:space="preserve"> assortis de </w:t>
      </w:r>
      <w:r w:rsidR="00D76177" w:rsidRPr="005A7E87">
        <w:rPr>
          <w:rFonts w:ascii="Calibri Light" w:hAnsi="Calibri Light" w:cs="Calibri Light"/>
          <w:lang w:val="fr-FR"/>
        </w:rPr>
        <w:t xml:space="preserve">réductions d'impôts. </w:t>
      </w:r>
      <w:r>
        <w:rPr>
          <w:rFonts w:ascii="Calibri Light" w:hAnsi="Calibri Light" w:cs="Calibri Light"/>
          <w:lang w:val="fr-FR"/>
        </w:rPr>
        <w:t>Les</w:t>
      </w:r>
      <w:r w:rsidR="00D76177" w:rsidRPr="005A7E87">
        <w:rPr>
          <w:rFonts w:ascii="Calibri Light" w:hAnsi="Calibri Light" w:cs="Calibri Light"/>
          <w:lang w:val="fr-FR"/>
        </w:rPr>
        <w:t xml:space="preserve"> dépenses </w:t>
      </w:r>
      <w:r>
        <w:rPr>
          <w:rFonts w:ascii="Calibri Light" w:hAnsi="Calibri Light" w:cs="Calibri Light"/>
          <w:lang w:val="fr-FR"/>
        </w:rPr>
        <w:t>de</w:t>
      </w:r>
      <w:r w:rsidR="00D76177" w:rsidRPr="005A7E87">
        <w:rPr>
          <w:rFonts w:ascii="Calibri Light" w:hAnsi="Calibri Light" w:cs="Calibri Light"/>
          <w:lang w:val="fr-FR"/>
        </w:rPr>
        <w:t xml:space="preserve"> personnel sont</w:t>
      </w:r>
      <w:r>
        <w:rPr>
          <w:rFonts w:ascii="Calibri Light" w:hAnsi="Calibri Light" w:cs="Calibri Light"/>
          <w:lang w:val="fr-FR"/>
        </w:rPr>
        <w:t xml:space="preserve"> actuellement la principale raison </w:t>
      </w:r>
      <w:r w:rsidR="0081119F">
        <w:rPr>
          <w:rFonts w:ascii="Calibri Light" w:hAnsi="Calibri Light" w:cs="Calibri Light"/>
          <w:lang w:val="fr-FR"/>
        </w:rPr>
        <w:t>à l’origine d</w:t>
      </w:r>
      <w:r>
        <w:rPr>
          <w:rFonts w:ascii="Calibri Light" w:hAnsi="Calibri Light" w:cs="Calibri Light"/>
          <w:lang w:val="fr-FR"/>
        </w:rPr>
        <w:t xml:space="preserve">e la </w:t>
      </w:r>
      <w:r w:rsidR="0081119F">
        <w:rPr>
          <w:rFonts w:ascii="Calibri Light" w:hAnsi="Calibri Light" w:cs="Calibri Light"/>
          <w:lang w:val="fr-FR"/>
        </w:rPr>
        <w:t>baisse</w:t>
      </w:r>
      <w:r>
        <w:rPr>
          <w:rFonts w:ascii="Calibri Light" w:hAnsi="Calibri Light" w:cs="Calibri Light"/>
          <w:lang w:val="fr-FR"/>
        </w:rPr>
        <w:t xml:space="preserve"> des liquidités </w:t>
      </w:r>
      <w:r w:rsidR="00D76177" w:rsidRPr="005A7E87">
        <w:rPr>
          <w:rFonts w:ascii="Calibri Light" w:hAnsi="Calibri Light" w:cs="Calibri Light"/>
          <w:lang w:val="fr-FR"/>
        </w:rPr>
        <w:t xml:space="preserve">des entreprises. Si de tels programmes étaient introduits immédiatement, une partie des salaires pourrait rester dans les </w:t>
      </w:r>
      <w:r w:rsidR="00DE622C">
        <w:rPr>
          <w:rFonts w:ascii="Calibri Light" w:hAnsi="Calibri Light" w:cs="Calibri Light"/>
          <w:lang w:val="fr-FR"/>
        </w:rPr>
        <w:t xml:space="preserve">caisses de l’entreprise, sous la forme </w:t>
      </w:r>
      <w:r w:rsidR="00D76177" w:rsidRPr="005A7E87">
        <w:rPr>
          <w:rFonts w:ascii="Calibri Light" w:hAnsi="Calibri Light" w:cs="Calibri Light"/>
          <w:lang w:val="fr-FR"/>
        </w:rPr>
        <w:t>d'apport</w:t>
      </w:r>
      <w:r w:rsidR="00DE622C">
        <w:rPr>
          <w:rFonts w:ascii="Calibri Light" w:hAnsi="Calibri Light" w:cs="Calibri Light"/>
          <w:lang w:val="fr-FR"/>
        </w:rPr>
        <w:t xml:space="preserve">s en capital </w:t>
      </w:r>
      <w:r w:rsidR="00D76177" w:rsidRPr="005A7E87">
        <w:rPr>
          <w:rFonts w:ascii="Calibri Light" w:hAnsi="Calibri Light" w:cs="Calibri Light"/>
          <w:lang w:val="fr-FR"/>
        </w:rPr>
        <w:t xml:space="preserve">par les salariés. </w:t>
      </w:r>
      <w:r w:rsidR="0081119F">
        <w:rPr>
          <w:rFonts w:ascii="Calibri Light" w:hAnsi="Calibri Light" w:cs="Calibri Light"/>
          <w:lang w:val="fr-FR"/>
        </w:rPr>
        <w:t>Assortis d’avantages fiscaux, ces p</w:t>
      </w:r>
      <w:r w:rsidR="00DE622C">
        <w:rPr>
          <w:rFonts w:ascii="Calibri Light" w:hAnsi="Calibri Light" w:cs="Calibri Light"/>
          <w:lang w:val="fr-FR"/>
        </w:rPr>
        <w:t>rogrammes pourraient s’avérer efficaces</w:t>
      </w:r>
      <w:r w:rsidR="0081119F">
        <w:rPr>
          <w:rFonts w:ascii="Calibri Light" w:hAnsi="Calibri Light" w:cs="Calibri Light"/>
          <w:lang w:val="fr-FR"/>
        </w:rPr>
        <w:t xml:space="preserve">. </w:t>
      </w:r>
    </w:p>
    <w:p w14:paraId="3E6F6110" w14:textId="5239DD0C" w:rsidR="00D46169" w:rsidRPr="005A7E87" w:rsidRDefault="00D7617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lang w:val="fr-FR"/>
        </w:rPr>
      </w:pPr>
      <w:r w:rsidRPr="005A7E87">
        <w:rPr>
          <w:rFonts w:ascii="Calibri Light" w:hAnsi="Calibri Light" w:cs="Calibri Light"/>
          <w:b/>
          <w:bCs/>
          <w:lang w:val="fr-FR"/>
        </w:rPr>
        <w:t>Mettre fin aux conseils</w:t>
      </w:r>
      <w:r w:rsidR="00DE622C">
        <w:rPr>
          <w:rFonts w:ascii="Calibri Light" w:hAnsi="Calibri Light" w:cs="Calibri Light"/>
          <w:b/>
          <w:bCs/>
          <w:lang w:val="fr-FR"/>
        </w:rPr>
        <w:t xml:space="preserve"> d’investissement</w:t>
      </w:r>
      <w:r w:rsidRPr="005A7E87">
        <w:rPr>
          <w:rFonts w:ascii="Calibri Light" w:hAnsi="Calibri Light" w:cs="Calibri Light"/>
          <w:b/>
          <w:bCs/>
          <w:lang w:val="fr-FR"/>
        </w:rPr>
        <w:t xml:space="preserve"> </w:t>
      </w:r>
      <w:r w:rsidR="0081119F">
        <w:rPr>
          <w:rFonts w:ascii="Calibri Light" w:hAnsi="Calibri Light" w:cs="Calibri Light"/>
          <w:b/>
          <w:bCs/>
          <w:lang w:val="fr-FR"/>
        </w:rPr>
        <w:t xml:space="preserve">impartiaux </w:t>
      </w:r>
      <w:r w:rsidR="00DE622C">
        <w:rPr>
          <w:rFonts w:ascii="Calibri Light" w:hAnsi="Calibri Light" w:cs="Calibri Light"/>
          <w:b/>
          <w:bCs/>
          <w:lang w:val="fr-FR"/>
        </w:rPr>
        <w:t>pour les produits de « détail » et limiter considérablement les « </w:t>
      </w:r>
      <w:r w:rsidRPr="005A7E87">
        <w:rPr>
          <w:rFonts w:ascii="Calibri Light" w:hAnsi="Calibri Light" w:cs="Calibri Light"/>
          <w:b/>
          <w:bCs/>
          <w:lang w:val="fr-FR"/>
        </w:rPr>
        <w:t>incitations</w:t>
      </w:r>
      <w:r w:rsidR="00DE622C">
        <w:rPr>
          <w:rFonts w:ascii="Calibri Light" w:hAnsi="Calibri Light" w:cs="Calibri Light"/>
          <w:b/>
          <w:bCs/>
          <w:lang w:val="fr-FR"/>
        </w:rPr>
        <w:t xml:space="preserve"> » </w:t>
      </w:r>
      <w:r w:rsidR="00DE622C">
        <w:rPr>
          <w:rFonts w:ascii="Calibri Light" w:hAnsi="Calibri Light" w:cs="Calibri Light"/>
          <w:lang w:val="fr-FR"/>
        </w:rPr>
        <w:t xml:space="preserve">dans la MiFid II et pour les produits d’investissement régis par la DDA. S’assurer que les conseillers financiers </w:t>
      </w:r>
      <w:r w:rsidRPr="005A7E87">
        <w:rPr>
          <w:rFonts w:ascii="Calibri Light" w:hAnsi="Calibri Light" w:cs="Calibri Light"/>
          <w:lang w:val="fr-FR"/>
        </w:rPr>
        <w:t>prennent leurs responsabilités</w:t>
      </w:r>
      <w:r w:rsidR="00DE622C">
        <w:rPr>
          <w:rFonts w:ascii="Calibri Light" w:hAnsi="Calibri Light" w:cs="Calibri Light"/>
          <w:lang w:val="fr-FR"/>
        </w:rPr>
        <w:t xml:space="preserve"> et proposent </w:t>
      </w:r>
      <w:r w:rsidRPr="005A7E87">
        <w:rPr>
          <w:rFonts w:ascii="Calibri Light" w:hAnsi="Calibri Light" w:cs="Calibri Light"/>
          <w:lang w:val="fr-FR"/>
        </w:rPr>
        <w:t xml:space="preserve">des solutions d'investissement </w:t>
      </w:r>
      <w:r w:rsidR="00DE622C">
        <w:rPr>
          <w:rFonts w:ascii="Calibri Light" w:hAnsi="Calibri Light" w:cs="Calibri Light"/>
          <w:lang w:val="fr-FR"/>
        </w:rPr>
        <w:t xml:space="preserve">adaptées aux investisseurs particuliers, en remplissant leur </w:t>
      </w:r>
      <w:r w:rsidRPr="005A7E87">
        <w:rPr>
          <w:rFonts w:ascii="Calibri Light" w:hAnsi="Calibri Light" w:cs="Calibri Light"/>
          <w:lang w:val="fr-FR"/>
        </w:rPr>
        <w:t>devoir de diligence</w:t>
      </w:r>
      <w:r w:rsidR="00DE622C">
        <w:rPr>
          <w:rFonts w:ascii="Calibri Light" w:hAnsi="Calibri Light" w:cs="Calibri Light"/>
          <w:lang w:val="fr-FR"/>
        </w:rPr>
        <w:t xml:space="preserve"> à l’égard des clients et </w:t>
      </w:r>
      <w:r w:rsidR="0081119F">
        <w:rPr>
          <w:rFonts w:ascii="Calibri Light" w:hAnsi="Calibri Light" w:cs="Calibri Light"/>
          <w:lang w:val="fr-FR"/>
        </w:rPr>
        <w:t xml:space="preserve">en </w:t>
      </w:r>
      <w:r w:rsidR="00EF05DA">
        <w:rPr>
          <w:rFonts w:ascii="Calibri Light" w:hAnsi="Calibri Light" w:cs="Calibri Light"/>
          <w:lang w:val="fr-FR"/>
        </w:rPr>
        <w:t xml:space="preserve">les conseillant au mieux de leurs intérêts. </w:t>
      </w:r>
    </w:p>
    <w:p w14:paraId="3E6F6111" w14:textId="26168065" w:rsidR="00D46169" w:rsidRPr="005A7E87" w:rsidRDefault="00EF05DA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lang w:val="fr-FR"/>
        </w:rPr>
      </w:pPr>
      <w:r>
        <w:rPr>
          <w:rFonts w:ascii="Calibri Light" w:hAnsi="Calibri Light" w:cs="Calibri Light"/>
          <w:b/>
          <w:bCs/>
          <w:lang w:val="fr-FR"/>
        </w:rPr>
        <w:t xml:space="preserve">Développer la </w:t>
      </w:r>
      <w:r w:rsidR="00D76177" w:rsidRPr="005A7E87">
        <w:rPr>
          <w:rFonts w:ascii="Calibri Light" w:hAnsi="Calibri Light" w:cs="Calibri Light"/>
          <w:b/>
          <w:bCs/>
          <w:lang w:val="fr-FR"/>
        </w:rPr>
        <w:t>culture financière</w:t>
      </w:r>
      <w:r w:rsidR="00D76177" w:rsidRPr="005A7E87">
        <w:rPr>
          <w:rFonts w:ascii="Calibri Light" w:hAnsi="Calibri Light" w:cs="Calibri Light"/>
          <w:lang w:val="fr-FR"/>
        </w:rPr>
        <w:t xml:space="preserve">, non pas pour que </w:t>
      </w:r>
      <w:r w:rsidR="0081119F" w:rsidRPr="005A7E87">
        <w:rPr>
          <w:rFonts w:ascii="Calibri Light" w:hAnsi="Calibri Light" w:cs="Calibri Light"/>
          <w:lang w:val="fr-FR"/>
        </w:rPr>
        <w:t xml:space="preserve">les investisseurs </w:t>
      </w:r>
      <w:r w:rsidR="0081119F">
        <w:rPr>
          <w:rFonts w:ascii="Calibri Light" w:hAnsi="Calibri Light" w:cs="Calibri Light"/>
          <w:lang w:val="fr-FR"/>
        </w:rPr>
        <w:t>particuliers</w:t>
      </w:r>
      <w:r>
        <w:rPr>
          <w:rFonts w:ascii="Calibri Light" w:hAnsi="Calibri Light" w:cs="Calibri Light"/>
          <w:lang w:val="fr-FR"/>
        </w:rPr>
        <w:t xml:space="preserve"> puissent sélectionner les produits qui leur conviennent le mieux mais pour qu’ils puissent </w:t>
      </w:r>
      <w:r w:rsidR="00D76177" w:rsidRPr="005A7E87">
        <w:rPr>
          <w:rFonts w:ascii="Calibri Light" w:hAnsi="Calibri Light" w:cs="Calibri Light"/>
          <w:lang w:val="fr-FR"/>
        </w:rPr>
        <w:t>choisir</w:t>
      </w:r>
      <w:r>
        <w:rPr>
          <w:rFonts w:ascii="Calibri Light" w:hAnsi="Calibri Light" w:cs="Calibri Light"/>
          <w:lang w:val="fr-FR"/>
        </w:rPr>
        <w:t xml:space="preserve"> </w:t>
      </w:r>
      <w:r w:rsidR="0081119F">
        <w:rPr>
          <w:rFonts w:ascii="Calibri Light" w:hAnsi="Calibri Light" w:cs="Calibri Light"/>
          <w:lang w:val="fr-FR"/>
        </w:rPr>
        <w:t>le</w:t>
      </w:r>
      <w:r>
        <w:rPr>
          <w:rFonts w:ascii="Calibri Light" w:hAnsi="Calibri Light" w:cs="Calibri Light"/>
          <w:lang w:val="fr-FR"/>
        </w:rPr>
        <w:t xml:space="preserve"> niveau de conseil </w:t>
      </w:r>
      <w:r w:rsidR="0081119F">
        <w:rPr>
          <w:rFonts w:ascii="Calibri Light" w:hAnsi="Calibri Light" w:cs="Calibri Light"/>
          <w:lang w:val="fr-FR"/>
        </w:rPr>
        <w:t xml:space="preserve">le plus adapté. </w:t>
      </w:r>
      <w:r>
        <w:rPr>
          <w:rFonts w:ascii="Calibri Light" w:hAnsi="Calibri Light" w:cs="Calibri Light"/>
          <w:lang w:val="fr-FR"/>
        </w:rPr>
        <w:t xml:space="preserve">Les investisseurs particuliers </w:t>
      </w:r>
      <w:r w:rsidR="00D76177" w:rsidRPr="005A7E87">
        <w:rPr>
          <w:rFonts w:ascii="Calibri Light" w:hAnsi="Calibri Light" w:cs="Calibri Light"/>
          <w:lang w:val="fr-FR"/>
        </w:rPr>
        <w:t>n'ont pas les connaissances, l'éducation financière et le temps nécessaires pour</w:t>
      </w:r>
      <w:r>
        <w:rPr>
          <w:rFonts w:ascii="Calibri Light" w:hAnsi="Calibri Light" w:cs="Calibri Light"/>
          <w:lang w:val="fr-FR"/>
        </w:rPr>
        <w:t xml:space="preserve"> avoir une parfaite compréhension des  </w:t>
      </w:r>
      <w:r w:rsidR="00D76177" w:rsidRPr="005A7E87">
        <w:rPr>
          <w:rFonts w:ascii="Calibri Light" w:hAnsi="Calibri Light" w:cs="Calibri Light"/>
          <w:lang w:val="fr-FR"/>
        </w:rPr>
        <w:t xml:space="preserve"> produits financiers extrêmement complexes qui leur sont proposés. Ils ne devraient pas avoir à le faire non plus.</w:t>
      </w:r>
    </w:p>
    <w:p w14:paraId="3E6F6112" w14:textId="105031B8" w:rsidR="00D46169" w:rsidRPr="005A7E87" w:rsidRDefault="00D7617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lang w:val="fr-FR"/>
        </w:rPr>
      </w:pPr>
      <w:r w:rsidRPr="005A7E87">
        <w:rPr>
          <w:rFonts w:ascii="Calibri Light" w:hAnsi="Calibri Light" w:cs="Calibri Light"/>
          <w:b/>
          <w:bCs/>
          <w:lang w:val="fr-FR"/>
        </w:rPr>
        <w:t xml:space="preserve">Lutter contre le </w:t>
      </w:r>
      <w:r w:rsidR="00EF05DA">
        <w:rPr>
          <w:rFonts w:ascii="Calibri Light" w:hAnsi="Calibri Light" w:cs="Calibri Light"/>
          <w:b/>
          <w:bCs/>
          <w:lang w:val="fr-FR"/>
        </w:rPr>
        <w:t>« </w:t>
      </w:r>
      <w:r w:rsidRPr="005A7E87">
        <w:rPr>
          <w:rFonts w:ascii="Calibri Light" w:hAnsi="Calibri Light" w:cs="Calibri Light"/>
          <w:b/>
          <w:bCs/>
          <w:lang w:val="fr-FR"/>
        </w:rPr>
        <w:t>greenwashing</w:t>
      </w:r>
      <w:r w:rsidR="00EF05DA">
        <w:rPr>
          <w:rFonts w:ascii="Calibri Light" w:hAnsi="Calibri Light" w:cs="Calibri Light"/>
          <w:b/>
          <w:bCs/>
          <w:lang w:val="fr-FR"/>
        </w:rPr>
        <w:t> »</w:t>
      </w:r>
      <w:r w:rsidRPr="005A7E87">
        <w:rPr>
          <w:rFonts w:ascii="Calibri Light" w:hAnsi="Calibri Light" w:cs="Calibri Light"/>
          <w:b/>
          <w:bCs/>
          <w:lang w:val="fr-FR"/>
        </w:rPr>
        <w:t xml:space="preserve"> </w:t>
      </w:r>
      <w:r w:rsidRPr="005A7E87">
        <w:rPr>
          <w:rFonts w:ascii="Calibri Light" w:hAnsi="Calibri Light" w:cs="Calibri Light"/>
          <w:lang w:val="fr-FR"/>
        </w:rPr>
        <w:t xml:space="preserve">dans la conception et la promotion des produits d'investissement </w:t>
      </w:r>
      <w:r w:rsidR="00EF05DA">
        <w:rPr>
          <w:rFonts w:ascii="Calibri Light" w:hAnsi="Calibri Light" w:cs="Calibri Light"/>
          <w:lang w:val="fr-FR"/>
        </w:rPr>
        <w:t xml:space="preserve">socialement responsable (investissements </w:t>
      </w:r>
      <w:r w:rsidRPr="005A7E87">
        <w:rPr>
          <w:rFonts w:ascii="Calibri Light" w:hAnsi="Calibri Light" w:cs="Calibri Light"/>
          <w:lang w:val="fr-FR"/>
        </w:rPr>
        <w:t>ESG</w:t>
      </w:r>
      <w:r w:rsidR="00EF05DA">
        <w:rPr>
          <w:rFonts w:ascii="Calibri Light" w:hAnsi="Calibri Light" w:cs="Calibri Light"/>
          <w:lang w:val="fr-FR"/>
        </w:rPr>
        <w:t xml:space="preserve"> – environnemental, social et de gouvernance)</w:t>
      </w:r>
      <w:r w:rsidRPr="005A7E87">
        <w:rPr>
          <w:rFonts w:ascii="Calibri Light" w:hAnsi="Calibri Light" w:cs="Calibri Light"/>
          <w:lang w:val="fr-FR"/>
        </w:rPr>
        <w:t xml:space="preserve">. </w:t>
      </w:r>
    </w:p>
    <w:p w14:paraId="3E6F6113" w14:textId="60A7E4DE" w:rsidR="00D46169" w:rsidRPr="005A7E87" w:rsidRDefault="00D7617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lang w:val="fr-FR"/>
        </w:rPr>
      </w:pPr>
      <w:r w:rsidRPr="005A7E87">
        <w:rPr>
          <w:rFonts w:ascii="Calibri Light" w:hAnsi="Calibri Light" w:cs="Calibri Light"/>
          <w:b/>
          <w:bCs/>
          <w:lang w:val="fr-FR"/>
        </w:rPr>
        <w:lastRenderedPageBreak/>
        <w:t>Cesse</w:t>
      </w:r>
      <w:r w:rsidR="00EF05DA">
        <w:rPr>
          <w:rFonts w:ascii="Calibri Light" w:hAnsi="Calibri Light" w:cs="Calibri Light"/>
          <w:b/>
          <w:bCs/>
          <w:lang w:val="fr-FR"/>
        </w:rPr>
        <w:t>r</w:t>
      </w:r>
      <w:r w:rsidRPr="005A7E87">
        <w:rPr>
          <w:rFonts w:ascii="Calibri Light" w:hAnsi="Calibri Light" w:cs="Calibri Light"/>
          <w:b/>
          <w:bCs/>
          <w:lang w:val="fr-FR"/>
        </w:rPr>
        <w:t xml:space="preserve"> de pénaliser les </w:t>
      </w:r>
      <w:r w:rsidR="00EF05DA">
        <w:rPr>
          <w:rFonts w:ascii="Calibri Light" w:hAnsi="Calibri Light" w:cs="Calibri Light"/>
          <w:b/>
          <w:bCs/>
          <w:lang w:val="fr-FR"/>
        </w:rPr>
        <w:t xml:space="preserve">placements en actions </w:t>
      </w:r>
      <w:r w:rsidRPr="005A7E87">
        <w:rPr>
          <w:rFonts w:ascii="Calibri Light" w:hAnsi="Calibri Light" w:cs="Calibri Light"/>
          <w:b/>
          <w:bCs/>
          <w:lang w:val="fr-FR"/>
        </w:rPr>
        <w:t xml:space="preserve">à long terme </w:t>
      </w:r>
      <w:r w:rsidRPr="005A7E87">
        <w:rPr>
          <w:rFonts w:ascii="Calibri Light" w:hAnsi="Calibri Light" w:cs="Calibri Light"/>
          <w:lang w:val="fr-FR"/>
        </w:rPr>
        <w:t>par rapport aux obligations souveraines dans les règles prudentielles.</w:t>
      </w:r>
      <w:r w:rsidR="00EF05DA" w:rsidRPr="00EF05DA">
        <w:t xml:space="preserve"> </w:t>
      </w:r>
    </w:p>
    <w:p w14:paraId="3E6F6114" w14:textId="3539EA3A" w:rsidR="00D46169" w:rsidRPr="005A7E87" w:rsidRDefault="00D7617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Calibri Light" w:hAnsi="Calibri Light" w:cs="Calibri Light"/>
          <w:lang w:val="fr-FR"/>
        </w:rPr>
      </w:pPr>
      <w:r w:rsidRPr="005A7E87">
        <w:rPr>
          <w:rFonts w:ascii="Calibri Light" w:hAnsi="Calibri Light" w:cs="Calibri Light"/>
          <w:lang w:val="fr-FR"/>
        </w:rPr>
        <w:t xml:space="preserve">Les AES doivent faire appliquer le droit communautaire en garantissant aux investisseurs </w:t>
      </w:r>
      <w:r w:rsidR="0081119F">
        <w:rPr>
          <w:rFonts w:ascii="Calibri Light" w:hAnsi="Calibri Light" w:cs="Calibri Light"/>
          <w:lang w:val="fr-FR"/>
        </w:rPr>
        <w:t>particuliers</w:t>
      </w:r>
      <w:r w:rsidRPr="005A7E87">
        <w:rPr>
          <w:rFonts w:ascii="Calibri Light" w:hAnsi="Calibri Light" w:cs="Calibri Light"/>
          <w:lang w:val="fr-FR"/>
        </w:rPr>
        <w:t xml:space="preserve"> de l'UE un accès </w:t>
      </w:r>
      <w:r w:rsidR="0081119F">
        <w:rPr>
          <w:rFonts w:ascii="Calibri Light" w:hAnsi="Calibri Light" w:cs="Calibri Light"/>
          <w:lang w:val="fr-FR"/>
        </w:rPr>
        <w:t xml:space="preserve">illimité aux </w:t>
      </w:r>
      <w:r w:rsidRPr="005A7E87">
        <w:rPr>
          <w:rFonts w:ascii="Calibri Light" w:hAnsi="Calibri Light" w:cs="Calibri Light"/>
          <w:lang w:val="fr-FR"/>
        </w:rPr>
        <w:t>produits d'investissement à faible coût tels que les actions, les obligations et les</w:t>
      </w:r>
      <w:r w:rsidR="00EF05DA">
        <w:rPr>
          <w:rFonts w:ascii="Calibri Light" w:hAnsi="Calibri Light" w:cs="Calibri Light"/>
          <w:lang w:val="fr-FR"/>
        </w:rPr>
        <w:t xml:space="preserve"> FNB</w:t>
      </w:r>
      <w:r w:rsidR="0044404F">
        <w:rPr>
          <w:rFonts w:ascii="Calibri Light" w:hAnsi="Calibri Light" w:cs="Calibri Light"/>
          <w:lang w:val="fr-FR"/>
        </w:rPr>
        <w:t xml:space="preserve"> indiciels</w:t>
      </w:r>
      <w:r w:rsidR="00E528A4">
        <w:rPr>
          <w:rFonts w:ascii="Calibri Light" w:hAnsi="Calibri Light" w:cs="Calibri Light"/>
          <w:lang w:val="fr-FR"/>
        </w:rPr>
        <w:t>.</w:t>
      </w:r>
      <w:r w:rsidR="0044404F">
        <w:rPr>
          <w:rFonts w:ascii="Calibri Light" w:hAnsi="Calibri Light" w:cs="Calibri Light"/>
          <w:lang w:val="fr-FR"/>
        </w:rPr>
        <w:t xml:space="preserve"> </w:t>
      </w:r>
    </w:p>
    <w:p w14:paraId="3E6F6115" w14:textId="2365AF51" w:rsidR="00D46169" w:rsidRPr="005A7E87" w:rsidRDefault="00D7617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lang w:val="fr-FR"/>
        </w:rPr>
      </w:pPr>
      <w:r w:rsidRPr="005A7E87">
        <w:rPr>
          <w:rFonts w:ascii="Calibri Light" w:hAnsi="Calibri Light" w:cs="Calibri Light"/>
          <w:b/>
          <w:bCs/>
          <w:lang w:val="fr-FR"/>
        </w:rPr>
        <w:t xml:space="preserve">Rétablir la </w:t>
      </w:r>
      <w:r w:rsidR="0044404F">
        <w:rPr>
          <w:rFonts w:ascii="Calibri Light" w:hAnsi="Calibri Light" w:cs="Calibri Light"/>
          <w:b/>
          <w:bCs/>
          <w:lang w:val="fr-FR"/>
        </w:rPr>
        <w:t xml:space="preserve">communication </w:t>
      </w:r>
      <w:r w:rsidRPr="005A7E87">
        <w:rPr>
          <w:rFonts w:ascii="Calibri Light" w:hAnsi="Calibri Light" w:cs="Calibri Light"/>
          <w:b/>
          <w:bCs/>
          <w:lang w:val="fr-FR"/>
        </w:rPr>
        <w:t xml:space="preserve">standardisée des performances passées </w:t>
      </w:r>
      <w:r w:rsidRPr="005A7E87">
        <w:rPr>
          <w:rFonts w:ascii="Calibri Light" w:hAnsi="Calibri Light" w:cs="Calibri Light"/>
          <w:lang w:val="fr-FR"/>
        </w:rPr>
        <w:t>(par rapport aux indices de référence des gestionnaires) et des coûts pour tous les produits d'investissement de détail.</w:t>
      </w:r>
    </w:p>
    <w:p w14:paraId="3E6F6116" w14:textId="2247BFC5" w:rsidR="00D46169" w:rsidRPr="005A7E87" w:rsidRDefault="00D7617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Calibri Light" w:hAnsi="Calibri Light" w:cs="Calibri Light"/>
          <w:lang w:val="fr-FR"/>
        </w:rPr>
      </w:pPr>
      <w:r w:rsidRPr="005A7E87">
        <w:rPr>
          <w:rFonts w:ascii="Calibri Light" w:hAnsi="Calibri Light" w:cs="Calibri Light"/>
          <w:lang w:val="fr-FR"/>
        </w:rPr>
        <w:t>Veiller à ce que le futur PEPP</w:t>
      </w:r>
      <w:r w:rsidR="0044404F">
        <w:rPr>
          <w:rFonts w:ascii="Calibri Light" w:hAnsi="Calibri Light" w:cs="Calibri Light"/>
          <w:lang w:val="fr-FR"/>
        </w:rPr>
        <w:t xml:space="preserve"> (</w:t>
      </w:r>
      <w:r w:rsidR="0044404F" w:rsidRPr="00E528A4">
        <w:rPr>
          <w:rFonts w:ascii="Calibri Light" w:hAnsi="Calibri Light" w:cs="Calibri Light"/>
          <w:i/>
          <w:iCs/>
          <w:lang w:val="fr-FR"/>
        </w:rPr>
        <w:t>Pan-European Personal Pension Product</w:t>
      </w:r>
      <w:r w:rsidR="0044404F">
        <w:rPr>
          <w:rFonts w:ascii="Calibri Light" w:hAnsi="Calibri Light" w:cs="Calibri Light"/>
          <w:lang w:val="fr-FR"/>
        </w:rPr>
        <w:t xml:space="preserve">, Produit paneuropéen d’épargne-retraite individuelle) </w:t>
      </w:r>
      <w:r w:rsidRPr="005A7E87">
        <w:rPr>
          <w:rFonts w:ascii="Calibri Light" w:hAnsi="Calibri Light" w:cs="Calibri Light"/>
          <w:lang w:val="fr-FR"/>
        </w:rPr>
        <w:t>soit réellement simple, sûr et efficace. Pour ce faire, les États membres de l'UE doivent également veiller à</w:t>
      </w:r>
      <w:r w:rsidR="0044404F">
        <w:rPr>
          <w:rFonts w:ascii="Calibri Light" w:hAnsi="Calibri Light" w:cs="Calibri Light"/>
          <w:lang w:val="fr-FR"/>
        </w:rPr>
        <w:t xml:space="preserve"> garantir, dans la mesure du possible, des </w:t>
      </w:r>
      <w:r w:rsidRPr="005A7E87">
        <w:rPr>
          <w:rFonts w:ascii="Calibri Light" w:hAnsi="Calibri Light" w:cs="Calibri Light"/>
          <w:lang w:val="fr-FR"/>
        </w:rPr>
        <w:t xml:space="preserve">règles du jeu équitables </w:t>
      </w:r>
      <w:r w:rsidR="0081119F">
        <w:rPr>
          <w:rFonts w:ascii="Calibri Light" w:hAnsi="Calibri Light" w:cs="Calibri Light"/>
          <w:lang w:val="fr-FR"/>
        </w:rPr>
        <w:t xml:space="preserve">sur le plan fiscal. </w:t>
      </w:r>
    </w:p>
    <w:p w14:paraId="3E6F6117" w14:textId="06304A9D" w:rsidR="00D46169" w:rsidRPr="005A7E87" w:rsidRDefault="00D7617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Calibri Light" w:hAnsi="Calibri Light" w:cs="Calibri Light"/>
          <w:lang w:val="fr-FR"/>
        </w:rPr>
      </w:pPr>
      <w:r w:rsidRPr="005A7E87">
        <w:rPr>
          <w:rFonts w:ascii="Calibri Light" w:hAnsi="Calibri Light" w:cs="Calibri Light"/>
          <w:lang w:val="fr-FR"/>
        </w:rPr>
        <w:t xml:space="preserve">Les AES doivent améliorer et </w:t>
      </w:r>
      <w:r w:rsidR="0044404F">
        <w:rPr>
          <w:rFonts w:ascii="Calibri Light" w:hAnsi="Calibri Light" w:cs="Calibri Light"/>
          <w:lang w:val="fr-FR"/>
        </w:rPr>
        <w:t xml:space="preserve">poursuivre la communication sur les </w:t>
      </w:r>
      <w:r w:rsidRPr="005A7E87">
        <w:rPr>
          <w:rFonts w:ascii="Calibri Light" w:hAnsi="Calibri Light" w:cs="Calibri Light"/>
          <w:lang w:val="fr-FR"/>
        </w:rPr>
        <w:t xml:space="preserve">coûts et </w:t>
      </w:r>
      <w:r w:rsidR="0044404F">
        <w:rPr>
          <w:rFonts w:ascii="Calibri Light" w:hAnsi="Calibri Light" w:cs="Calibri Light"/>
          <w:lang w:val="fr-FR"/>
        </w:rPr>
        <w:t>l</w:t>
      </w:r>
      <w:r w:rsidRPr="005A7E87">
        <w:rPr>
          <w:rFonts w:ascii="Calibri Light" w:hAnsi="Calibri Light" w:cs="Calibri Light"/>
          <w:lang w:val="fr-FR"/>
        </w:rPr>
        <w:t>es performances passées des produits d'investissement de détail.</w:t>
      </w:r>
    </w:p>
    <w:p w14:paraId="3E6F6118" w14:textId="32CBFD43" w:rsidR="00D46169" w:rsidRPr="005A7E87" w:rsidRDefault="00D7617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Calibri Light" w:hAnsi="Calibri Light" w:cs="Calibri Light"/>
          <w:lang w:val="fr-FR"/>
        </w:rPr>
      </w:pPr>
      <w:r w:rsidRPr="005A7E87">
        <w:rPr>
          <w:rFonts w:ascii="Calibri Light" w:hAnsi="Calibri Light" w:cs="Calibri Light"/>
          <w:lang w:val="fr-FR"/>
        </w:rPr>
        <w:t>Les AES doivent créer une base de données accessible au public</w:t>
      </w:r>
      <w:r w:rsidR="0081119F">
        <w:rPr>
          <w:rFonts w:ascii="Calibri Light" w:hAnsi="Calibri Light" w:cs="Calibri Light"/>
          <w:lang w:val="fr-FR"/>
        </w:rPr>
        <w:t xml:space="preserve">, permettant de comparer les produits de retraite. </w:t>
      </w:r>
    </w:p>
    <w:p w14:paraId="127A07A4" w14:textId="77777777" w:rsidR="0044404F" w:rsidRDefault="0044404F">
      <w:pPr>
        <w:jc w:val="both"/>
        <w:rPr>
          <w:rFonts w:ascii="Calibri Light" w:hAnsi="Calibri Light" w:cs="Calibri Light"/>
          <w:lang w:val="fr-FR"/>
        </w:rPr>
      </w:pPr>
    </w:p>
    <w:p w14:paraId="3E6F6119" w14:textId="4CDAEDF5" w:rsidR="00D46169" w:rsidRPr="005A7E87" w:rsidRDefault="0044404F">
      <w:pPr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Ces mesures – pour autant qu’elles soient prises en compte – seront </w:t>
      </w:r>
      <w:r w:rsidR="00D76177" w:rsidRPr="005A7E87">
        <w:rPr>
          <w:rFonts w:ascii="Calibri Light" w:hAnsi="Calibri Light" w:cs="Calibri Light"/>
          <w:lang w:val="fr-FR"/>
        </w:rPr>
        <w:t>essentielles, mais insuffisantes</w:t>
      </w:r>
      <w:r>
        <w:rPr>
          <w:rFonts w:ascii="Calibri Light" w:hAnsi="Calibri Light" w:cs="Calibri Light"/>
          <w:lang w:val="fr-FR"/>
        </w:rPr>
        <w:t xml:space="preserve"> à elles seules pour </w:t>
      </w:r>
      <w:r w:rsidR="00D76177" w:rsidRPr="005A7E87">
        <w:rPr>
          <w:rFonts w:ascii="Calibri Light" w:hAnsi="Calibri Light" w:cs="Calibri Light"/>
          <w:lang w:val="fr-FR"/>
        </w:rPr>
        <w:t xml:space="preserve">faire face à cette crise sans précédent. Les décideurs politiques et les autres parties </w:t>
      </w:r>
      <w:r>
        <w:rPr>
          <w:rFonts w:ascii="Calibri Light" w:hAnsi="Calibri Light" w:cs="Calibri Light"/>
          <w:lang w:val="fr-FR"/>
        </w:rPr>
        <w:t xml:space="preserve">intéressées </w:t>
      </w:r>
      <w:r w:rsidR="005A568C">
        <w:rPr>
          <w:rFonts w:ascii="Calibri Light" w:hAnsi="Calibri Light" w:cs="Calibri Light"/>
          <w:lang w:val="fr-FR"/>
        </w:rPr>
        <w:t xml:space="preserve">du secteur des retraites </w:t>
      </w:r>
      <w:r w:rsidR="00D76177" w:rsidRPr="005A7E87">
        <w:rPr>
          <w:rFonts w:ascii="Calibri Light" w:hAnsi="Calibri Light" w:cs="Calibri Light"/>
          <w:lang w:val="fr-FR"/>
        </w:rPr>
        <w:t>doivent concevoir des mesures de protection exceptionnelles</w:t>
      </w:r>
      <w:r w:rsidR="00B77403">
        <w:rPr>
          <w:rFonts w:ascii="Calibri Light" w:hAnsi="Calibri Light" w:cs="Calibri Light"/>
          <w:lang w:val="fr-FR"/>
        </w:rPr>
        <w:t xml:space="preserve">, avant toute chose en faveur des citoyens-épargnants, </w:t>
      </w:r>
      <w:r w:rsidR="00D76177" w:rsidRPr="005A7E87">
        <w:rPr>
          <w:rFonts w:ascii="Calibri Light" w:hAnsi="Calibri Light" w:cs="Calibri Light"/>
          <w:lang w:val="fr-FR"/>
        </w:rPr>
        <w:t>pour garantir</w:t>
      </w:r>
      <w:r w:rsidR="00B77403">
        <w:rPr>
          <w:rFonts w:ascii="Calibri Light" w:hAnsi="Calibri Light" w:cs="Calibri Light"/>
          <w:lang w:val="fr-FR"/>
        </w:rPr>
        <w:t xml:space="preserve">, aujourd’hui et dans un avenir proche, </w:t>
      </w:r>
      <w:r>
        <w:rPr>
          <w:rFonts w:ascii="Calibri Light" w:hAnsi="Calibri Light" w:cs="Calibri Light"/>
          <w:lang w:val="fr-FR"/>
        </w:rPr>
        <w:t xml:space="preserve">des </w:t>
      </w:r>
      <w:r w:rsidR="00D76177" w:rsidRPr="005A7E87">
        <w:rPr>
          <w:rFonts w:ascii="Calibri Light" w:hAnsi="Calibri Light" w:cs="Calibri Light"/>
          <w:lang w:val="fr-FR"/>
        </w:rPr>
        <w:t>revenu</w:t>
      </w:r>
      <w:r>
        <w:rPr>
          <w:rFonts w:ascii="Calibri Light" w:hAnsi="Calibri Light" w:cs="Calibri Light"/>
          <w:lang w:val="fr-FR"/>
        </w:rPr>
        <w:t>s</w:t>
      </w:r>
      <w:r w:rsidR="00D76177" w:rsidRPr="005A7E87">
        <w:rPr>
          <w:rFonts w:ascii="Calibri Light" w:hAnsi="Calibri Light" w:cs="Calibri Light"/>
          <w:lang w:val="fr-FR"/>
        </w:rPr>
        <w:t xml:space="preserve"> de retraite décent</w:t>
      </w:r>
      <w:r>
        <w:rPr>
          <w:rFonts w:ascii="Calibri Light" w:hAnsi="Calibri Light" w:cs="Calibri Light"/>
          <w:lang w:val="fr-FR"/>
        </w:rPr>
        <w:t>s</w:t>
      </w:r>
      <w:r w:rsidR="00D76177" w:rsidRPr="005A7E87">
        <w:rPr>
          <w:rFonts w:ascii="Calibri Light" w:hAnsi="Calibri Light" w:cs="Calibri Light"/>
          <w:lang w:val="fr-FR"/>
        </w:rPr>
        <w:t xml:space="preserve"> </w:t>
      </w:r>
      <w:r w:rsidR="00B77403">
        <w:rPr>
          <w:rFonts w:ascii="Calibri Light" w:hAnsi="Calibri Light" w:cs="Calibri Light"/>
          <w:lang w:val="fr-FR"/>
        </w:rPr>
        <w:t xml:space="preserve">pour les </w:t>
      </w:r>
      <w:r w:rsidR="00D76177" w:rsidRPr="005A7E87">
        <w:rPr>
          <w:rFonts w:ascii="Calibri Light" w:hAnsi="Calibri Light" w:cs="Calibri Light"/>
          <w:lang w:val="fr-FR"/>
        </w:rPr>
        <w:t>citoyens de l'UE</w:t>
      </w:r>
      <w:r w:rsidR="00B77403">
        <w:rPr>
          <w:rFonts w:ascii="Calibri Light" w:hAnsi="Calibri Light" w:cs="Calibri Light"/>
          <w:lang w:val="fr-FR"/>
        </w:rPr>
        <w:t xml:space="preserve">. </w:t>
      </w:r>
      <w:r w:rsidR="00D76177" w:rsidRPr="005A7E87">
        <w:rPr>
          <w:rFonts w:ascii="Calibri Light" w:hAnsi="Calibri Light" w:cs="Calibri Light"/>
          <w:lang w:val="fr-FR"/>
        </w:rPr>
        <w:t>BETTER FINANCE est prêt</w:t>
      </w:r>
      <w:r w:rsidR="005A568C">
        <w:rPr>
          <w:rFonts w:ascii="Calibri Light" w:hAnsi="Calibri Light" w:cs="Calibri Light"/>
          <w:lang w:val="fr-FR"/>
        </w:rPr>
        <w:t>e</w:t>
      </w:r>
      <w:r w:rsidR="00D76177" w:rsidRPr="005A7E87">
        <w:rPr>
          <w:rFonts w:ascii="Calibri Light" w:hAnsi="Calibri Light" w:cs="Calibri Light"/>
          <w:lang w:val="fr-FR"/>
        </w:rPr>
        <w:t xml:space="preserve"> à participer activement à ce processus nécessaire et urgent et à fournir</w:t>
      </w:r>
      <w:r w:rsidR="00B77403">
        <w:rPr>
          <w:rFonts w:ascii="Calibri Light" w:hAnsi="Calibri Light" w:cs="Calibri Light"/>
          <w:lang w:val="fr-FR"/>
        </w:rPr>
        <w:t xml:space="preserve"> à cette fin</w:t>
      </w:r>
      <w:r w:rsidR="00D76177" w:rsidRPr="005A7E87">
        <w:rPr>
          <w:rFonts w:ascii="Calibri Light" w:hAnsi="Calibri Light" w:cs="Calibri Light"/>
          <w:lang w:val="fr-FR"/>
        </w:rPr>
        <w:t xml:space="preserve"> des informations et des </w:t>
      </w:r>
      <w:r w:rsidR="00CB268B">
        <w:rPr>
          <w:rFonts w:ascii="Calibri Light" w:hAnsi="Calibri Light" w:cs="Calibri Light"/>
          <w:lang w:val="fr-FR"/>
        </w:rPr>
        <w:t xml:space="preserve">éléments probants </w:t>
      </w:r>
      <w:r w:rsidR="00B77403">
        <w:rPr>
          <w:rFonts w:ascii="Calibri Light" w:hAnsi="Calibri Light" w:cs="Calibri Light"/>
          <w:lang w:val="fr-FR"/>
        </w:rPr>
        <w:t>issus</w:t>
      </w:r>
      <w:r w:rsidR="00CB268B">
        <w:rPr>
          <w:rFonts w:ascii="Calibri Light" w:hAnsi="Calibri Light" w:cs="Calibri Light"/>
          <w:lang w:val="fr-FR"/>
        </w:rPr>
        <w:t xml:space="preserve"> de nombreuses années de recherche. </w:t>
      </w:r>
      <w:r w:rsidR="00D76177" w:rsidRPr="005A7E87">
        <w:rPr>
          <w:rFonts w:ascii="Calibri Light" w:hAnsi="Calibri Light" w:cs="Calibri Light"/>
          <w:lang w:val="fr-FR"/>
        </w:rPr>
        <w:t xml:space="preserve"> </w:t>
      </w:r>
      <w:r w:rsidR="00CB268B">
        <w:rPr>
          <w:rFonts w:ascii="Calibri Light" w:hAnsi="Calibri Light" w:cs="Calibri Light"/>
          <w:lang w:val="fr-FR"/>
        </w:rPr>
        <w:t xml:space="preserve"> </w:t>
      </w:r>
    </w:p>
    <w:p w14:paraId="3E6F611A" w14:textId="57597B82" w:rsidR="00D46169" w:rsidRPr="005A7E87" w:rsidRDefault="00B77403">
      <w:pPr>
        <w:jc w:val="both"/>
        <w:rPr>
          <w:rFonts w:ascii="Calibri Light" w:hAnsi="Calibri Light" w:cs="Calibri Light"/>
          <w:lang w:val="fr-FR"/>
        </w:rPr>
      </w:pPr>
      <w:r w:rsidRPr="00E528A4">
        <w:rPr>
          <w:rFonts w:ascii="Calibri Light" w:hAnsi="Calibri Light" w:cs="Calibri Light"/>
          <w:lang w:val="fr-FR"/>
        </w:rPr>
        <w:t>À cet égard, rappelons que dans le passé,</w:t>
      </w:r>
      <w:r>
        <w:rPr>
          <w:rFonts w:cs="Calibri"/>
          <w:lang w:val="fr-FR"/>
        </w:rPr>
        <w:t xml:space="preserve"> </w:t>
      </w:r>
      <w:r w:rsidR="00D76177" w:rsidRPr="005A7E87">
        <w:rPr>
          <w:rFonts w:ascii="Calibri Light" w:hAnsi="Calibri Light" w:cs="Calibri Light"/>
          <w:lang w:val="fr-FR"/>
        </w:rPr>
        <w:t xml:space="preserve">certains États membres garantissaient une augmentation annuelle minimale des rentes viagères </w:t>
      </w:r>
      <w:r>
        <w:rPr>
          <w:rFonts w:ascii="Calibri Light" w:hAnsi="Calibri Light" w:cs="Calibri Light"/>
          <w:lang w:val="fr-FR"/>
        </w:rPr>
        <w:t>versées</w:t>
      </w:r>
      <w:r w:rsidR="00CB268B">
        <w:rPr>
          <w:rFonts w:ascii="Calibri Light" w:hAnsi="Calibri Light" w:cs="Calibri Light"/>
          <w:lang w:val="fr-FR"/>
        </w:rPr>
        <w:t xml:space="preserve"> par les </w:t>
      </w:r>
      <w:r w:rsidR="00D76177" w:rsidRPr="005A7E87">
        <w:rPr>
          <w:rFonts w:ascii="Calibri Light" w:hAnsi="Calibri Light" w:cs="Calibri Light"/>
          <w:lang w:val="fr-FR"/>
        </w:rPr>
        <w:t xml:space="preserve">produits de retraite afin de protéger les retraités de l'impact dévastateur de l'inflation sur le pouvoir d'achat </w:t>
      </w:r>
      <w:r>
        <w:rPr>
          <w:rFonts w:ascii="Calibri Light" w:hAnsi="Calibri Light" w:cs="Calibri Light"/>
          <w:lang w:val="fr-FR"/>
        </w:rPr>
        <w:t xml:space="preserve">leurs revenus de remplacement. </w:t>
      </w:r>
      <w:r w:rsidR="00D76177" w:rsidRPr="005A7E87">
        <w:rPr>
          <w:rFonts w:ascii="Calibri Light" w:hAnsi="Calibri Light" w:cs="Calibri Light"/>
          <w:lang w:val="fr-FR"/>
        </w:rPr>
        <w:t xml:space="preserve"> </w:t>
      </w:r>
      <w:r>
        <w:rPr>
          <w:rFonts w:ascii="Calibri Light" w:hAnsi="Calibri Light" w:cs="Calibri Light"/>
          <w:lang w:val="fr-FR"/>
        </w:rPr>
        <w:t xml:space="preserve"> </w:t>
      </w:r>
    </w:p>
    <w:p w14:paraId="3E6F611B" w14:textId="5CB43367" w:rsidR="00D46169" w:rsidRPr="005A7E87" w:rsidRDefault="00CB268B">
      <w:pPr>
        <w:jc w:val="both"/>
        <w:rPr>
          <w:lang w:val="fr-FR"/>
        </w:rPr>
      </w:pPr>
      <w:r>
        <w:rPr>
          <w:rFonts w:ascii="Calibri Light" w:hAnsi="Calibri Light" w:cs="Calibri Light"/>
          <w:lang w:val="fr-FR"/>
        </w:rPr>
        <w:t xml:space="preserve">Aujourd’hui </w:t>
      </w:r>
      <w:r w:rsidR="00B77403">
        <w:rPr>
          <w:rFonts w:ascii="Calibri Light" w:hAnsi="Calibri Light" w:cs="Calibri Light"/>
          <w:lang w:val="fr-FR"/>
        </w:rPr>
        <w:t xml:space="preserve">plus que jamais, </w:t>
      </w:r>
      <w:r w:rsidR="00D76177" w:rsidRPr="005A7E87">
        <w:rPr>
          <w:rFonts w:ascii="Calibri Light" w:hAnsi="Calibri Light" w:cs="Calibri Light"/>
          <w:lang w:val="fr-FR"/>
        </w:rPr>
        <w:t xml:space="preserve">BETTER FINANCE </w:t>
      </w:r>
      <w:r>
        <w:rPr>
          <w:rFonts w:ascii="Calibri Light" w:hAnsi="Calibri Light" w:cs="Calibri Light"/>
          <w:lang w:val="fr-FR"/>
        </w:rPr>
        <w:t xml:space="preserve">se doit de </w:t>
      </w:r>
      <w:r w:rsidR="00D76177" w:rsidRPr="005A7E87">
        <w:rPr>
          <w:rFonts w:ascii="Calibri Light" w:hAnsi="Calibri Light" w:cs="Calibri Light"/>
          <w:lang w:val="fr-FR"/>
        </w:rPr>
        <w:t xml:space="preserve">réitérer ses appels </w:t>
      </w:r>
      <w:r>
        <w:rPr>
          <w:rFonts w:ascii="Calibri Light" w:hAnsi="Calibri Light" w:cs="Calibri Light"/>
          <w:lang w:val="fr-FR"/>
        </w:rPr>
        <w:t xml:space="preserve">à une amélioration du </w:t>
      </w:r>
      <w:r w:rsidR="00D76177" w:rsidRPr="005A7E87">
        <w:rPr>
          <w:rFonts w:ascii="Calibri Light" w:hAnsi="Calibri Light" w:cs="Calibri Light"/>
          <w:lang w:val="fr-FR"/>
        </w:rPr>
        <w:t>rendement de l'épargne à long terme (</w:t>
      </w:r>
      <w:r w:rsidR="00B77403">
        <w:rPr>
          <w:rFonts w:ascii="Calibri Light" w:hAnsi="Calibri Light" w:cs="Calibri Light"/>
          <w:lang w:val="fr-FR"/>
        </w:rPr>
        <w:t>de façon à protéger, au minimum, le p</w:t>
      </w:r>
      <w:r w:rsidR="00D76177" w:rsidRPr="005A7E87">
        <w:rPr>
          <w:rFonts w:ascii="Calibri Light" w:hAnsi="Calibri Light" w:cs="Calibri Light"/>
          <w:lang w:val="fr-FR"/>
        </w:rPr>
        <w:t xml:space="preserve">ouvoir d'achat de cette épargne à vie au moment de la retraite). Après tout, </w:t>
      </w:r>
      <w:r w:rsidR="00E528A4">
        <w:rPr>
          <w:rFonts w:ascii="Calibri Light" w:hAnsi="Calibri Light" w:cs="Calibri Light"/>
          <w:lang w:val="fr-FR"/>
        </w:rPr>
        <w:t xml:space="preserve">comme l’a dit elle-même la </w:t>
      </w:r>
      <w:r w:rsidR="00D76177" w:rsidRPr="005A7E87">
        <w:rPr>
          <w:rFonts w:ascii="Calibri Light" w:hAnsi="Calibri Light" w:cs="Calibri Light"/>
          <w:lang w:val="fr-FR"/>
        </w:rPr>
        <w:t xml:space="preserve">Commission européenne, la </w:t>
      </w:r>
      <w:r w:rsidR="00D76177" w:rsidRPr="005A7E87">
        <w:rPr>
          <w:rFonts w:ascii="Calibri Light" w:hAnsi="Calibri Light" w:cs="Calibri Light"/>
          <w:b/>
          <w:bCs/>
          <w:lang w:val="fr-FR"/>
        </w:rPr>
        <w:t>priorité est</w:t>
      </w:r>
      <w:r>
        <w:rPr>
          <w:rFonts w:ascii="Calibri Light" w:hAnsi="Calibri Light" w:cs="Calibri Light"/>
          <w:b/>
          <w:bCs/>
          <w:lang w:val="fr-FR"/>
        </w:rPr>
        <w:t xml:space="preserve"> à une économie – et donc à des marchés de capitaux – au service des personnes.   </w:t>
      </w:r>
    </w:p>
    <w:p w14:paraId="3E6F611C" w14:textId="77777777" w:rsidR="00D46169" w:rsidRPr="005A7E87" w:rsidRDefault="00D76177">
      <w:pPr>
        <w:spacing w:after="0" w:line="264" w:lineRule="auto"/>
        <w:jc w:val="center"/>
        <w:rPr>
          <w:rFonts w:ascii="Calibri Light" w:hAnsi="Calibri Light" w:cs="Calibri Light"/>
          <w:lang w:val="fr-FR"/>
        </w:rPr>
      </w:pPr>
      <w:r w:rsidRPr="005A7E87">
        <w:rPr>
          <w:rFonts w:ascii="Calibri Light" w:hAnsi="Calibri Light" w:cs="Calibri Light"/>
          <w:lang w:val="fr-FR"/>
        </w:rPr>
        <w:t>***</w:t>
      </w:r>
    </w:p>
    <w:p w14:paraId="3E6F611D" w14:textId="77777777" w:rsidR="00D46169" w:rsidRPr="005A7E87" w:rsidRDefault="00D76177">
      <w:pPr>
        <w:spacing w:after="0" w:line="264" w:lineRule="auto"/>
        <w:jc w:val="center"/>
        <w:rPr>
          <w:lang w:val="fr-FR"/>
        </w:rPr>
      </w:pPr>
      <w:r w:rsidRPr="005A7E87">
        <w:rPr>
          <w:rFonts w:ascii="Calibri Light" w:hAnsi="Calibri Light" w:cs="Calibri Light"/>
          <w:sz w:val="18"/>
          <w:szCs w:val="18"/>
          <w:u w:val="single"/>
          <w:lang w:val="fr-FR"/>
        </w:rPr>
        <w:t xml:space="preserve">Contact </w:t>
      </w:r>
      <w:r w:rsidRPr="005A7E87">
        <w:rPr>
          <w:rFonts w:ascii="Calibri Light" w:hAnsi="Calibri Light" w:cs="Calibri Light"/>
          <w:sz w:val="18"/>
          <w:szCs w:val="18"/>
          <w:lang w:val="fr-FR"/>
        </w:rPr>
        <w:t xml:space="preserve">: Directeur de la communication ǀ Arnaud Houdmont ǀ +32 (0)2 514 37 77 ǀ </w:t>
      </w:r>
      <w:hyperlink r:id="rId10" w:history="1">
        <w:r w:rsidRPr="005A7E87">
          <w:rPr>
            <w:rStyle w:val="Hyperlink"/>
            <w:rFonts w:ascii="Calibri Light" w:hAnsi="Calibri Light" w:cs="Calibri Light"/>
            <w:sz w:val="18"/>
            <w:szCs w:val="18"/>
            <w:lang w:val="fr-FR"/>
          </w:rPr>
          <w:t>houdmont@betterfinance.eu</w:t>
        </w:r>
      </w:hyperlink>
    </w:p>
    <w:sectPr w:rsidR="00D46169" w:rsidRPr="005A7E8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F610A" w14:textId="77777777" w:rsidR="00CC0CA8" w:rsidRDefault="00D76177">
      <w:pPr>
        <w:spacing w:after="0" w:line="240" w:lineRule="auto"/>
      </w:pPr>
      <w:r>
        <w:separator/>
      </w:r>
    </w:p>
  </w:endnote>
  <w:endnote w:type="continuationSeparator" w:id="0">
    <w:p w14:paraId="3E6F610C" w14:textId="77777777" w:rsidR="00CC0CA8" w:rsidRDefault="00D7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6112" w14:textId="34B0A935" w:rsidR="00012AFA" w:rsidRPr="00D76177" w:rsidRDefault="00D76177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fr-BE"/>
      </w:rPr>
    </w:pPr>
    <w:r w:rsidRPr="00D76177">
      <w:rPr>
        <w:b/>
        <w:color w:val="006FB4"/>
        <w:sz w:val="16"/>
        <w:szCs w:val="16"/>
        <w:lang w:val="fr-BE"/>
      </w:rPr>
      <w:t xml:space="preserve">Fédération </w:t>
    </w:r>
    <w:r w:rsidR="00980CB0">
      <w:rPr>
        <w:b/>
        <w:color w:val="006FB4"/>
        <w:sz w:val="16"/>
        <w:szCs w:val="16"/>
        <w:lang w:val="fr-BE"/>
      </w:rPr>
      <w:t>E</w:t>
    </w:r>
    <w:r w:rsidRPr="00D76177">
      <w:rPr>
        <w:b/>
        <w:color w:val="006FB4"/>
        <w:sz w:val="16"/>
        <w:szCs w:val="16"/>
        <w:lang w:val="fr-BE"/>
      </w:rPr>
      <w:t xml:space="preserve">uropéenne des </w:t>
    </w:r>
    <w:r w:rsidR="00980CB0">
      <w:rPr>
        <w:b/>
        <w:color w:val="006FB4"/>
        <w:sz w:val="16"/>
        <w:szCs w:val="16"/>
        <w:lang w:val="fr-BE"/>
      </w:rPr>
      <w:t>I</w:t>
    </w:r>
    <w:r w:rsidRPr="00D76177">
      <w:rPr>
        <w:b/>
        <w:color w:val="006FB4"/>
        <w:sz w:val="16"/>
        <w:szCs w:val="16"/>
        <w:lang w:val="fr-BE"/>
      </w:rPr>
      <w:t xml:space="preserve">nvestisseurs et </w:t>
    </w:r>
    <w:r w:rsidR="00980CB0">
      <w:rPr>
        <w:b/>
        <w:color w:val="006FB4"/>
        <w:sz w:val="16"/>
        <w:szCs w:val="16"/>
        <w:lang w:val="fr-BE"/>
      </w:rPr>
      <w:t xml:space="preserve">Usagers </w:t>
    </w:r>
    <w:r w:rsidRPr="00D76177">
      <w:rPr>
        <w:b/>
        <w:color w:val="006FB4"/>
        <w:sz w:val="16"/>
        <w:szCs w:val="16"/>
        <w:lang w:val="fr-BE"/>
      </w:rPr>
      <w:t>de</w:t>
    </w:r>
    <w:r w:rsidR="005A568C">
      <w:rPr>
        <w:b/>
        <w:color w:val="006FB4"/>
        <w:sz w:val="16"/>
        <w:szCs w:val="16"/>
        <w:lang w:val="fr-BE"/>
      </w:rPr>
      <w:t>s</w:t>
    </w:r>
    <w:r w:rsidRPr="00D76177">
      <w:rPr>
        <w:b/>
        <w:color w:val="006FB4"/>
        <w:sz w:val="16"/>
        <w:szCs w:val="16"/>
        <w:lang w:val="fr-BE"/>
      </w:rPr>
      <w:t xml:space="preserve"> </w:t>
    </w:r>
    <w:r w:rsidR="00980CB0">
      <w:rPr>
        <w:b/>
        <w:color w:val="006FB4"/>
        <w:sz w:val="16"/>
        <w:szCs w:val="16"/>
        <w:lang w:val="fr-BE"/>
      </w:rPr>
      <w:t>S</w:t>
    </w:r>
    <w:r w:rsidRPr="00D76177">
      <w:rPr>
        <w:b/>
        <w:color w:val="006FB4"/>
        <w:sz w:val="16"/>
        <w:szCs w:val="16"/>
        <w:lang w:val="fr-BE"/>
      </w:rPr>
      <w:t xml:space="preserve">ervices </w:t>
    </w:r>
    <w:r w:rsidR="00980CB0">
      <w:rPr>
        <w:b/>
        <w:color w:val="006FB4"/>
        <w:sz w:val="16"/>
        <w:szCs w:val="16"/>
        <w:lang w:val="fr-BE"/>
      </w:rPr>
      <w:t>F</w:t>
    </w:r>
    <w:r w:rsidRPr="00D76177">
      <w:rPr>
        <w:b/>
        <w:color w:val="006FB4"/>
        <w:sz w:val="16"/>
        <w:szCs w:val="16"/>
        <w:lang w:val="fr-BE"/>
      </w:rPr>
      <w:t>inanciers</w:t>
    </w:r>
  </w:p>
  <w:p w14:paraId="3E6F6113" w14:textId="77777777" w:rsidR="00012AFA" w:rsidRDefault="00D76177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>44, Rue d'Arenberg, 1000 Bruxelles - Belgique</w:t>
    </w:r>
  </w:p>
  <w:p w14:paraId="3E6F6114" w14:textId="77777777" w:rsidR="00012AFA" w:rsidRDefault="00D76177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Tél.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3E6F6115" w14:textId="77777777" w:rsidR="00012AFA" w:rsidRDefault="00D76177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 : info@betterfinance.eu - </w:t>
    </w:r>
    <w:bookmarkStart w:id="2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F6106" w14:textId="77777777" w:rsidR="00CC0CA8" w:rsidRDefault="00D761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6F6108" w14:textId="77777777" w:rsidR="00CC0CA8" w:rsidRDefault="00D76177">
      <w:pPr>
        <w:spacing w:after="0" w:line="240" w:lineRule="auto"/>
      </w:pPr>
      <w:r>
        <w:continuationSeparator/>
      </w:r>
    </w:p>
  </w:footnote>
  <w:footnote w:id="1">
    <w:p w14:paraId="3E6F6108" w14:textId="0CDEBCD4" w:rsidR="00D46169" w:rsidRPr="00D76177" w:rsidRDefault="00D7617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D76177">
        <w:rPr>
          <w:lang w:val="fr-BE"/>
        </w:rPr>
        <w:t xml:space="preserve"> Le montant de la dette </w:t>
      </w:r>
      <w:r w:rsidR="00006FA5">
        <w:rPr>
          <w:lang w:val="fr-BE"/>
        </w:rPr>
        <w:t xml:space="preserve">publique de l’eurozone </w:t>
      </w:r>
      <w:r w:rsidRPr="00D76177">
        <w:rPr>
          <w:lang w:val="fr-BE"/>
        </w:rPr>
        <w:t>détenue par la BCE a augmenté de 146 % entre 2009 et 2019. Le bilan annuel consolidé</w:t>
      </w:r>
      <w:r w:rsidR="00DB0A2E">
        <w:rPr>
          <w:lang w:val="fr-BE"/>
        </w:rPr>
        <w:t xml:space="preserve"> de l’</w:t>
      </w:r>
      <w:r w:rsidRPr="00D76177">
        <w:rPr>
          <w:lang w:val="fr-BE"/>
        </w:rPr>
        <w:t xml:space="preserve">Eurosystème comprend les actifs et passifs des banques centrales nationales (BCN) de l'Eurosystème et de la BCE détenus en fin d'année vis-à-vis de tiers </w:t>
      </w:r>
      <w:hyperlink r:id="rId1" w:history="1">
        <w:r w:rsidRPr="00D76177">
          <w:rPr>
            <w:rStyle w:val="Hyperlink"/>
            <w:lang w:val="fr-BE"/>
          </w:rPr>
          <w:t xml:space="preserve">: https://www.ecb.europa.eu/pub/annual/balance/html/index.en.html </w:t>
        </w:r>
      </w:hyperlink>
    </w:p>
  </w:footnote>
  <w:footnote w:id="2">
    <w:p w14:paraId="3E6F6109" w14:textId="77777777" w:rsidR="00D46169" w:rsidRPr="00D76177" w:rsidRDefault="00D7617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2" w:history="1">
        <w:r w:rsidRPr="00D76177">
          <w:rPr>
            <w:rStyle w:val="Hyperlink"/>
            <w:lang w:val="fr-BE"/>
          </w:rPr>
          <w:t xml:space="preserve"> https://www.investopedia.com/government-stimulus-efforts-to-fight-the-covid-19-crisis-4799723 </w:t>
        </w:r>
      </w:hyperlink>
    </w:p>
  </w:footnote>
  <w:footnote w:id="3">
    <w:p w14:paraId="460F265C" w14:textId="77777777" w:rsidR="00770C57" w:rsidRPr="00D76177" w:rsidRDefault="00770C57" w:rsidP="00770C5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3" w:history="1">
        <w:r w:rsidRPr="00D76177">
          <w:rPr>
            <w:rStyle w:val="Hyperlink"/>
            <w:lang w:val="fr-BE"/>
          </w:rPr>
          <w:t xml:space="preserve"> https://www.bruegel.org/2020/03/coronavirus-and-the-politics-of-a-common-fiscal-instrument/ </w:t>
        </w:r>
      </w:hyperlink>
    </w:p>
  </w:footnote>
  <w:footnote w:id="4">
    <w:p w14:paraId="3E6F610A" w14:textId="77777777" w:rsidR="00D46169" w:rsidRPr="00D76177" w:rsidRDefault="00D7617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4" w:history="1">
        <w:r w:rsidRPr="00D76177">
          <w:rPr>
            <w:rStyle w:val="Hyperlink"/>
            <w:lang w:val="fr-BE"/>
          </w:rPr>
          <w:t xml:space="preserve"> https://www.bruegel.org/2020/03/coronavirus-and-the-politics-of-a-common-fiscal-instrument/ </w:t>
        </w:r>
      </w:hyperlink>
    </w:p>
  </w:footnote>
  <w:footnote w:id="5">
    <w:p w14:paraId="3E6F610C" w14:textId="77777777" w:rsidR="00D46169" w:rsidRPr="00D76177" w:rsidRDefault="00D7617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5" w:history="1">
        <w:r w:rsidRPr="00D76177">
          <w:rPr>
            <w:rStyle w:val="Hyperlink"/>
            <w:lang w:val="fr-BE"/>
          </w:rPr>
          <w:t xml:space="preserve"> https://ec.europa.eu/transparency/regexpert/index.cfm?do=groupDetail.groupMeetingDoc&amp;docid=38547</w:t>
        </w:r>
      </w:hyperlink>
    </w:p>
  </w:footnote>
  <w:footnote w:id="6">
    <w:p w14:paraId="3E6F610D" w14:textId="77777777" w:rsidR="00D46169" w:rsidRPr="00D76177" w:rsidRDefault="00D7617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6" w:history="1">
        <w:r w:rsidRPr="00D76177">
          <w:rPr>
            <w:rStyle w:val="Hyperlink"/>
            <w:lang w:val="fr-BE"/>
          </w:rPr>
          <w:t xml:space="preserve"> https://betterfinance.eu/wp-content/uploads/PR-PENSIONS-INADEQUACY-25092019.pdf </w:t>
        </w:r>
      </w:hyperlink>
    </w:p>
  </w:footnote>
  <w:footnote w:id="7">
    <w:p w14:paraId="3E6F610E" w14:textId="77777777" w:rsidR="00D46169" w:rsidRPr="00D76177" w:rsidRDefault="00D7617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7" w:history="1">
        <w:r w:rsidRPr="00D76177">
          <w:rPr>
            <w:rStyle w:val="Hyperlink"/>
            <w:lang w:val="fr-BE"/>
          </w:rPr>
          <w:t xml:space="preserve"> https://www.cfainstitute.org/en/advocacy/policy-positions/capital-formation-investing-pension-contributions-in-private-markets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610E" w14:textId="77777777" w:rsidR="00012AFA" w:rsidRDefault="00D7617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E6F6106" wp14:editId="3E6F6107">
          <wp:extent cx="5647197" cy="554638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7197" cy="5546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E6F610F" w14:textId="77777777" w:rsidR="00012AFA" w:rsidRDefault="005A568C">
    <w:pPr>
      <w:pStyle w:val="Header"/>
      <w:jc w:val="center"/>
      <w:rPr>
        <w:sz w:val="12"/>
        <w:szCs w:val="12"/>
      </w:rPr>
    </w:pPr>
  </w:p>
  <w:p w14:paraId="3E6F6110" w14:textId="77777777" w:rsidR="00012AFA" w:rsidRDefault="005A568C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B2AEF"/>
    <w:multiLevelType w:val="multilevel"/>
    <w:tmpl w:val="B66A8598"/>
    <w:lvl w:ilvl="0">
      <w:numFmt w:val="bullet"/>
      <w:lvlText w:val=""/>
      <w:lvlJc w:val="left"/>
      <w:pPr>
        <w:ind w:left="720" w:hanging="360"/>
      </w:pPr>
      <w:rPr>
        <w:rFonts w:ascii="Wingdings" w:eastAsia="Calibri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D5368C8"/>
    <w:multiLevelType w:val="multilevel"/>
    <w:tmpl w:val="2D72B860"/>
    <w:lvl w:ilvl="0">
      <w:numFmt w:val="bullet"/>
      <w:lvlText w:val=""/>
      <w:lvlJc w:val="left"/>
      <w:pPr>
        <w:ind w:left="1080" w:hanging="72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69"/>
    <w:rsid w:val="00006FA5"/>
    <w:rsid w:val="001A0C53"/>
    <w:rsid w:val="0044404F"/>
    <w:rsid w:val="004A65F3"/>
    <w:rsid w:val="004C3AEE"/>
    <w:rsid w:val="005A568C"/>
    <w:rsid w:val="005A7E87"/>
    <w:rsid w:val="007628C0"/>
    <w:rsid w:val="00770C57"/>
    <w:rsid w:val="007D67EC"/>
    <w:rsid w:val="0081119F"/>
    <w:rsid w:val="00871989"/>
    <w:rsid w:val="00972D1C"/>
    <w:rsid w:val="00980CB0"/>
    <w:rsid w:val="00AC432F"/>
    <w:rsid w:val="00B77403"/>
    <w:rsid w:val="00C64B8C"/>
    <w:rsid w:val="00CB268B"/>
    <w:rsid w:val="00CC0CA8"/>
    <w:rsid w:val="00D46169"/>
    <w:rsid w:val="00D76177"/>
    <w:rsid w:val="00DB0A2E"/>
    <w:rsid w:val="00DE622C"/>
    <w:rsid w:val="00E528A4"/>
    <w:rsid w:val="00EF05DA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60FF"/>
  <w15:docId w15:val="{945EF2A5-5DD3-4358-B093-73BC6DDF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BalloonText">
    <w:name w:val="Balloon Text"/>
    <w:basedOn w:val="Normal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Strong">
    <w:name w:val="Strong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Cambria" w:eastAsia="SimSun" w:hAnsi="Cambria" w:cs="Times New Roman"/>
      <w:color w:val="365F91"/>
      <w:sz w:val="26"/>
      <w:szCs w:val="26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basedOn w:val="DefaultParagraphFont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hgkelc">
    <w:name w:val="hgkelc"/>
    <w:basedOn w:val="DefaultParagraphFont"/>
    <w:rsid w:val="0077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udmont@betterfinanc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egel.org/2020/03/coronavirus-and-the-politics-of-a-common-fiscal-instrument/" TargetMode="External"/><Relationship Id="rId7" Type="http://schemas.openxmlformats.org/officeDocument/2006/relationships/hyperlink" Target="https://www.cfainstitute.org/en/advocacy/policy-positions/capital-formation-investing-pension-contributions-in-private-markets" TargetMode="External"/><Relationship Id="rId2" Type="http://schemas.openxmlformats.org/officeDocument/2006/relationships/hyperlink" Target="https://www.investopedia.com/government-stimulus-efforts-to-fight-the-covid-19-crisis-4799723" TargetMode="External"/><Relationship Id="rId1" Type="http://schemas.openxmlformats.org/officeDocument/2006/relationships/hyperlink" Target="https://www.ecb.europa.eu/pub/annual/balance/html/index.en.html" TargetMode="External"/><Relationship Id="rId6" Type="http://schemas.openxmlformats.org/officeDocument/2006/relationships/hyperlink" Target="https://betterfinance.eu/wp-content/uploads/PR-PENSIONS-INADEQUACY-25092019.pdf" TargetMode="External"/><Relationship Id="rId5" Type="http://schemas.openxmlformats.org/officeDocument/2006/relationships/hyperlink" Target="https://ec.europa.eu/transparency/regexpert/index.cfm?do=groupDetail.groupMeetingDoc&amp;docid=38547" TargetMode="External"/><Relationship Id="rId4" Type="http://schemas.openxmlformats.org/officeDocument/2006/relationships/hyperlink" Target="https://www.bruegel.org/2020/03/coronavirus-and-the-politics-of-a-common-fiscal-instru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98B75-D39A-4A28-9D52-7D63E8DDA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ED6AF-2218-4565-ACF0-67622F9AC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FC487-0CB9-4E91-B7D9-20F4A5B3DE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1761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Houdmont</dc:creator>
  <dc:description/>
  <cp:lastModifiedBy>ISO Translation</cp:lastModifiedBy>
  <cp:revision>4</cp:revision>
  <cp:lastPrinted>2019-03-22T09:41:00Z</cp:lastPrinted>
  <dcterms:created xsi:type="dcterms:W3CDTF">2020-12-09T07:58:00Z</dcterms:created>
  <dcterms:modified xsi:type="dcterms:W3CDTF">2020-12-14T15:15:00Z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