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DD2E1" w14:textId="586B37BF" w:rsidR="002D1782" w:rsidRDefault="002D1782"/>
    <w:p w14:paraId="5A7DD2E2" w14:textId="77777777" w:rsidR="002D1782" w:rsidRPr="00246002" w:rsidRDefault="00246002">
      <w:pPr>
        <w:pStyle w:val="BodyText"/>
        <w:spacing w:after="0" w:line="312" w:lineRule="auto"/>
        <w:jc w:val="both"/>
        <w:rPr>
          <w:lang w:val="fr-BE"/>
        </w:rPr>
      </w:pPr>
      <w:bookmarkStart w:id="0" w:name="_Hlk4143464"/>
      <w:r w:rsidRPr="00246002">
        <w:rPr>
          <w:rStyle w:val="Strong"/>
          <w:sz w:val="20"/>
          <w:szCs w:val="22"/>
          <w:lang w:val="fr-BE"/>
        </w:rPr>
        <w:t xml:space="preserve">COMMUNIQUÉ DE PRESSE </w:t>
      </w:r>
    </w:p>
    <w:p w14:paraId="5A7DD2E3" w14:textId="440BDD5E" w:rsidR="002D1782" w:rsidRPr="00246002" w:rsidRDefault="00246002">
      <w:pPr>
        <w:pStyle w:val="BodyText"/>
        <w:spacing w:after="80" w:line="240" w:lineRule="auto"/>
        <w:jc w:val="both"/>
        <w:rPr>
          <w:lang w:val="fr-BE"/>
        </w:rPr>
      </w:pPr>
      <w:bookmarkStart w:id="1" w:name="_Hlk882368"/>
      <w:bookmarkStart w:id="2" w:name="_Hlk523763847"/>
      <w:r w:rsidRPr="00246002">
        <w:rPr>
          <w:rFonts w:ascii="Cambria" w:eastAsia="Calibri" w:hAnsi="Cambria" w:cs="Arial"/>
          <w:b/>
          <w:smallCaps/>
          <w:color w:val="365F91"/>
          <w:spacing w:val="20"/>
          <w:kern w:val="3"/>
          <w:sz w:val="32"/>
          <w:szCs w:val="30"/>
          <w:lang w:val="fr-BE"/>
        </w:rPr>
        <w:t>Plus</w:t>
      </w:r>
      <w:r w:rsidR="00450A8C">
        <w:rPr>
          <w:rFonts w:ascii="Cambria" w:eastAsia="Calibri" w:hAnsi="Cambria" w:cs="Arial"/>
          <w:b/>
          <w:smallCaps/>
          <w:color w:val="365F91"/>
          <w:spacing w:val="20"/>
          <w:kern w:val="3"/>
          <w:sz w:val="32"/>
          <w:szCs w:val="30"/>
          <w:lang w:val="fr-BE"/>
        </w:rPr>
        <w:t xml:space="preserve"> les frais sont élevés, plus le rendement risque d’être décevant </w:t>
      </w:r>
      <w:r w:rsidRPr="00246002">
        <w:rPr>
          <w:rFonts w:ascii="Cambria" w:eastAsia="Calibri" w:hAnsi="Cambria" w:cs="Arial"/>
          <w:b/>
          <w:smallCaps/>
          <w:color w:val="365F91"/>
          <w:spacing w:val="20"/>
          <w:kern w:val="3"/>
          <w:sz w:val="32"/>
          <w:szCs w:val="30"/>
          <w:lang w:val="fr-BE"/>
        </w:rPr>
        <w:t xml:space="preserve"> </w:t>
      </w:r>
      <w:r w:rsidR="00450A8C">
        <w:rPr>
          <w:rFonts w:ascii="Cambria" w:eastAsia="Calibri" w:hAnsi="Cambria" w:cs="Arial"/>
          <w:b/>
          <w:smallCaps/>
          <w:color w:val="365F91"/>
          <w:spacing w:val="20"/>
          <w:kern w:val="3"/>
          <w:sz w:val="32"/>
          <w:szCs w:val="30"/>
          <w:lang w:val="fr-BE"/>
        </w:rPr>
        <w:t xml:space="preserve"> </w:t>
      </w:r>
    </w:p>
    <w:bookmarkEnd w:id="1"/>
    <w:bookmarkEnd w:id="2"/>
    <w:p w14:paraId="5A7DD2E4" w14:textId="01403FF3" w:rsidR="002D1782" w:rsidRPr="00246002" w:rsidRDefault="00246002">
      <w:pPr>
        <w:pStyle w:val="Heading2"/>
        <w:spacing w:after="80"/>
        <w:jc w:val="both"/>
        <w:rPr>
          <w:sz w:val="24"/>
          <w:szCs w:val="24"/>
          <w:lang w:val="fr-BE"/>
        </w:rPr>
      </w:pPr>
      <w:r w:rsidRPr="00246002">
        <w:rPr>
          <w:sz w:val="24"/>
          <w:szCs w:val="24"/>
          <w:lang w:val="fr-BE"/>
        </w:rPr>
        <w:t xml:space="preserve">Une nouvelle </w:t>
      </w:r>
      <w:r w:rsidR="00CB54A4">
        <w:rPr>
          <w:sz w:val="24"/>
          <w:szCs w:val="24"/>
          <w:lang w:val="fr-BE"/>
        </w:rPr>
        <w:t xml:space="preserve">étude de </w:t>
      </w:r>
      <w:r w:rsidRPr="00246002">
        <w:rPr>
          <w:sz w:val="24"/>
          <w:szCs w:val="24"/>
          <w:lang w:val="fr-BE"/>
        </w:rPr>
        <w:t xml:space="preserve">BETTER FINANCE sur la corrélation entre les coûts et les performances des fonds d'actions </w:t>
      </w:r>
      <w:r w:rsidR="006E0DAD">
        <w:rPr>
          <w:sz w:val="24"/>
          <w:szCs w:val="24"/>
          <w:lang w:val="fr-BE"/>
        </w:rPr>
        <w:t xml:space="preserve">européens </w:t>
      </w:r>
      <w:r w:rsidRPr="00246002">
        <w:rPr>
          <w:sz w:val="24"/>
          <w:szCs w:val="24"/>
          <w:lang w:val="fr-BE"/>
        </w:rPr>
        <w:t xml:space="preserve">de détail </w:t>
      </w:r>
      <w:r w:rsidR="00CB54A4">
        <w:rPr>
          <w:sz w:val="24"/>
          <w:szCs w:val="24"/>
          <w:lang w:val="fr-BE"/>
        </w:rPr>
        <w:t>montre clairement une corrélation négative entre les rendements et les frais</w:t>
      </w:r>
      <w:r w:rsidR="00FF1BC2">
        <w:rPr>
          <w:sz w:val="24"/>
          <w:szCs w:val="24"/>
          <w:lang w:val="fr-BE"/>
        </w:rPr>
        <w:t>.</w:t>
      </w:r>
      <w:r w:rsidR="00CB54A4">
        <w:rPr>
          <w:sz w:val="24"/>
          <w:szCs w:val="24"/>
          <w:lang w:val="fr-BE"/>
        </w:rPr>
        <w:t xml:space="preserve">  </w:t>
      </w:r>
    </w:p>
    <w:p w14:paraId="5A7DD2E5" w14:textId="42D9F761" w:rsidR="002D1782" w:rsidRPr="00246002" w:rsidRDefault="00246002">
      <w:pPr>
        <w:spacing w:after="80"/>
        <w:jc w:val="both"/>
        <w:rPr>
          <w:lang w:val="fr-BE"/>
        </w:rPr>
      </w:pPr>
      <w:r w:rsidRPr="00246002">
        <w:rPr>
          <w:rFonts w:ascii="Cambria" w:hAnsi="Cambria"/>
          <w:b/>
          <w:lang w:val="fr-BE"/>
        </w:rPr>
        <w:t xml:space="preserve">Bruxelles, le 20 juin 2019 </w:t>
      </w:r>
      <w:r w:rsidR="00CB54A4">
        <w:rPr>
          <w:rFonts w:ascii="Cambria" w:hAnsi="Cambria"/>
          <w:lang w:val="fr-BE"/>
        </w:rPr>
        <w:t>–</w:t>
      </w:r>
      <w:bookmarkEnd w:id="0"/>
      <w:r w:rsidRPr="00246002">
        <w:rPr>
          <w:rFonts w:ascii="Cambria" w:hAnsi="Cambria"/>
          <w:lang w:val="fr-BE"/>
        </w:rPr>
        <w:t xml:space="preserve"> </w:t>
      </w:r>
      <w:r w:rsidR="00CB54A4">
        <w:rPr>
          <w:rFonts w:ascii="Cambria" w:hAnsi="Cambria"/>
          <w:lang w:val="fr-BE"/>
        </w:rPr>
        <w:t xml:space="preserve">Tout le monde sait que </w:t>
      </w:r>
      <w:r w:rsidRPr="00246002">
        <w:rPr>
          <w:rFonts w:ascii="Cambria" w:hAnsi="Cambria"/>
          <w:lang w:val="fr-BE"/>
        </w:rPr>
        <w:t xml:space="preserve">si vous voulez battre le marché, vous devez </w:t>
      </w:r>
      <w:r w:rsidR="00CB54A4">
        <w:rPr>
          <w:rFonts w:ascii="Cambria" w:hAnsi="Cambria"/>
          <w:lang w:val="fr-BE"/>
        </w:rPr>
        <w:t xml:space="preserve">opter pour une gestion très active… ce qui a un </w:t>
      </w:r>
      <w:r w:rsidR="006E0DAD">
        <w:rPr>
          <w:rFonts w:ascii="Cambria" w:hAnsi="Cambria"/>
          <w:lang w:val="fr-BE"/>
        </w:rPr>
        <w:t xml:space="preserve">coût. </w:t>
      </w:r>
      <w:r w:rsidR="00CB54A4">
        <w:rPr>
          <w:rFonts w:ascii="Cambria" w:hAnsi="Cambria"/>
          <w:lang w:val="fr-BE"/>
        </w:rPr>
        <w:t xml:space="preserve"> </w:t>
      </w:r>
      <w:r w:rsidRPr="00246002">
        <w:rPr>
          <w:rFonts w:ascii="Cambria" w:hAnsi="Cambria"/>
          <w:lang w:val="fr-BE"/>
        </w:rPr>
        <w:t xml:space="preserve"> </w:t>
      </w:r>
    </w:p>
    <w:p w14:paraId="5A7DD2E6" w14:textId="605245E6" w:rsidR="002D1782" w:rsidRPr="00246002" w:rsidRDefault="00246002">
      <w:pPr>
        <w:spacing w:after="80"/>
        <w:jc w:val="both"/>
        <w:rPr>
          <w:rFonts w:ascii="Cambria" w:hAnsi="Cambria"/>
          <w:lang w:val="fr-BE"/>
        </w:rPr>
      </w:pPr>
      <w:r w:rsidRPr="00246002">
        <w:rPr>
          <w:rFonts w:ascii="Cambria" w:hAnsi="Cambria"/>
          <w:lang w:val="fr-BE"/>
        </w:rPr>
        <w:t>Dans le cadre de sa série #FundResearch, BETTER FINANCE a décidé d</w:t>
      </w:r>
      <w:r w:rsidR="00CB54A4">
        <w:rPr>
          <w:rFonts w:ascii="Cambria" w:hAnsi="Cambria"/>
          <w:lang w:val="fr-BE"/>
        </w:rPr>
        <w:t xml:space="preserve">’en faire la démonstration et </w:t>
      </w:r>
      <w:r w:rsidRPr="00246002">
        <w:rPr>
          <w:rFonts w:ascii="Cambria" w:hAnsi="Cambria"/>
          <w:lang w:val="fr-BE"/>
        </w:rPr>
        <w:t>d'examiner de plus près les principaux facteurs qui influ</w:t>
      </w:r>
      <w:r w:rsidR="00CB54A4">
        <w:rPr>
          <w:rFonts w:ascii="Cambria" w:hAnsi="Cambria"/>
          <w:lang w:val="fr-BE"/>
        </w:rPr>
        <w:t xml:space="preserve">encent les </w:t>
      </w:r>
      <w:r w:rsidRPr="00246002">
        <w:rPr>
          <w:rFonts w:ascii="Cambria" w:hAnsi="Cambria"/>
          <w:lang w:val="fr-BE"/>
        </w:rPr>
        <w:t>performances des fonds et</w:t>
      </w:r>
      <w:r w:rsidR="00CB54A4">
        <w:rPr>
          <w:rFonts w:ascii="Cambria" w:hAnsi="Cambria"/>
          <w:lang w:val="fr-BE"/>
        </w:rPr>
        <w:t xml:space="preserve"> leur capacité à générer des </w:t>
      </w:r>
      <w:r w:rsidRPr="00246002">
        <w:rPr>
          <w:rFonts w:ascii="Cambria" w:hAnsi="Cambria"/>
          <w:lang w:val="fr-BE"/>
        </w:rPr>
        <w:t xml:space="preserve">rendements supérieurs au marché, en </w:t>
      </w:r>
      <w:r w:rsidR="00CB54A4">
        <w:rPr>
          <w:rFonts w:ascii="Cambria" w:hAnsi="Cambria"/>
          <w:lang w:val="fr-BE"/>
        </w:rPr>
        <w:t xml:space="preserve">s’intéressant en particulier aux coûts. </w:t>
      </w:r>
      <w:r w:rsidRPr="00246002">
        <w:rPr>
          <w:rFonts w:ascii="Cambria" w:hAnsi="Cambria"/>
          <w:lang w:val="fr-BE"/>
        </w:rPr>
        <w:t xml:space="preserve"> </w:t>
      </w:r>
    </w:p>
    <w:p w14:paraId="5A7DD2E7" w14:textId="2E238C81" w:rsidR="002D1782" w:rsidRPr="00246002" w:rsidRDefault="00246002">
      <w:pPr>
        <w:spacing w:after="80"/>
        <w:jc w:val="both"/>
        <w:rPr>
          <w:lang w:val="fr-BE"/>
        </w:rPr>
      </w:pPr>
      <w:r w:rsidRPr="00246002">
        <w:rPr>
          <w:rFonts w:ascii="Cambria" w:hAnsi="Cambria"/>
          <w:lang w:val="fr-BE"/>
        </w:rPr>
        <w:t>BETTER FINANCE a mesuré l</w:t>
      </w:r>
      <w:r w:rsidR="002B6946">
        <w:rPr>
          <w:rFonts w:ascii="Cambria" w:hAnsi="Cambria"/>
          <w:lang w:val="fr-BE"/>
        </w:rPr>
        <w:t xml:space="preserve">es rendements affichés ces dix dernières années par des fonds d’actions de détail européens – fonds belges, français et luxembourgeois – </w:t>
      </w:r>
      <w:r w:rsidR="00FF1BC2">
        <w:rPr>
          <w:rFonts w:ascii="Cambria" w:hAnsi="Cambria"/>
          <w:lang w:val="fr-BE"/>
        </w:rPr>
        <w:t xml:space="preserve">pour les comparer aux performances </w:t>
      </w:r>
      <w:r w:rsidR="002B6946">
        <w:rPr>
          <w:rFonts w:ascii="Cambria" w:hAnsi="Cambria"/>
          <w:lang w:val="fr-BE"/>
        </w:rPr>
        <w:t xml:space="preserve">de leurs indices de référence respectifs. Le résultat ? Seulement </w:t>
      </w:r>
      <w:r w:rsidRPr="00246002">
        <w:rPr>
          <w:rFonts w:ascii="Cambria" w:hAnsi="Cambria"/>
          <w:lang w:val="fr-BE"/>
        </w:rPr>
        <w:t xml:space="preserve">27 % des fonds survivants </w:t>
      </w:r>
      <w:r w:rsidR="002B6946">
        <w:rPr>
          <w:rFonts w:ascii="Cambria" w:hAnsi="Cambria"/>
          <w:lang w:val="fr-BE"/>
        </w:rPr>
        <w:t xml:space="preserve">ayant un </w:t>
      </w:r>
      <w:r w:rsidRPr="00246002">
        <w:rPr>
          <w:rFonts w:ascii="Cambria" w:hAnsi="Cambria"/>
          <w:lang w:val="fr-BE"/>
        </w:rPr>
        <w:t>historique suffisa</w:t>
      </w:r>
      <w:r w:rsidR="002B6946">
        <w:rPr>
          <w:rFonts w:ascii="Cambria" w:hAnsi="Cambria"/>
          <w:lang w:val="fr-BE"/>
        </w:rPr>
        <w:t>nt sont parvenus à battre le marché sur cinq ans (moyenne trimestrielle glissante)</w:t>
      </w:r>
      <w:r>
        <w:rPr>
          <w:rStyle w:val="FootnoteReference"/>
          <w:rFonts w:ascii="Cambria" w:hAnsi="Cambria"/>
          <w:lang w:val="en-US"/>
        </w:rPr>
        <w:footnoteReference w:id="1"/>
      </w:r>
      <w:r w:rsidRPr="00246002">
        <w:rPr>
          <w:rFonts w:ascii="Cambria" w:hAnsi="Cambria"/>
          <w:lang w:val="fr-BE"/>
        </w:rPr>
        <w:t xml:space="preserve">. </w:t>
      </w:r>
      <w:r w:rsidR="002B6946">
        <w:rPr>
          <w:rFonts w:ascii="Cambria" w:hAnsi="Cambria"/>
          <w:lang w:val="fr-BE"/>
        </w:rPr>
        <w:t xml:space="preserve">Voilà qui confirme le fait que </w:t>
      </w:r>
      <w:r w:rsidRPr="00246002">
        <w:rPr>
          <w:rFonts w:ascii="Cambria" w:hAnsi="Cambria"/>
          <w:lang w:val="fr-BE"/>
        </w:rPr>
        <w:t>peu de gestionnaires actifs sont en mesure de compenser l'impact des frais</w:t>
      </w:r>
      <w:r w:rsidR="002B6946">
        <w:rPr>
          <w:rFonts w:ascii="Cambria" w:hAnsi="Cambria"/>
          <w:lang w:val="fr-BE"/>
        </w:rPr>
        <w:t xml:space="preserve"> </w:t>
      </w:r>
      <w:r w:rsidR="00FF1BC2">
        <w:rPr>
          <w:rFonts w:ascii="Cambria" w:hAnsi="Cambria"/>
          <w:lang w:val="fr-BE"/>
        </w:rPr>
        <w:t xml:space="preserve">et commissions facturés aux investisseurs </w:t>
      </w:r>
      <w:r w:rsidRPr="00246002">
        <w:rPr>
          <w:rFonts w:ascii="Cambria" w:hAnsi="Cambria"/>
          <w:lang w:val="fr-BE"/>
        </w:rPr>
        <w:t xml:space="preserve">et que </w:t>
      </w:r>
      <w:r w:rsidR="00612DA3">
        <w:rPr>
          <w:rFonts w:ascii="Cambria" w:hAnsi="Cambria"/>
          <w:lang w:val="fr-BE"/>
        </w:rPr>
        <w:t xml:space="preserve">si un fonds parvient à battre le marché, c’est surtout l’effet du hasard. L’étude a également mis en avant, grâce à des statistiques très solides, que </w:t>
      </w:r>
      <w:r w:rsidRPr="00246002">
        <w:rPr>
          <w:rFonts w:ascii="Cambria" w:hAnsi="Cambria"/>
          <w:lang w:val="fr-BE"/>
        </w:rPr>
        <w:t>plus les frais sont élevés, moins les fonds actifs</w:t>
      </w:r>
      <w:r w:rsidR="00612DA3">
        <w:rPr>
          <w:rFonts w:ascii="Cambria" w:hAnsi="Cambria"/>
          <w:lang w:val="fr-BE"/>
        </w:rPr>
        <w:t xml:space="preserve"> parviennent à obtenir des rendements supérieurs </w:t>
      </w:r>
      <w:r w:rsidRPr="00246002">
        <w:rPr>
          <w:rFonts w:ascii="Cambria" w:hAnsi="Cambria"/>
          <w:lang w:val="fr-BE"/>
        </w:rPr>
        <w:t xml:space="preserve">(c'est-à-dire à générer un </w:t>
      </w:r>
      <w:r w:rsidR="00612DA3">
        <w:rPr>
          <w:rFonts w:ascii="Cambria" w:hAnsi="Cambria"/>
          <w:lang w:val="fr-BE"/>
        </w:rPr>
        <w:t>« </w:t>
      </w:r>
      <w:r w:rsidRPr="00246002">
        <w:rPr>
          <w:rFonts w:ascii="Cambria" w:hAnsi="Cambria"/>
          <w:lang w:val="fr-BE"/>
        </w:rPr>
        <w:t>alpha</w:t>
      </w:r>
      <w:r w:rsidR="00612DA3">
        <w:rPr>
          <w:rFonts w:ascii="Cambria" w:hAnsi="Cambria"/>
          <w:lang w:val="fr-BE"/>
        </w:rPr>
        <w:t> »</w:t>
      </w:r>
      <w:r w:rsidRPr="00246002">
        <w:rPr>
          <w:rFonts w:ascii="Cambria" w:hAnsi="Cambria"/>
          <w:lang w:val="fr-BE"/>
        </w:rPr>
        <w:t xml:space="preserve"> positif) </w:t>
      </w:r>
      <w:r w:rsidR="00612DA3">
        <w:rPr>
          <w:rFonts w:ascii="Cambria" w:hAnsi="Cambria"/>
          <w:lang w:val="fr-BE"/>
        </w:rPr>
        <w:t xml:space="preserve">à ceux de leurs </w:t>
      </w:r>
      <w:r w:rsidR="006E0DAD">
        <w:rPr>
          <w:rFonts w:ascii="Cambria" w:hAnsi="Cambria"/>
          <w:lang w:val="fr-BE"/>
        </w:rPr>
        <w:t xml:space="preserve">indices </w:t>
      </w:r>
      <w:r w:rsidR="00612DA3">
        <w:rPr>
          <w:rFonts w:ascii="Cambria" w:hAnsi="Cambria"/>
          <w:lang w:val="fr-BE"/>
        </w:rPr>
        <w:t>de référence</w:t>
      </w:r>
      <w:r w:rsidR="006E0DAD">
        <w:rPr>
          <w:rFonts w:ascii="Cambria" w:hAnsi="Cambria"/>
          <w:lang w:val="fr-BE"/>
        </w:rPr>
        <w:t xml:space="preserve"> des marchés de capitaux</w:t>
      </w:r>
      <w:r w:rsidR="00612DA3">
        <w:rPr>
          <w:rFonts w:ascii="Cambria" w:hAnsi="Cambria"/>
          <w:lang w:val="fr-BE"/>
        </w:rPr>
        <w:t xml:space="preserve">. </w:t>
      </w:r>
    </w:p>
    <w:tbl>
      <w:tblPr>
        <w:tblW w:w="907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0"/>
        <w:gridCol w:w="1860"/>
        <w:gridCol w:w="1860"/>
        <w:gridCol w:w="1860"/>
        <w:gridCol w:w="1632"/>
      </w:tblGrid>
      <w:tr w:rsidR="002D1782" w:rsidRPr="00246002" w14:paraId="5A7DD2E9" w14:textId="77777777">
        <w:trPr>
          <w:trHeight w:val="70"/>
          <w:jc w:val="center"/>
        </w:trPr>
        <w:tc>
          <w:tcPr>
            <w:tcW w:w="9072" w:type="dxa"/>
            <w:gridSpan w:val="5"/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DD2E8" w14:textId="0337C6E9" w:rsidR="002D1782" w:rsidRPr="00246002" w:rsidRDefault="00246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val="fr-BE" w:eastAsia="en-GB"/>
              </w:rPr>
            </w:pPr>
            <w:r w:rsidRPr="00246002">
              <w:rPr>
                <w:rFonts w:ascii="Cambria" w:eastAsia="Times New Roman" w:hAnsi="Cambria" w:cs="Calibri"/>
                <w:b/>
                <w:bCs/>
                <w:color w:val="FFFFFF"/>
                <w:lang w:val="fr-BE" w:eastAsia="en-GB"/>
              </w:rPr>
              <w:t xml:space="preserve">Dispersion de l'excédent de rendement par </w:t>
            </w:r>
            <w:r w:rsidR="00612DA3">
              <w:rPr>
                <w:rFonts w:ascii="Cambria" w:eastAsia="Times New Roman" w:hAnsi="Cambria" w:cs="Calibri"/>
                <w:b/>
                <w:bCs/>
                <w:color w:val="FFFFFF"/>
                <w:lang w:val="fr-BE" w:eastAsia="en-GB"/>
              </w:rPr>
              <w:t xml:space="preserve">niveau de frais </w:t>
            </w:r>
            <w:r w:rsidRPr="00246002">
              <w:rPr>
                <w:rFonts w:ascii="Cambria" w:eastAsia="Times New Roman" w:hAnsi="Cambria" w:cs="Calibri"/>
                <w:b/>
                <w:bCs/>
                <w:color w:val="FFFFFF"/>
                <w:lang w:val="fr-BE" w:eastAsia="en-GB"/>
              </w:rPr>
              <w:t>(Frais</w:t>
            </w:r>
            <w:r w:rsidR="00612DA3">
              <w:rPr>
                <w:rFonts w:ascii="Cambria" w:eastAsia="Times New Roman" w:hAnsi="Cambria" w:cs="Calibri"/>
                <w:b/>
                <w:bCs/>
                <w:color w:val="FFFFFF"/>
                <w:lang w:val="fr-BE" w:eastAsia="en-GB"/>
              </w:rPr>
              <w:t xml:space="preserve"> et </w:t>
            </w:r>
            <w:r w:rsidRPr="00246002">
              <w:rPr>
                <w:rFonts w:ascii="Cambria" w:eastAsia="Times New Roman" w:hAnsi="Cambria" w:cs="Calibri"/>
                <w:b/>
                <w:bCs/>
                <w:color w:val="FFFFFF"/>
                <w:lang w:val="fr-BE" w:eastAsia="en-GB"/>
              </w:rPr>
              <w:t>alpha 2013 - 2017)</w:t>
            </w:r>
          </w:p>
        </w:tc>
      </w:tr>
      <w:tr w:rsidR="002D1782" w14:paraId="5A7DD2ED" w14:textId="77777777">
        <w:trPr>
          <w:trHeight w:val="70"/>
          <w:jc w:val="center"/>
        </w:trPr>
        <w:tc>
          <w:tcPr>
            <w:tcW w:w="1860" w:type="dxa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DD2EA" w14:textId="77777777" w:rsidR="002D1782" w:rsidRDefault="00246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>Frais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DD2EB" w14:textId="77777777" w:rsidR="002D1782" w:rsidRDefault="00246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>Alpha</w:t>
            </w:r>
          </w:p>
        </w:tc>
        <w:tc>
          <w:tcPr>
            <w:tcW w:w="5352" w:type="dxa"/>
            <w:gridSpan w:val="3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DD2EC" w14:textId="77777777" w:rsidR="002D1782" w:rsidRDefault="00246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>Tous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les fonds</w:t>
            </w:r>
          </w:p>
        </w:tc>
      </w:tr>
      <w:tr w:rsidR="002D1782" w14:paraId="5A7DD2F3" w14:textId="77777777">
        <w:trPr>
          <w:trHeight w:val="70"/>
          <w:jc w:val="center"/>
        </w:trPr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DD2EE" w14:textId="77777777" w:rsidR="002D1782" w:rsidRDefault="002D1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DD2EF" w14:textId="77777777" w:rsidR="002D1782" w:rsidRDefault="002D1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8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DD2F0" w14:textId="77777777" w:rsidR="002D1782" w:rsidRDefault="00246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>OPCVM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DD2F1" w14:textId="282F2837" w:rsidR="002D1782" w:rsidRDefault="00612DA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>FIA</w:t>
            </w:r>
          </w:p>
        </w:tc>
        <w:tc>
          <w:tcPr>
            <w:tcW w:w="16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DD2F2" w14:textId="77777777" w:rsidR="002D1782" w:rsidRDefault="00246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</w:tr>
      <w:tr w:rsidR="002D1782" w14:paraId="5A7DD2F9" w14:textId="77777777">
        <w:trPr>
          <w:trHeight w:val="70"/>
          <w:jc w:val="center"/>
        </w:trPr>
        <w:tc>
          <w:tcPr>
            <w:tcW w:w="186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DD2F4" w14:textId="77777777" w:rsidR="002D1782" w:rsidRDefault="00246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n-GB"/>
              </w:rPr>
              <w:t>[0%, 0.5%)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DD2F5" w14:textId="77777777" w:rsidR="002D1782" w:rsidRDefault="00246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alpha ≥ 0%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DD2F6" w14:textId="77777777" w:rsidR="002D1782" w:rsidRDefault="00246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1.86%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DD2F7" w14:textId="77777777" w:rsidR="002D1782" w:rsidRDefault="00246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1.18%</w:t>
            </w:r>
          </w:p>
        </w:tc>
        <w:tc>
          <w:tcPr>
            <w:tcW w:w="16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DD2F8" w14:textId="77777777" w:rsidR="002D1782" w:rsidRDefault="00246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1.80%</w:t>
            </w:r>
          </w:p>
        </w:tc>
      </w:tr>
      <w:tr w:rsidR="002D1782" w14:paraId="5A7DD2FF" w14:textId="77777777">
        <w:trPr>
          <w:trHeight w:val="70"/>
          <w:jc w:val="center"/>
        </w:trPr>
        <w:tc>
          <w:tcPr>
            <w:tcW w:w="186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DD2FA" w14:textId="77777777" w:rsidR="002D1782" w:rsidRDefault="002D178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DD2FB" w14:textId="77777777" w:rsidR="002D1782" w:rsidRDefault="00246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  <w:t>alpha &lt; 0%</w:t>
            </w:r>
          </w:p>
        </w:tc>
        <w:tc>
          <w:tcPr>
            <w:tcW w:w="1860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DD2FC" w14:textId="77777777" w:rsidR="002D1782" w:rsidRDefault="00246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  <w:t>1.56%</w:t>
            </w:r>
          </w:p>
        </w:tc>
        <w:tc>
          <w:tcPr>
            <w:tcW w:w="1860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DD2FD" w14:textId="77777777" w:rsidR="002D1782" w:rsidRDefault="00246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  <w:t>5.33%</w:t>
            </w:r>
          </w:p>
        </w:tc>
        <w:tc>
          <w:tcPr>
            <w:tcW w:w="1632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DD2FE" w14:textId="77777777" w:rsidR="002D1782" w:rsidRDefault="00246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  <w:t>1.91%</w:t>
            </w:r>
          </w:p>
        </w:tc>
      </w:tr>
      <w:tr w:rsidR="002D1782" w14:paraId="5A7DD305" w14:textId="77777777">
        <w:trPr>
          <w:trHeight w:val="70"/>
          <w:jc w:val="center"/>
        </w:trPr>
        <w:tc>
          <w:tcPr>
            <w:tcW w:w="1860" w:type="dxa"/>
            <w:vMerge w:val="restart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DD300" w14:textId="77777777" w:rsidR="002D1782" w:rsidRDefault="00246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n-GB"/>
              </w:rPr>
              <w:t>[0.5%, 1%)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DD301" w14:textId="77777777" w:rsidR="002D1782" w:rsidRDefault="00246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alpha ≥ 0%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DD302" w14:textId="77777777" w:rsidR="002D1782" w:rsidRDefault="00246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1.50%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DD303" w14:textId="77777777" w:rsidR="002D1782" w:rsidRDefault="00246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1.18%</w:t>
            </w:r>
          </w:p>
        </w:tc>
        <w:tc>
          <w:tcPr>
            <w:tcW w:w="16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DD304" w14:textId="77777777" w:rsidR="002D1782" w:rsidRDefault="00246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1.47%</w:t>
            </w:r>
          </w:p>
        </w:tc>
      </w:tr>
      <w:tr w:rsidR="002D1782" w14:paraId="5A7DD30B" w14:textId="77777777">
        <w:trPr>
          <w:trHeight w:val="70"/>
          <w:jc w:val="center"/>
        </w:trPr>
        <w:tc>
          <w:tcPr>
            <w:tcW w:w="1860" w:type="dxa"/>
            <w:vMerge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DD306" w14:textId="77777777" w:rsidR="002D1782" w:rsidRDefault="002D178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DD307" w14:textId="77777777" w:rsidR="002D1782" w:rsidRDefault="00246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  <w:t>alpha &lt; 0%</w:t>
            </w:r>
          </w:p>
        </w:tc>
        <w:tc>
          <w:tcPr>
            <w:tcW w:w="1860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DD308" w14:textId="77777777" w:rsidR="002D1782" w:rsidRDefault="00246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  <w:t>5.05%</w:t>
            </w:r>
          </w:p>
        </w:tc>
        <w:tc>
          <w:tcPr>
            <w:tcW w:w="1860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DD309" w14:textId="77777777" w:rsidR="002D1782" w:rsidRDefault="00246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  <w:t>8.28%</w:t>
            </w:r>
          </w:p>
        </w:tc>
        <w:tc>
          <w:tcPr>
            <w:tcW w:w="1632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DD30A" w14:textId="77777777" w:rsidR="002D1782" w:rsidRDefault="00246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  <w:t>5.34%</w:t>
            </w:r>
          </w:p>
        </w:tc>
      </w:tr>
      <w:tr w:rsidR="002D1782" w14:paraId="5A7DD311" w14:textId="77777777">
        <w:trPr>
          <w:trHeight w:val="70"/>
          <w:jc w:val="center"/>
        </w:trPr>
        <w:tc>
          <w:tcPr>
            <w:tcW w:w="186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DD30C" w14:textId="77777777" w:rsidR="002D1782" w:rsidRDefault="00246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n-GB"/>
              </w:rPr>
              <w:t>[1%, 2%)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DD30D" w14:textId="77777777" w:rsidR="002D1782" w:rsidRDefault="00246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alpha ≥ 0%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DD30E" w14:textId="77777777" w:rsidR="002D1782" w:rsidRDefault="00246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16.16%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DD30F" w14:textId="77777777" w:rsidR="002D1782" w:rsidRDefault="00246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4.73%</w:t>
            </w:r>
          </w:p>
        </w:tc>
        <w:tc>
          <w:tcPr>
            <w:tcW w:w="16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DD310" w14:textId="77777777" w:rsidR="002D1782" w:rsidRDefault="00246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15.10%</w:t>
            </w:r>
          </w:p>
        </w:tc>
      </w:tr>
      <w:tr w:rsidR="002D1782" w14:paraId="5A7DD317" w14:textId="77777777">
        <w:trPr>
          <w:trHeight w:val="70"/>
          <w:jc w:val="center"/>
        </w:trPr>
        <w:tc>
          <w:tcPr>
            <w:tcW w:w="186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DD312" w14:textId="77777777" w:rsidR="002D1782" w:rsidRDefault="002D178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DD313" w14:textId="77777777" w:rsidR="002D1782" w:rsidRDefault="00246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  <w:t>alpha &lt; 0%</w:t>
            </w:r>
          </w:p>
        </w:tc>
        <w:tc>
          <w:tcPr>
            <w:tcW w:w="1860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DD314" w14:textId="77777777" w:rsidR="002D1782" w:rsidRDefault="00246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  <w:t>32.19%</w:t>
            </w:r>
          </w:p>
        </w:tc>
        <w:tc>
          <w:tcPr>
            <w:tcW w:w="1860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DD315" w14:textId="77777777" w:rsidR="002D1782" w:rsidRDefault="00246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  <w:t>37.87%</w:t>
            </w:r>
          </w:p>
        </w:tc>
        <w:tc>
          <w:tcPr>
            <w:tcW w:w="1632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DD316" w14:textId="77777777" w:rsidR="002D1782" w:rsidRDefault="00246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  <w:t>32.72%</w:t>
            </w:r>
          </w:p>
        </w:tc>
      </w:tr>
      <w:tr w:rsidR="002D1782" w14:paraId="5A7DD31D" w14:textId="77777777">
        <w:trPr>
          <w:trHeight w:val="70"/>
          <w:jc w:val="center"/>
        </w:trPr>
        <w:tc>
          <w:tcPr>
            <w:tcW w:w="1860" w:type="dxa"/>
            <w:vMerge w:val="restart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DD318" w14:textId="77777777" w:rsidR="002D1782" w:rsidRDefault="00246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n-GB"/>
              </w:rPr>
              <w:t>[2% ; 3%)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DD319" w14:textId="77777777" w:rsidR="002D1782" w:rsidRDefault="00246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alpha ≥ 0%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DD31A" w14:textId="77777777" w:rsidR="002D1782" w:rsidRDefault="00246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9.55%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DD31B" w14:textId="77777777" w:rsidR="002D1782" w:rsidRDefault="00246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3.55%</w:t>
            </w:r>
          </w:p>
        </w:tc>
        <w:tc>
          <w:tcPr>
            <w:tcW w:w="16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DD31C" w14:textId="77777777" w:rsidR="002D1782" w:rsidRDefault="00246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9.00%</w:t>
            </w:r>
          </w:p>
        </w:tc>
      </w:tr>
      <w:tr w:rsidR="002D1782" w14:paraId="5A7DD323" w14:textId="77777777">
        <w:trPr>
          <w:trHeight w:val="70"/>
          <w:jc w:val="center"/>
        </w:trPr>
        <w:tc>
          <w:tcPr>
            <w:tcW w:w="1860" w:type="dxa"/>
            <w:vMerge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DD31E" w14:textId="77777777" w:rsidR="002D1782" w:rsidRDefault="002D178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DD31F" w14:textId="77777777" w:rsidR="002D1782" w:rsidRDefault="00246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  <w:t>alpha &lt; 0%</w:t>
            </w:r>
          </w:p>
        </w:tc>
        <w:tc>
          <w:tcPr>
            <w:tcW w:w="1860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DD320" w14:textId="77777777" w:rsidR="002D1782" w:rsidRDefault="00246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  <w:t>22.28%</w:t>
            </w:r>
          </w:p>
        </w:tc>
        <w:tc>
          <w:tcPr>
            <w:tcW w:w="1860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DD321" w14:textId="77777777" w:rsidR="002D1782" w:rsidRDefault="00246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  <w:t>23.08%</w:t>
            </w:r>
          </w:p>
        </w:tc>
        <w:tc>
          <w:tcPr>
            <w:tcW w:w="1632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DD322" w14:textId="77777777" w:rsidR="002D1782" w:rsidRDefault="00246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  <w:t>22.36%</w:t>
            </w:r>
          </w:p>
        </w:tc>
      </w:tr>
      <w:tr w:rsidR="002D1782" w14:paraId="5A7DD329" w14:textId="77777777">
        <w:trPr>
          <w:trHeight w:val="70"/>
          <w:jc w:val="center"/>
        </w:trPr>
        <w:tc>
          <w:tcPr>
            <w:tcW w:w="186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DD324" w14:textId="77777777" w:rsidR="002D1782" w:rsidRDefault="00246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[3%+ 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DD325" w14:textId="77777777" w:rsidR="002D1782" w:rsidRDefault="00246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alpha ≥ 0%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DD326" w14:textId="77777777" w:rsidR="002D1782" w:rsidRDefault="00246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2.40%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DD327" w14:textId="77777777" w:rsidR="002D1782" w:rsidRDefault="00246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1.18%</w:t>
            </w:r>
          </w:p>
        </w:tc>
        <w:tc>
          <w:tcPr>
            <w:tcW w:w="16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DD328" w14:textId="77777777" w:rsidR="002D1782" w:rsidRDefault="00246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2.29%</w:t>
            </w:r>
          </w:p>
        </w:tc>
      </w:tr>
      <w:tr w:rsidR="002D1782" w14:paraId="5A7DD32F" w14:textId="77777777">
        <w:trPr>
          <w:trHeight w:val="70"/>
          <w:jc w:val="center"/>
        </w:trPr>
        <w:tc>
          <w:tcPr>
            <w:tcW w:w="186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DD32A" w14:textId="77777777" w:rsidR="002D1782" w:rsidRDefault="002D178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DD32B" w14:textId="77777777" w:rsidR="002D1782" w:rsidRDefault="00246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  <w:t>alpha &lt; 0%</w:t>
            </w:r>
          </w:p>
        </w:tc>
        <w:tc>
          <w:tcPr>
            <w:tcW w:w="1860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DD32C" w14:textId="77777777" w:rsidR="002D1782" w:rsidRDefault="00246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  <w:t>7.45%</w:t>
            </w:r>
          </w:p>
        </w:tc>
        <w:tc>
          <w:tcPr>
            <w:tcW w:w="1860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DD32D" w14:textId="77777777" w:rsidR="002D1782" w:rsidRDefault="00246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  <w:t>13.61%</w:t>
            </w:r>
          </w:p>
        </w:tc>
        <w:tc>
          <w:tcPr>
            <w:tcW w:w="1632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DD32E" w14:textId="77777777" w:rsidR="002D1782" w:rsidRDefault="00246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  <w:t>8.02%</w:t>
            </w:r>
          </w:p>
        </w:tc>
      </w:tr>
    </w:tbl>
    <w:p w14:paraId="5A7DD330" w14:textId="02F87DF3" w:rsidR="002D1782" w:rsidRPr="00246002" w:rsidRDefault="00246002">
      <w:pPr>
        <w:spacing w:before="120" w:after="80"/>
        <w:jc w:val="both"/>
        <w:rPr>
          <w:rFonts w:ascii="Cambria" w:hAnsi="Cambria"/>
          <w:lang w:val="fr-BE"/>
        </w:rPr>
      </w:pPr>
      <w:r w:rsidRPr="00246002">
        <w:rPr>
          <w:rFonts w:ascii="Cambria" w:hAnsi="Cambria"/>
          <w:lang w:val="fr-BE"/>
        </w:rPr>
        <w:t xml:space="preserve">Les frais </w:t>
      </w:r>
      <w:r w:rsidR="00FF1BC2">
        <w:rPr>
          <w:rFonts w:ascii="Cambria" w:hAnsi="Cambria"/>
          <w:lang w:val="fr-BE"/>
        </w:rPr>
        <w:t xml:space="preserve">et commissions </w:t>
      </w:r>
      <w:r w:rsidRPr="00246002">
        <w:rPr>
          <w:rFonts w:ascii="Cambria" w:hAnsi="Cambria"/>
          <w:lang w:val="fr-BE"/>
        </w:rPr>
        <w:t xml:space="preserve">sont </w:t>
      </w:r>
      <w:r w:rsidR="00612DA3">
        <w:rPr>
          <w:rFonts w:ascii="Cambria" w:hAnsi="Cambria"/>
          <w:lang w:val="fr-BE"/>
        </w:rPr>
        <w:t xml:space="preserve">pratiquement les seuls responsables des rendements décevants de nombreux fonds faisant l’objet d’une </w:t>
      </w:r>
      <w:r w:rsidR="00962B31">
        <w:rPr>
          <w:rFonts w:ascii="Cambria" w:hAnsi="Cambria"/>
          <w:lang w:val="fr-BE"/>
        </w:rPr>
        <w:t xml:space="preserve">gestion active. </w:t>
      </w:r>
      <w:r w:rsidRPr="00246002">
        <w:rPr>
          <w:rFonts w:ascii="Cambria" w:hAnsi="Cambria"/>
          <w:lang w:val="fr-BE"/>
        </w:rPr>
        <w:t>Une analyse de régression linéaire confirme que lorsque les frais augmentent de 100 points de base, l</w:t>
      </w:r>
      <w:r w:rsidR="00962B31">
        <w:rPr>
          <w:rFonts w:ascii="Cambria" w:hAnsi="Cambria"/>
          <w:lang w:val="fr-BE"/>
        </w:rPr>
        <w:t xml:space="preserve">’excédent de rendement du fonds </w:t>
      </w:r>
      <w:r w:rsidRPr="00246002">
        <w:rPr>
          <w:rFonts w:ascii="Cambria" w:hAnsi="Cambria"/>
          <w:lang w:val="fr-BE"/>
        </w:rPr>
        <w:t xml:space="preserve">diminue de 68 points de base. Une analyse </w:t>
      </w:r>
      <w:r w:rsidR="00962B31">
        <w:rPr>
          <w:rFonts w:ascii="Cambria" w:hAnsi="Cambria"/>
          <w:lang w:val="fr-BE"/>
        </w:rPr>
        <w:t xml:space="preserve">par </w:t>
      </w:r>
      <w:r w:rsidRPr="00246002">
        <w:rPr>
          <w:rFonts w:ascii="Cambria" w:hAnsi="Cambria"/>
          <w:lang w:val="fr-BE"/>
        </w:rPr>
        <w:t xml:space="preserve">régression multiple </w:t>
      </w:r>
      <w:r w:rsidR="00962B31">
        <w:rPr>
          <w:rFonts w:ascii="Cambria" w:hAnsi="Cambria"/>
          <w:lang w:val="fr-BE"/>
        </w:rPr>
        <w:t xml:space="preserve">montre que </w:t>
      </w:r>
      <w:r w:rsidR="00FF1BC2">
        <w:rPr>
          <w:rFonts w:ascii="Cambria" w:hAnsi="Cambria"/>
          <w:lang w:val="fr-BE"/>
        </w:rPr>
        <w:t xml:space="preserve">c’est le </w:t>
      </w:r>
      <w:r w:rsidR="00962B31">
        <w:rPr>
          <w:rFonts w:ascii="Cambria" w:hAnsi="Cambria"/>
          <w:lang w:val="fr-BE"/>
        </w:rPr>
        <w:t xml:space="preserve">rendement du marché </w:t>
      </w:r>
      <w:r w:rsidR="00FF1BC2">
        <w:rPr>
          <w:rFonts w:ascii="Cambria" w:hAnsi="Cambria"/>
          <w:lang w:val="fr-BE"/>
        </w:rPr>
        <w:t xml:space="preserve">qui influence le plus les performances globales des fonds, suivi par le niveau des frais et l’écart de suivi. </w:t>
      </w:r>
      <w:r w:rsidR="00962B31">
        <w:rPr>
          <w:rFonts w:ascii="Cambria" w:hAnsi="Cambria"/>
          <w:lang w:val="fr-BE"/>
        </w:rPr>
        <w:t xml:space="preserve">Qui plus est, les </w:t>
      </w:r>
      <w:r w:rsidRPr="00246002">
        <w:rPr>
          <w:rFonts w:ascii="Cambria" w:hAnsi="Cambria"/>
          <w:lang w:val="fr-BE"/>
        </w:rPr>
        <w:t xml:space="preserve">surperformances occasionnelles </w:t>
      </w:r>
      <w:r w:rsidR="00962B31">
        <w:rPr>
          <w:rFonts w:ascii="Cambria" w:hAnsi="Cambria"/>
          <w:lang w:val="fr-BE"/>
        </w:rPr>
        <w:t xml:space="preserve">sont semble-t-il à mettre sur </w:t>
      </w:r>
      <w:r w:rsidR="00962B31">
        <w:rPr>
          <w:rFonts w:ascii="Cambria" w:hAnsi="Cambria"/>
          <w:lang w:val="fr-BE"/>
        </w:rPr>
        <w:lastRenderedPageBreak/>
        <w:t xml:space="preserve">le compte de la chance, et n’ont apparemment aucun lien avec les frais ou les compétences de </w:t>
      </w:r>
      <w:proofErr w:type="spellStart"/>
      <w:r w:rsidR="00962B31" w:rsidRPr="000C47E8">
        <w:rPr>
          <w:rFonts w:ascii="Cambria" w:hAnsi="Cambria"/>
          <w:i/>
          <w:iCs/>
          <w:lang w:val="fr-BE"/>
        </w:rPr>
        <w:t>stockpicking</w:t>
      </w:r>
      <w:proofErr w:type="spellEnd"/>
      <w:r w:rsidR="00450A8C" w:rsidRPr="000C47E8">
        <w:rPr>
          <w:rFonts w:ascii="Cambria" w:hAnsi="Cambria"/>
          <w:i/>
          <w:iCs/>
          <w:lang w:val="fr-BE"/>
        </w:rPr>
        <w:t xml:space="preserve"> </w:t>
      </w:r>
      <w:r w:rsidR="00450A8C">
        <w:rPr>
          <w:rFonts w:ascii="Cambria" w:hAnsi="Cambria"/>
          <w:lang w:val="fr-BE"/>
        </w:rPr>
        <w:t xml:space="preserve">du gestionnaire, aucune </w:t>
      </w:r>
      <w:r w:rsidR="00FF1BC2">
        <w:rPr>
          <w:rFonts w:ascii="Cambria" w:hAnsi="Cambria"/>
          <w:lang w:val="fr-BE"/>
        </w:rPr>
        <w:t>surperformance</w:t>
      </w:r>
      <w:r w:rsidR="00450A8C">
        <w:rPr>
          <w:rFonts w:ascii="Cambria" w:hAnsi="Cambria"/>
          <w:lang w:val="fr-BE"/>
        </w:rPr>
        <w:t xml:space="preserve"> durable n’ayant pu être observée. </w:t>
      </w:r>
      <w:r w:rsidR="00962B31">
        <w:rPr>
          <w:rFonts w:ascii="Cambria" w:hAnsi="Cambria"/>
          <w:lang w:val="fr-BE"/>
        </w:rPr>
        <w:t xml:space="preserve"> </w:t>
      </w:r>
      <w:r w:rsidR="00450A8C">
        <w:rPr>
          <w:rFonts w:ascii="Cambria" w:hAnsi="Cambria"/>
          <w:lang w:val="fr-BE"/>
        </w:rPr>
        <w:t xml:space="preserve"> </w:t>
      </w:r>
    </w:p>
    <w:p w14:paraId="5A7DD331" w14:textId="1833A707" w:rsidR="002D1782" w:rsidRPr="00246002" w:rsidRDefault="00246002">
      <w:pPr>
        <w:spacing w:after="80"/>
        <w:jc w:val="both"/>
        <w:rPr>
          <w:lang w:val="fr-BE"/>
        </w:rPr>
      </w:pPr>
      <w:r w:rsidRPr="00246002">
        <w:rPr>
          <w:rFonts w:ascii="Cambria" w:hAnsi="Cambria"/>
          <w:lang w:val="fr-BE"/>
        </w:rPr>
        <w:t xml:space="preserve">Guillaume </w:t>
      </w:r>
      <w:proofErr w:type="spellStart"/>
      <w:r w:rsidRPr="00246002">
        <w:rPr>
          <w:rFonts w:ascii="Cambria" w:hAnsi="Cambria"/>
          <w:lang w:val="fr-BE"/>
        </w:rPr>
        <w:t>Prache</w:t>
      </w:r>
      <w:proofErr w:type="spellEnd"/>
      <w:r w:rsidRPr="00246002">
        <w:rPr>
          <w:rFonts w:ascii="Cambria" w:hAnsi="Cambria"/>
          <w:lang w:val="fr-BE"/>
        </w:rPr>
        <w:t>, directeur général de BETTER FINANCE</w:t>
      </w:r>
      <w:r w:rsidR="006E0DAD">
        <w:rPr>
          <w:rFonts w:ascii="Cambria" w:hAnsi="Cambria"/>
          <w:lang w:val="fr-BE"/>
        </w:rPr>
        <w:t>,</w:t>
      </w:r>
      <w:r w:rsidRPr="00246002">
        <w:rPr>
          <w:rFonts w:ascii="Cambria" w:hAnsi="Cambria"/>
          <w:lang w:val="fr-BE"/>
        </w:rPr>
        <w:t xml:space="preserve"> souligne que </w:t>
      </w:r>
      <w:r w:rsidR="00450A8C">
        <w:rPr>
          <w:rFonts w:ascii="Cambria" w:hAnsi="Cambria"/>
          <w:lang w:val="fr-BE"/>
        </w:rPr>
        <w:t>« </w:t>
      </w:r>
      <w:r w:rsidRPr="00246002">
        <w:rPr>
          <w:rFonts w:ascii="Cambria" w:hAnsi="Cambria"/>
          <w:lang w:val="fr-BE"/>
        </w:rPr>
        <w:t xml:space="preserve">la </w:t>
      </w:r>
      <w:r w:rsidRPr="00246002">
        <w:rPr>
          <w:rFonts w:ascii="Cambria" w:hAnsi="Cambria"/>
          <w:i/>
          <w:iCs/>
          <w:lang w:val="fr-BE"/>
        </w:rPr>
        <w:t xml:space="preserve">sélection d'un fonds est une décision fondamentale pour </w:t>
      </w:r>
      <w:r w:rsidR="00450A8C">
        <w:rPr>
          <w:rFonts w:ascii="Cambria" w:hAnsi="Cambria"/>
          <w:i/>
          <w:iCs/>
          <w:lang w:val="fr-BE"/>
        </w:rPr>
        <w:t>un investisseur particulier. Mal</w:t>
      </w:r>
      <w:r w:rsidRPr="00246002">
        <w:rPr>
          <w:rFonts w:ascii="Cambria" w:hAnsi="Cambria"/>
          <w:i/>
          <w:iCs/>
          <w:lang w:val="fr-BE"/>
        </w:rPr>
        <w:t>heureusement, n</w:t>
      </w:r>
      <w:r w:rsidR="00450A8C">
        <w:rPr>
          <w:rFonts w:ascii="Cambria" w:hAnsi="Cambria"/>
          <w:i/>
          <w:iCs/>
          <w:lang w:val="fr-BE"/>
        </w:rPr>
        <w:t xml:space="preserve">otre travail de recherche montre </w:t>
      </w:r>
      <w:r w:rsidRPr="00246002">
        <w:rPr>
          <w:rFonts w:ascii="Cambria" w:hAnsi="Cambria"/>
          <w:i/>
          <w:iCs/>
          <w:lang w:val="fr-BE"/>
        </w:rPr>
        <w:t>clairement qu'au cours des dix dernières années</w:t>
      </w:r>
      <w:r w:rsidR="00450A8C">
        <w:rPr>
          <w:rFonts w:ascii="Cambria" w:hAnsi="Cambria"/>
          <w:i/>
          <w:iCs/>
          <w:lang w:val="fr-BE"/>
        </w:rPr>
        <w:t xml:space="preserve"> –</w:t>
      </w:r>
      <w:r w:rsidRPr="00246002">
        <w:rPr>
          <w:rFonts w:ascii="Cambria" w:hAnsi="Cambria"/>
          <w:i/>
          <w:iCs/>
          <w:lang w:val="fr-BE"/>
        </w:rPr>
        <w:t xml:space="preserve"> jusqu'en 2017</w:t>
      </w:r>
      <w:r w:rsidR="00450A8C">
        <w:rPr>
          <w:rFonts w:ascii="Cambria" w:hAnsi="Cambria"/>
          <w:i/>
          <w:iCs/>
          <w:lang w:val="fr-BE"/>
        </w:rPr>
        <w:t>–</w:t>
      </w:r>
      <w:r w:rsidRPr="00246002">
        <w:rPr>
          <w:rFonts w:ascii="Cambria" w:hAnsi="Cambria"/>
          <w:i/>
          <w:iCs/>
          <w:lang w:val="fr-BE"/>
        </w:rPr>
        <w:t xml:space="preserve"> l'investisseur moyen n'avait qu'une chance sur 3,7 de choisir un fonds d'actions</w:t>
      </w:r>
      <w:r w:rsidR="00450A8C">
        <w:rPr>
          <w:rFonts w:ascii="Cambria" w:hAnsi="Cambria"/>
          <w:i/>
          <w:iCs/>
          <w:lang w:val="fr-BE"/>
        </w:rPr>
        <w:t xml:space="preserve"> réussissant à battre son </w:t>
      </w:r>
      <w:r w:rsidRPr="00246002">
        <w:rPr>
          <w:rFonts w:ascii="Cambria" w:hAnsi="Cambria"/>
          <w:i/>
          <w:iCs/>
          <w:lang w:val="fr-BE"/>
        </w:rPr>
        <w:t>indice de référence sur une période de détention de cinq ans. Les fonds indiciels d'actions</w:t>
      </w:r>
      <w:r w:rsidR="00450A8C">
        <w:rPr>
          <w:rFonts w:ascii="Cambria" w:hAnsi="Cambria"/>
          <w:i/>
          <w:iCs/>
          <w:lang w:val="fr-BE"/>
        </w:rPr>
        <w:t xml:space="preserve"> peu coûteux ou </w:t>
      </w:r>
      <w:r w:rsidR="00FF1BC2">
        <w:rPr>
          <w:rFonts w:ascii="Cambria" w:hAnsi="Cambria"/>
          <w:i/>
          <w:iCs/>
          <w:lang w:val="fr-BE"/>
        </w:rPr>
        <w:t xml:space="preserve">les </w:t>
      </w:r>
      <w:r w:rsidR="00FF1BC2" w:rsidRPr="00246002">
        <w:rPr>
          <w:rFonts w:ascii="Cambria" w:hAnsi="Cambria"/>
          <w:i/>
          <w:iCs/>
          <w:lang w:val="fr-BE"/>
        </w:rPr>
        <w:t>portefeuilles</w:t>
      </w:r>
      <w:r w:rsidRPr="00246002">
        <w:rPr>
          <w:rFonts w:ascii="Cambria" w:hAnsi="Cambria"/>
          <w:i/>
          <w:iCs/>
          <w:lang w:val="fr-BE"/>
        </w:rPr>
        <w:t xml:space="preserve"> diversifiés d'actions détenus directement</w:t>
      </w:r>
      <w:r w:rsidR="00450A8C">
        <w:rPr>
          <w:rFonts w:ascii="Cambria" w:hAnsi="Cambria"/>
          <w:i/>
          <w:iCs/>
          <w:lang w:val="fr-BE"/>
        </w:rPr>
        <w:t xml:space="preserve"> </w:t>
      </w:r>
      <w:r w:rsidRPr="00246002">
        <w:rPr>
          <w:rFonts w:ascii="Cambria" w:hAnsi="Cambria"/>
          <w:i/>
          <w:iCs/>
          <w:lang w:val="fr-BE"/>
        </w:rPr>
        <w:t>constituent donc une</w:t>
      </w:r>
      <w:r w:rsidR="00450A8C">
        <w:rPr>
          <w:rFonts w:ascii="Cambria" w:hAnsi="Cambria"/>
          <w:i/>
          <w:iCs/>
          <w:lang w:val="fr-BE"/>
        </w:rPr>
        <w:t xml:space="preserve"> </w:t>
      </w:r>
      <w:r w:rsidRPr="00246002">
        <w:rPr>
          <w:rFonts w:ascii="Cambria" w:hAnsi="Cambria"/>
          <w:i/>
          <w:iCs/>
          <w:lang w:val="fr-BE"/>
        </w:rPr>
        <w:t xml:space="preserve">alternative intéressante </w:t>
      </w:r>
      <w:r w:rsidR="000C47E8">
        <w:rPr>
          <w:rFonts w:ascii="Cambria" w:hAnsi="Cambria"/>
          <w:i/>
          <w:iCs/>
          <w:lang w:val="fr-BE"/>
        </w:rPr>
        <w:t xml:space="preserve">pour les investisseurs particuliers, et devraient donc leur être proposés. </w:t>
      </w:r>
      <w:r w:rsidR="00450A8C">
        <w:rPr>
          <w:rFonts w:ascii="Cambria" w:hAnsi="Cambria"/>
          <w:i/>
          <w:iCs/>
          <w:lang w:val="fr-BE"/>
        </w:rPr>
        <w:t>L</w:t>
      </w:r>
      <w:r w:rsidRPr="00246002">
        <w:rPr>
          <w:rFonts w:ascii="Cambria" w:hAnsi="Cambria"/>
          <w:i/>
          <w:iCs/>
          <w:lang w:val="fr-BE"/>
        </w:rPr>
        <w:t xml:space="preserve">a recherche </w:t>
      </w:r>
      <w:r w:rsidR="006E0DAD">
        <w:rPr>
          <w:rFonts w:ascii="Cambria" w:hAnsi="Cambria"/>
          <w:i/>
          <w:iCs/>
          <w:lang w:val="fr-BE"/>
        </w:rPr>
        <w:t xml:space="preserve">de </w:t>
      </w:r>
      <w:r w:rsidRPr="00246002">
        <w:rPr>
          <w:rFonts w:ascii="Cambria" w:hAnsi="Cambria"/>
          <w:i/>
          <w:iCs/>
          <w:lang w:val="fr-BE"/>
        </w:rPr>
        <w:t xml:space="preserve">BETTER FINANCE </w:t>
      </w:r>
      <w:r w:rsidR="00450A8C">
        <w:rPr>
          <w:rFonts w:ascii="Cambria" w:hAnsi="Cambria"/>
          <w:i/>
          <w:iCs/>
          <w:lang w:val="fr-BE"/>
        </w:rPr>
        <w:t xml:space="preserve">épingle aussi clairement l’impact négatif du niveau des commissions sur l’excédent de rendement. »   </w:t>
      </w:r>
    </w:p>
    <w:p w14:paraId="5A7DD332" w14:textId="77777777" w:rsidR="002D1782" w:rsidRPr="00246002" w:rsidRDefault="002D1782">
      <w:pPr>
        <w:spacing w:after="80"/>
        <w:jc w:val="both"/>
        <w:rPr>
          <w:rFonts w:ascii="Cambria" w:hAnsi="Cambria"/>
          <w:lang w:val="fr-BE"/>
        </w:rPr>
      </w:pPr>
    </w:p>
    <w:p w14:paraId="5A7DD333" w14:textId="77777777" w:rsidR="002D1782" w:rsidRDefault="00246002">
      <w:pPr>
        <w:spacing w:after="80"/>
        <w:jc w:val="center"/>
      </w:pPr>
      <w:r>
        <w:rPr>
          <w:noProof/>
        </w:rPr>
        <w:drawing>
          <wp:inline distT="0" distB="0" distL="0" distR="0" wp14:anchorId="5A7DD2E8" wp14:editId="5A7DD2E9">
            <wp:extent cx="5448296" cy="6278883"/>
            <wp:effectExtent l="0" t="0" r="4" b="7617"/>
            <wp:docPr id="5" name="Picture 2" descr="A screenshot of a cell ph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8296" cy="62788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A7DD334" w14:textId="77777777" w:rsidR="002D1782" w:rsidRDefault="002D1782">
      <w:pPr>
        <w:spacing w:after="120" w:line="240" w:lineRule="auto"/>
        <w:jc w:val="center"/>
        <w:rPr>
          <w:rFonts w:ascii="Cambria" w:hAnsi="Cambria"/>
        </w:rPr>
      </w:pPr>
    </w:p>
    <w:p w14:paraId="5A7DD335" w14:textId="77777777" w:rsidR="002D1782" w:rsidRPr="00246002" w:rsidRDefault="00246002">
      <w:pPr>
        <w:spacing w:after="120" w:line="240" w:lineRule="auto"/>
        <w:jc w:val="center"/>
        <w:rPr>
          <w:rFonts w:ascii="Cambria" w:hAnsi="Cambria"/>
          <w:lang w:val="fr-BE"/>
        </w:rPr>
      </w:pPr>
      <w:r w:rsidRPr="00246002">
        <w:rPr>
          <w:rFonts w:ascii="Cambria" w:hAnsi="Cambria"/>
          <w:lang w:val="fr-BE"/>
        </w:rPr>
        <w:t>***</w:t>
      </w:r>
    </w:p>
    <w:p w14:paraId="5A7DD336" w14:textId="77777777" w:rsidR="002D1782" w:rsidRPr="00246002" w:rsidRDefault="00246002">
      <w:pPr>
        <w:pStyle w:val="BodyText"/>
        <w:spacing w:after="0" w:line="30" w:lineRule="atLeast"/>
        <w:jc w:val="center"/>
        <w:rPr>
          <w:lang w:val="fr-BE"/>
        </w:rPr>
      </w:pPr>
      <w:r w:rsidRPr="00246002">
        <w:rPr>
          <w:rFonts w:ascii="Cambria" w:hAnsi="Cambria" w:cs="Calibri"/>
          <w:sz w:val="18"/>
          <w:szCs w:val="18"/>
          <w:u w:val="single"/>
          <w:lang w:val="fr-BE"/>
        </w:rPr>
        <w:t xml:space="preserve">Contact </w:t>
      </w:r>
      <w:r w:rsidRPr="00246002">
        <w:rPr>
          <w:rFonts w:ascii="Cambria" w:hAnsi="Cambria" w:cs="Calibri"/>
          <w:sz w:val="18"/>
          <w:szCs w:val="18"/>
          <w:lang w:val="fr-BE"/>
        </w:rPr>
        <w:t xml:space="preserve">: Directeur de la communication ǀ Arnaud </w:t>
      </w:r>
      <w:proofErr w:type="spellStart"/>
      <w:r w:rsidRPr="00246002">
        <w:rPr>
          <w:rFonts w:ascii="Cambria" w:hAnsi="Cambria" w:cs="Calibri"/>
          <w:sz w:val="18"/>
          <w:szCs w:val="18"/>
          <w:lang w:val="fr-BE"/>
        </w:rPr>
        <w:t>Houdmont</w:t>
      </w:r>
      <w:proofErr w:type="spellEnd"/>
      <w:r w:rsidRPr="00246002">
        <w:rPr>
          <w:rFonts w:ascii="Cambria" w:hAnsi="Cambria" w:cs="Calibri"/>
          <w:sz w:val="18"/>
          <w:szCs w:val="18"/>
          <w:lang w:val="fr-BE"/>
        </w:rPr>
        <w:t xml:space="preserve"> ǀ +32 (0)2 514 37 77 ǀ </w:t>
      </w:r>
      <w:hyperlink r:id="rId10" w:history="1">
        <w:r w:rsidRPr="00246002">
          <w:rPr>
            <w:rStyle w:val="Hyperlink"/>
            <w:rFonts w:ascii="Cambria" w:hAnsi="Cambria" w:cs="Calibri"/>
            <w:sz w:val="18"/>
            <w:szCs w:val="18"/>
            <w:lang w:val="fr-BE"/>
          </w:rPr>
          <w:t>houdmont@betterfinance.eu</w:t>
        </w:r>
      </w:hyperlink>
    </w:p>
    <w:p w14:paraId="5A7DD337" w14:textId="5C1514CB" w:rsidR="002D1782" w:rsidRPr="00246002" w:rsidRDefault="00246002">
      <w:pPr>
        <w:spacing w:before="120" w:after="120" w:line="30" w:lineRule="atLeast"/>
        <w:jc w:val="center"/>
        <w:rPr>
          <w:lang w:val="fr-BE"/>
        </w:rPr>
      </w:pPr>
      <w:r w:rsidRPr="00246002">
        <w:rPr>
          <w:rFonts w:ascii="Cambria" w:hAnsi="Cambria"/>
          <w:b/>
          <w:spacing w:val="10"/>
          <w:sz w:val="18"/>
          <w:szCs w:val="18"/>
          <w:lang w:val="fr-BE"/>
        </w:rPr>
        <w:t>Si vous souhaitez</w:t>
      </w:r>
      <w:r w:rsidR="00FF1BC2">
        <w:rPr>
          <w:rFonts w:ascii="Cambria" w:hAnsi="Cambria"/>
          <w:b/>
          <w:spacing w:val="10"/>
          <w:sz w:val="18"/>
          <w:szCs w:val="18"/>
          <w:lang w:val="fr-BE"/>
        </w:rPr>
        <w:t xml:space="preserve"> vous désabonner de </w:t>
      </w:r>
      <w:r w:rsidRPr="00246002">
        <w:rPr>
          <w:rFonts w:ascii="Cambria" w:hAnsi="Cambria"/>
          <w:b/>
          <w:spacing w:val="10"/>
          <w:sz w:val="18"/>
          <w:szCs w:val="18"/>
          <w:lang w:val="fr-BE"/>
        </w:rPr>
        <w:t xml:space="preserve">notre liste de diffusion, veuillez envoyer un courriel à info@betterfinance.eu. </w:t>
      </w:r>
    </w:p>
    <w:sectPr w:rsidR="002D1782" w:rsidRPr="0024600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DD2EE" w14:textId="77777777" w:rsidR="00D75F3D" w:rsidRDefault="00246002">
      <w:pPr>
        <w:spacing w:after="0" w:line="240" w:lineRule="auto"/>
      </w:pPr>
      <w:r>
        <w:separator/>
      </w:r>
    </w:p>
  </w:endnote>
  <w:endnote w:type="continuationSeparator" w:id="0">
    <w:p w14:paraId="5A7DD2F0" w14:textId="77777777" w:rsidR="00D75F3D" w:rsidRDefault="0024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DD2F6" w14:textId="77777777" w:rsidR="00C956E4" w:rsidRDefault="006E0DAD">
    <w:pPr>
      <w:spacing w:after="0" w:line="240" w:lineRule="auto"/>
      <w:ind w:left="-567"/>
      <w:jc w:val="center"/>
      <w:rPr>
        <w:b/>
        <w:color w:val="006FB4"/>
        <w:sz w:val="16"/>
        <w:szCs w:val="16"/>
        <w:lang w:val="en-US"/>
      </w:rPr>
    </w:pPr>
  </w:p>
  <w:p w14:paraId="5A7DD2F7" w14:textId="24D1F02E" w:rsidR="00C956E4" w:rsidRPr="00246002" w:rsidRDefault="00FF1BC2">
    <w:pPr>
      <w:spacing w:after="0" w:line="240" w:lineRule="auto"/>
      <w:ind w:left="-567"/>
      <w:jc w:val="center"/>
      <w:rPr>
        <w:b/>
        <w:color w:val="006FB4"/>
        <w:sz w:val="16"/>
        <w:szCs w:val="16"/>
        <w:lang w:val="fr-BE"/>
      </w:rPr>
    </w:pPr>
    <w:r>
      <w:rPr>
        <w:b/>
        <w:color w:val="006FB4"/>
        <w:sz w:val="16"/>
        <w:szCs w:val="16"/>
        <w:lang w:val="fr-BE"/>
      </w:rPr>
      <w:t>F</w:t>
    </w:r>
    <w:r w:rsidR="00246002" w:rsidRPr="00246002">
      <w:rPr>
        <w:b/>
        <w:color w:val="006FB4"/>
        <w:sz w:val="16"/>
        <w:szCs w:val="16"/>
        <w:lang w:val="fr-BE"/>
      </w:rPr>
      <w:t xml:space="preserve">édération </w:t>
    </w:r>
    <w:r>
      <w:rPr>
        <w:b/>
        <w:color w:val="006FB4"/>
        <w:sz w:val="16"/>
        <w:szCs w:val="16"/>
        <w:lang w:val="fr-BE"/>
      </w:rPr>
      <w:t>E</w:t>
    </w:r>
    <w:r w:rsidR="00246002" w:rsidRPr="00246002">
      <w:rPr>
        <w:b/>
        <w:color w:val="006FB4"/>
        <w:sz w:val="16"/>
        <w:szCs w:val="16"/>
        <w:lang w:val="fr-BE"/>
      </w:rPr>
      <w:t>uropéenne des</w:t>
    </w:r>
    <w:r>
      <w:rPr>
        <w:b/>
        <w:color w:val="006FB4"/>
        <w:sz w:val="16"/>
        <w:szCs w:val="16"/>
        <w:lang w:val="fr-BE"/>
      </w:rPr>
      <w:t xml:space="preserve"> </w:t>
    </w:r>
    <w:r>
      <w:rPr>
        <w:rFonts w:cs="Calibri"/>
        <w:b/>
        <w:color w:val="006FB4"/>
        <w:sz w:val="16"/>
        <w:szCs w:val="16"/>
        <w:lang w:val="fr-BE"/>
      </w:rPr>
      <w:t>É</w:t>
    </w:r>
    <w:r>
      <w:rPr>
        <w:b/>
        <w:color w:val="006FB4"/>
        <w:sz w:val="16"/>
        <w:szCs w:val="16"/>
        <w:lang w:val="fr-BE"/>
      </w:rPr>
      <w:t>pargnants et Usagers de</w:t>
    </w:r>
    <w:r w:rsidR="006E0DAD">
      <w:rPr>
        <w:b/>
        <w:color w:val="006FB4"/>
        <w:sz w:val="16"/>
        <w:szCs w:val="16"/>
        <w:lang w:val="fr-BE"/>
      </w:rPr>
      <w:t>s</w:t>
    </w:r>
    <w:r>
      <w:rPr>
        <w:b/>
        <w:color w:val="006FB4"/>
        <w:sz w:val="16"/>
        <w:szCs w:val="16"/>
        <w:lang w:val="fr-BE"/>
      </w:rPr>
      <w:t xml:space="preserve"> Services Financiers </w:t>
    </w:r>
  </w:p>
  <w:p w14:paraId="5A7DD2F8" w14:textId="77777777" w:rsidR="00C956E4" w:rsidRDefault="00246002">
    <w:pPr>
      <w:spacing w:after="0" w:line="240" w:lineRule="auto"/>
      <w:ind w:left="-567"/>
      <w:jc w:val="center"/>
      <w:rPr>
        <w:color w:val="006FB4"/>
        <w:sz w:val="16"/>
        <w:szCs w:val="16"/>
        <w:lang w:val="de-DE"/>
      </w:rPr>
    </w:pPr>
    <w:r>
      <w:rPr>
        <w:color w:val="006FB4"/>
        <w:sz w:val="16"/>
        <w:szCs w:val="16"/>
        <w:lang w:val="de-DE"/>
      </w:rPr>
      <w:t>44, Rue d'Arenberg, 1000 Bruxelles - Belgique</w:t>
    </w:r>
  </w:p>
  <w:p w14:paraId="5A7DD2F9" w14:textId="77777777" w:rsidR="00C956E4" w:rsidRDefault="00246002">
    <w:pPr>
      <w:spacing w:after="0" w:line="240" w:lineRule="auto"/>
      <w:ind w:left="-567"/>
      <w:jc w:val="center"/>
    </w:pPr>
    <w:r>
      <w:rPr>
        <w:color w:val="006FB4"/>
        <w:sz w:val="16"/>
        <w:szCs w:val="16"/>
        <w:lang w:val="de-DE"/>
      </w:rPr>
      <w:t xml:space="preserve">Tél. (+32) 02 514 37 77 - Fax. </w:t>
    </w:r>
    <w:r>
      <w:rPr>
        <w:color w:val="006FB4"/>
        <w:sz w:val="16"/>
        <w:szCs w:val="16"/>
        <w:lang w:val="pt-PT"/>
      </w:rPr>
      <w:t>(+32) 02 514 36 66</w:t>
    </w:r>
  </w:p>
  <w:p w14:paraId="5A7DD2FA" w14:textId="77777777" w:rsidR="00C956E4" w:rsidRDefault="00246002">
    <w:pPr>
      <w:spacing w:after="0" w:line="240" w:lineRule="auto"/>
      <w:ind w:left="-567"/>
      <w:jc w:val="center"/>
    </w:pPr>
    <w:r>
      <w:rPr>
        <w:color w:val="006FB4"/>
        <w:sz w:val="16"/>
        <w:szCs w:val="16"/>
        <w:lang w:val="pt-PT"/>
      </w:rPr>
      <w:t xml:space="preserve">E-mail : info@betterfinance.eu - </w:t>
    </w:r>
    <w:bookmarkStart w:id="3" w:name="_Hlk944867"/>
    <w:r>
      <w:fldChar w:fldCharType="begin"/>
    </w:r>
    <w:r>
      <w:instrText xml:space="preserve"> HYPERLINK  "http://www.eurofinuse.org" </w:instrText>
    </w:r>
    <w:r>
      <w:fldChar w:fldCharType="separate"/>
    </w:r>
    <w:r>
      <w:rPr>
        <w:color w:val="006FB4"/>
        <w:sz w:val="16"/>
        <w:szCs w:val="16"/>
        <w:u w:val="single"/>
        <w:lang w:val="it-IT"/>
      </w:rPr>
      <w:t xml:space="preserve">http://www.betterfinance.eu </w:t>
    </w:r>
    <w:r>
      <w:rPr>
        <w:color w:val="006FB4"/>
        <w:sz w:val="16"/>
        <w:szCs w:val="16"/>
        <w:u w:val="single"/>
        <w:lang w:val="it-IT"/>
      </w:rPr>
      <w:fldChar w:fldCharType="end"/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DD2EA" w14:textId="77777777" w:rsidR="00D75F3D" w:rsidRDefault="0024600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A7DD2EC" w14:textId="77777777" w:rsidR="00D75F3D" w:rsidRDefault="00246002">
      <w:pPr>
        <w:spacing w:after="0" w:line="240" w:lineRule="auto"/>
      </w:pPr>
      <w:r>
        <w:continuationSeparator/>
      </w:r>
    </w:p>
  </w:footnote>
  <w:footnote w:id="1">
    <w:p w14:paraId="5A7DD2EC" w14:textId="4C585E4D" w:rsidR="002D1782" w:rsidRPr="00246002" w:rsidRDefault="00246002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 w:rsidRPr="00246002">
        <w:rPr>
          <w:rFonts w:ascii="Cambria" w:hAnsi="Cambria"/>
          <w:sz w:val="16"/>
          <w:szCs w:val="16"/>
          <w:lang w:val="fr-BE"/>
        </w:rPr>
        <w:t xml:space="preserve"> Nous avons utilisé des périodes </w:t>
      </w:r>
      <w:r w:rsidR="000C47E8">
        <w:rPr>
          <w:rFonts w:ascii="Cambria" w:hAnsi="Cambria"/>
          <w:sz w:val="16"/>
          <w:szCs w:val="16"/>
          <w:lang w:val="fr-BE"/>
        </w:rPr>
        <w:t xml:space="preserve">glissantes </w:t>
      </w:r>
      <w:r w:rsidRPr="00246002">
        <w:rPr>
          <w:rFonts w:ascii="Cambria" w:hAnsi="Cambria"/>
          <w:sz w:val="16"/>
          <w:szCs w:val="16"/>
          <w:lang w:val="fr-BE"/>
        </w:rPr>
        <w:t>de 5 ans commençant au premier trimestre 2008 et se terminant au quatrième trimestre 2017 afin d'éliminer le biais de synchronisation du marché.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DD2F2" w14:textId="77777777" w:rsidR="00C956E4" w:rsidRDefault="0024600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A7DD2EA" wp14:editId="2E5967B6">
          <wp:simplePos x="0" y="0"/>
          <wp:positionH relativeFrom="margin">
            <wp:posOffset>2635847</wp:posOffset>
          </wp:positionH>
          <wp:positionV relativeFrom="paragraph">
            <wp:posOffset>-287842</wp:posOffset>
          </wp:positionV>
          <wp:extent cx="3138165" cy="645164"/>
          <wp:effectExtent l="0" t="0" r="5085" b="2536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8165" cy="64516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A7DD2F3" w14:textId="77777777" w:rsidR="00C956E4" w:rsidRDefault="006E0DAD">
    <w:pPr>
      <w:pStyle w:val="Header"/>
    </w:pPr>
  </w:p>
  <w:p w14:paraId="5A7DD2F4" w14:textId="77777777" w:rsidR="00C956E4" w:rsidRDefault="006E0DAD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782"/>
    <w:rsid w:val="000C47E8"/>
    <w:rsid w:val="00215A5B"/>
    <w:rsid w:val="00246002"/>
    <w:rsid w:val="002B6946"/>
    <w:rsid w:val="002D1782"/>
    <w:rsid w:val="00450A8C"/>
    <w:rsid w:val="00612DA3"/>
    <w:rsid w:val="006E0DAD"/>
    <w:rsid w:val="00962B31"/>
    <w:rsid w:val="00CB54A4"/>
    <w:rsid w:val="00D75F3D"/>
    <w:rsid w:val="00FF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7DD2E1"/>
  <w15:docId w15:val="{C592C78B-2315-44FE-97E1-21139475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rFonts w:ascii="Cambria" w:eastAsia="SimSun" w:hAnsi="Cambria" w:cs="Times New Roman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odyText">
    <w:name w:val="Body Text"/>
    <w:basedOn w:val="Normal"/>
    <w:pPr>
      <w:spacing w:line="240" w:lineRule="exact"/>
    </w:pPr>
    <w:rPr>
      <w:rFonts w:ascii="Tahoma" w:eastAsia="Times New Roman" w:hAnsi="Tahoma" w:cs="Times New Roman"/>
      <w:spacing w:val="10"/>
      <w:sz w:val="17"/>
      <w:szCs w:val="20"/>
      <w:lang w:val="en-US"/>
    </w:rPr>
  </w:style>
  <w:style w:type="character" w:customStyle="1" w:styleId="BodyTextChar">
    <w:name w:val="Body Text Char"/>
    <w:basedOn w:val="DefaultParagraphFont"/>
    <w:rPr>
      <w:rFonts w:ascii="Tahoma" w:eastAsia="Times New Roman" w:hAnsi="Tahoma" w:cs="Times New Roman"/>
      <w:spacing w:val="10"/>
      <w:sz w:val="17"/>
      <w:szCs w:val="20"/>
      <w:lang w:val="en-US"/>
    </w:rPr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rFonts w:ascii="Cambria" w:eastAsia="SimSun" w:hAnsi="Cambria" w:cs="Times New Roman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mbria" w:eastAsia="SimSun" w:hAnsi="Cambria" w:cs="Times New Roman"/>
      <w:spacing w:val="-10"/>
      <w:kern w:val="3"/>
      <w:sz w:val="56"/>
      <w:szCs w:val="56"/>
    </w:rPr>
  </w:style>
  <w:style w:type="paragraph" w:styleId="BalloonText">
    <w:name w:val="Balloon Text"/>
    <w:basedOn w:val="Normal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FootnoteText">
    <w:name w:val="foot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rPr>
      <w:sz w:val="20"/>
      <w:szCs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styleId="Strong">
    <w:name w:val="Strong"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2Char">
    <w:name w:val="Heading 2 Char"/>
    <w:basedOn w:val="DefaultParagraphFont"/>
    <w:rPr>
      <w:rFonts w:ascii="Cambria" w:eastAsia="SimSun" w:hAnsi="Cambria" w:cs="Times New Roman"/>
      <w:color w:val="365F9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houdmont@betterfinance.e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08A9776426D41840A8C2CCB15B3F3" ma:contentTypeVersion="12" ma:contentTypeDescription="Create a new document." ma:contentTypeScope="" ma:versionID="fad30e866c7e5bd87e01b4be7e13f445">
  <xsd:schema xmlns:xsd="http://www.w3.org/2001/XMLSchema" xmlns:xs="http://www.w3.org/2001/XMLSchema" xmlns:p="http://schemas.microsoft.com/office/2006/metadata/properties" xmlns:ns2="fd160c09-1844-45b0-b4f1-cf53e6c3c76a" xmlns:ns3="8e72f4a7-cae9-4e97-b541-2580a12d1989" targetNamespace="http://schemas.microsoft.com/office/2006/metadata/properties" ma:root="true" ma:fieldsID="3d251b770648fbf44b28e39a1ec2cbaa" ns2:_="" ns3:_="">
    <xsd:import namespace="fd160c09-1844-45b0-b4f1-cf53e6c3c76a"/>
    <xsd:import namespace="8e72f4a7-cae9-4e97-b541-2580a12d1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60c09-1844-45b0-b4f1-cf53e6c3c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2f4a7-cae9-4e97-b541-2580a12d1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6A9B00-526A-444E-95D0-AF36B0A515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738A93-3B34-4450-BA4B-7B44CFD3A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60c09-1844-45b0-b4f1-cf53e6c3c76a"/>
    <ds:schemaRef ds:uri="8e72f4a7-cae9-4e97-b541-2580a12d1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9F3AD1-5462-4105-8185-0700865931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616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Houdmont</dc:creator>
  <dc:description/>
  <cp:lastModifiedBy>ISO Translation</cp:lastModifiedBy>
  <cp:revision>5</cp:revision>
  <cp:lastPrinted>2019-03-22T09:41:00Z</cp:lastPrinted>
  <dcterms:created xsi:type="dcterms:W3CDTF">2020-12-03T11:06:00Z</dcterms:created>
  <dcterms:modified xsi:type="dcterms:W3CDTF">2020-12-14T15:05:00Z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0x010100B5308A9776426D41840A8C2CCB15B3F3</vt:lpwstr>
  </property>
</Properties>
</file>