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2AB06" w14:textId="45E0BE86" w:rsidR="0010059C" w:rsidRDefault="0010059C"/>
    <w:p w14:paraId="69A7C4A4" w14:textId="77777777" w:rsidR="0010059C" w:rsidRPr="00CE3413" w:rsidRDefault="00B12652">
      <w:pPr>
        <w:pStyle w:val="BodyText"/>
        <w:spacing w:after="120" w:line="312" w:lineRule="auto"/>
        <w:jc w:val="both"/>
        <w:rPr>
          <w:lang w:val="fr-BE"/>
        </w:rPr>
      </w:pPr>
      <w:bookmarkStart w:id="0" w:name="_Hlk4143464"/>
      <w:r w:rsidRPr="00CE3413">
        <w:rPr>
          <w:rStyle w:val="Strong"/>
          <w:sz w:val="18"/>
          <w:lang w:val="fr-BE"/>
        </w:rPr>
        <w:t xml:space="preserve">COMMUNIQUÉ DE PRESSE </w:t>
      </w:r>
    </w:p>
    <w:p w14:paraId="642FC202" w14:textId="00926C13" w:rsidR="0010059C" w:rsidRPr="00CE3413" w:rsidRDefault="00B12652">
      <w:pPr>
        <w:pStyle w:val="Heading2"/>
        <w:spacing w:after="80"/>
        <w:jc w:val="both"/>
        <w:rPr>
          <w:lang w:val="fr-BE"/>
        </w:rPr>
      </w:pPr>
      <w:r w:rsidRPr="00CE3413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BETTER FINANCE </w:t>
      </w:r>
      <w:r w:rsidR="005155A7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appelle à mettre </w:t>
      </w:r>
      <w:r w:rsidRPr="00CE3413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l'actionnariat salarié au </w:t>
      </w:r>
      <w:r w:rsidR="005155A7" w:rsidRPr="00CE3413">
        <w:rPr>
          <w:rFonts w:eastAsia="Calibri" w:cs="Arial"/>
          <w:b/>
          <w:spacing w:val="20"/>
          <w:kern w:val="3"/>
          <w:sz w:val="30"/>
          <w:szCs w:val="30"/>
          <w:lang w:val="fr-BE"/>
        </w:rPr>
        <w:t>cœur</w:t>
      </w:r>
      <w:r w:rsidRPr="00CE3413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 des efforts pour faire face à la crise financière provoquée par </w:t>
      </w:r>
      <w:r w:rsidR="005155A7">
        <w:rPr>
          <w:rFonts w:eastAsia="Calibri" w:cs="Arial"/>
          <w:b/>
          <w:spacing w:val="20"/>
          <w:kern w:val="3"/>
          <w:sz w:val="30"/>
          <w:szCs w:val="30"/>
          <w:lang w:val="fr-BE"/>
        </w:rPr>
        <w:t xml:space="preserve">le coronavirus </w:t>
      </w:r>
    </w:p>
    <w:p w14:paraId="1732BF4A" w14:textId="3B326AD1" w:rsidR="0010059C" w:rsidRPr="00CE3413" w:rsidRDefault="00B12652">
      <w:pPr>
        <w:spacing w:after="120"/>
        <w:jc w:val="both"/>
        <w:rPr>
          <w:lang w:val="fr-BE"/>
        </w:rPr>
      </w:pPr>
      <w:r w:rsidRPr="00CE3413">
        <w:rPr>
          <w:rFonts w:ascii="Calibri Light" w:eastAsia="Times New Roman" w:hAnsi="Calibri Light" w:cs="Calibri Light"/>
          <w:b/>
          <w:bCs/>
          <w:lang w:val="fr-BE"/>
        </w:rPr>
        <w:t>Bruxelles, 22 mai 2020</w:t>
      </w:r>
      <w:bookmarkEnd w:id="0"/>
      <w:r w:rsidRPr="00CE3413">
        <w:rPr>
          <w:rFonts w:ascii="Calibri Light" w:eastAsia="Times New Roman" w:hAnsi="Calibri Light" w:cs="Calibri Light"/>
          <w:b/>
          <w:bCs/>
          <w:lang w:val="fr-BE"/>
        </w:rPr>
        <w:t xml:space="preserve"> </w:t>
      </w:r>
      <w:r w:rsidRPr="00CE3413">
        <w:rPr>
          <w:rFonts w:ascii="Calibri Light" w:eastAsia="Times New Roman" w:hAnsi="Calibri Light" w:cs="Calibri Light"/>
          <w:lang w:val="fr-BE"/>
        </w:rPr>
        <w:t xml:space="preserve">- Alors que la crise actuelle appelle à un resserrement du lien entre les salariés et leur entreprise, notamment dans le cas des PME, la Fédération Européenne de l'Actionnariat Salarié (FEAS), organisation membre de BETTER FINANCE, a lancé une </w:t>
      </w:r>
      <w:hyperlink r:id="rId9" w:history="1">
        <w:r w:rsidR="005155A7">
          <w:rPr>
            <w:rStyle w:val="Hyperlink"/>
            <w:rFonts w:ascii="Calibri Light" w:eastAsia="Times New Roman" w:hAnsi="Calibri Light" w:cs="Calibri Light"/>
            <w:lang w:val="fr-BE"/>
          </w:rPr>
          <w:t>proposition concrète</w:t>
        </w:r>
      </w:hyperlink>
      <w:r w:rsidR="005155A7">
        <w:rPr>
          <w:rFonts w:ascii="Calibri Light" w:eastAsia="Times New Roman" w:hAnsi="Calibri Light" w:cs="Calibri Light"/>
          <w:lang w:val="fr-BE"/>
        </w:rPr>
        <w:t xml:space="preserve"> </w:t>
      </w:r>
      <w:r w:rsidR="00F425E5">
        <w:rPr>
          <w:rFonts w:ascii="Calibri Light" w:eastAsia="Times New Roman" w:hAnsi="Calibri Light" w:cs="Calibri Light"/>
          <w:lang w:val="fr-BE"/>
        </w:rPr>
        <w:t xml:space="preserve">expliquant comment </w:t>
      </w:r>
      <w:r w:rsidR="005155A7">
        <w:rPr>
          <w:rFonts w:ascii="Calibri Light" w:eastAsia="Times New Roman" w:hAnsi="Calibri Light" w:cs="Calibri Light"/>
          <w:lang w:val="fr-BE"/>
        </w:rPr>
        <w:t>faire de l’actionnariat salarié un levier</w:t>
      </w:r>
      <w:r w:rsidR="00C7540D">
        <w:rPr>
          <w:rFonts w:ascii="Calibri Light" w:eastAsia="Times New Roman" w:hAnsi="Calibri Light" w:cs="Calibri Light"/>
          <w:lang w:val="fr-BE"/>
        </w:rPr>
        <w:t xml:space="preserve"> pour financer les </w:t>
      </w:r>
      <w:r w:rsidRPr="00CE3413">
        <w:rPr>
          <w:rFonts w:ascii="Calibri Light" w:eastAsia="Times New Roman" w:hAnsi="Calibri Light" w:cs="Calibri Light"/>
          <w:lang w:val="fr-BE"/>
        </w:rPr>
        <w:t xml:space="preserve">entreprises menacées de faillite par la pandémie </w:t>
      </w:r>
      <w:r w:rsidR="00C7540D">
        <w:rPr>
          <w:rFonts w:ascii="Calibri Light" w:eastAsia="Times New Roman" w:hAnsi="Calibri Light" w:cs="Calibri Light"/>
          <w:lang w:val="fr-BE"/>
        </w:rPr>
        <w:t xml:space="preserve">et </w:t>
      </w:r>
      <w:r w:rsidR="00F425E5">
        <w:rPr>
          <w:rFonts w:ascii="Calibri Light" w:eastAsia="Times New Roman" w:hAnsi="Calibri Light" w:cs="Calibri Light"/>
          <w:lang w:val="fr-BE"/>
        </w:rPr>
        <w:t xml:space="preserve">soutenir les </w:t>
      </w:r>
      <w:r w:rsidR="00C7540D">
        <w:rPr>
          <w:rFonts w:ascii="Calibri Light" w:eastAsia="Times New Roman" w:hAnsi="Calibri Light" w:cs="Calibri Light"/>
          <w:lang w:val="fr-BE"/>
        </w:rPr>
        <w:t>gouvernements</w:t>
      </w:r>
      <w:r w:rsidR="00F425E5">
        <w:rPr>
          <w:rFonts w:ascii="Calibri Light" w:eastAsia="Times New Roman" w:hAnsi="Calibri Light" w:cs="Calibri Light"/>
          <w:lang w:val="fr-BE"/>
        </w:rPr>
        <w:t xml:space="preserve"> dans leur lutte contre l’impact de la crise.</w:t>
      </w:r>
      <w:r w:rsidR="00B30781">
        <w:rPr>
          <w:rFonts w:ascii="Calibri Light" w:eastAsia="Times New Roman" w:hAnsi="Calibri Light" w:cs="Calibri Light"/>
          <w:lang w:val="fr-BE"/>
        </w:rPr>
        <w:t xml:space="preserve"> </w:t>
      </w:r>
    </w:p>
    <w:p w14:paraId="6028B5DC" w14:textId="4980D71E" w:rsidR="00564CC2" w:rsidRPr="00CE3413" w:rsidRDefault="00C7540D" w:rsidP="00564CC2">
      <w:pPr>
        <w:spacing w:after="120"/>
        <w:jc w:val="both"/>
        <w:rPr>
          <w:rFonts w:ascii="Calibri Light" w:eastAsia="Times New Roman" w:hAnsi="Calibri Light" w:cs="Calibri Light"/>
          <w:lang w:val="fr-BE"/>
        </w:rPr>
      </w:pPr>
      <w:r>
        <w:rPr>
          <w:rFonts w:ascii="Calibri Light" w:eastAsia="Times New Roman" w:hAnsi="Calibri Light" w:cs="Calibri Light"/>
          <w:lang w:val="fr-BE"/>
        </w:rPr>
        <w:t>Aux quatre coins de l’Union européenne, des aides publiques sans précédent mais nécessaires, sont mises en place</w:t>
      </w:r>
      <w:r w:rsidR="00CD1B96">
        <w:rPr>
          <w:rFonts w:ascii="Calibri Light" w:eastAsia="Times New Roman" w:hAnsi="Calibri Light" w:cs="Calibri Light"/>
          <w:lang w:val="fr-BE"/>
        </w:rPr>
        <w:t>,</w:t>
      </w:r>
      <w:r>
        <w:rPr>
          <w:rFonts w:ascii="Calibri Light" w:eastAsia="Times New Roman" w:hAnsi="Calibri Light" w:cs="Calibri Light"/>
          <w:lang w:val="fr-BE"/>
        </w:rPr>
        <w:t xml:space="preserve"> </w:t>
      </w:r>
      <w:r w:rsidR="00CD1B96">
        <w:rPr>
          <w:rFonts w:ascii="Calibri Light" w:eastAsia="Times New Roman" w:hAnsi="Calibri Light" w:cs="Calibri Light"/>
          <w:lang w:val="fr-BE"/>
        </w:rPr>
        <w:t>malgré leur coût énorme pour le contribuable</w:t>
      </w:r>
      <w:r w:rsidR="00CD1B96">
        <w:rPr>
          <w:rFonts w:ascii="Calibri Light" w:eastAsia="Times New Roman" w:hAnsi="Calibri Light" w:cs="Calibri Light"/>
          <w:lang w:val="fr-BE"/>
        </w:rPr>
        <w:t xml:space="preserve">, </w:t>
      </w:r>
      <w:r>
        <w:rPr>
          <w:rFonts w:ascii="Calibri Light" w:eastAsia="Times New Roman" w:hAnsi="Calibri Light" w:cs="Calibri Light"/>
          <w:lang w:val="fr-BE"/>
        </w:rPr>
        <w:t>pour aider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 les entreprises à </w:t>
      </w:r>
      <w:r>
        <w:rPr>
          <w:rFonts w:ascii="Calibri Light" w:eastAsia="Times New Roman" w:hAnsi="Calibri Light" w:cs="Calibri Light"/>
          <w:lang w:val="fr-BE"/>
        </w:rPr>
        <w:t xml:space="preserve">surmonter </w:t>
      </w:r>
      <w:r w:rsidR="009E23CE">
        <w:rPr>
          <w:rFonts w:ascii="Calibri Light" w:eastAsia="Times New Roman" w:hAnsi="Calibri Light" w:cs="Calibri Light"/>
          <w:lang w:val="fr-BE"/>
        </w:rPr>
        <w:t xml:space="preserve">leurs </w:t>
      </w:r>
      <w:r w:rsidR="009E23CE" w:rsidRPr="00CE3413">
        <w:rPr>
          <w:rFonts w:ascii="Calibri Light" w:eastAsia="Times New Roman" w:hAnsi="Calibri Light" w:cs="Calibri Light"/>
          <w:lang w:val="fr-BE"/>
        </w:rPr>
        <w:t>problèmes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 de trésorerie et éviter la faillite. </w:t>
      </w:r>
      <w:r w:rsidR="00F425E5">
        <w:rPr>
          <w:rFonts w:ascii="Calibri Light" w:eastAsia="Times New Roman" w:hAnsi="Calibri Light" w:cs="Calibri Light"/>
          <w:lang w:val="fr-BE"/>
        </w:rPr>
        <w:t xml:space="preserve">Et si ces </w:t>
      </w:r>
      <w:r w:rsidR="00564CC2">
        <w:rPr>
          <w:rFonts w:ascii="Calibri Light" w:eastAsia="Times New Roman" w:hAnsi="Calibri Light" w:cs="Calibri Light"/>
          <w:lang w:val="fr-BE"/>
        </w:rPr>
        <w:t xml:space="preserve">sommes </w:t>
      </w:r>
      <w:r w:rsidR="00F425E5">
        <w:rPr>
          <w:rFonts w:ascii="Calibri Light" w:eastAsia="Times New Roman" w:hAnsi="Calibri Light" w:cs="Calibri Light"/>
          <w:lang w:val="fr-BE"/>
        </w:rPr>
        <w:t xml:space="preserve">astronomiques étaient </w:t>
      </w:r>
      <w:r w:rsidR="00564CC2">
        <w:rPr>
          <w:rFonts w:ascii="Calibri Light" w:eastAsia="Times New Roman" w:hAnsi="Calibri Light" w:cs="Calibri Light"/>
          <w:lang w:val="fr-BE"/>
        </w:rPr>
        <w:t>utilisées plus efficacement</w:t>
      </w:r>
      <w:r w:rsidR="00F425E5">
        <w:rPr>
          <w:rFonts w:ascii="Calibri Light" w:eastAsia="Times New Roman" w:hAnsi="Calibri Light" w:cs="Calibri Light"/>
          <w:lang w:val="fr-BE"/>
        </w:rPr>
        <w:t>, pour aider</w:t>
      </w:r>
      <w:r w:rsidR="00564CC2">
        <w:rPr>
          <w:rFonts w:ascii="Calibri Light" w:eastAsia="Times New Roman" w:hAnsi="Calibri Light" w:cs="Calibri Light"/>
          <w:lang w:val="fr-BE"/>
        </w:rPr>
        <w:t xml:space="preserve"> </w:t>
      </w:r>
      <w:r w:rsidR="00CD1B96">
        <w:rPr>
          <w:rFonts w:ascii="Calibri Light" w:eastAsia="Times New Roman" w:hAnsi="Calibri Light" w:cs="Calibri Light"/>
          <w:lang w:val="fr-BE"/>
        </w:rPr>
        <w:t xml:space="preserve">plutôt </w:t>
      </w:r>
      <w:r w:rsidR="00564CC2">
        <w:rPr>
          <w:rFonts w:ascii="Calibri Light" w:eastAsia="Times New Roman" w:hAnsi="Calibri Light" w:cs="Calibri Light"/>
          <w:lang w:val="fr-BE"/>
        </w:rPr>
        <w:t>les salariés à devenir actionnaires de leur entreprise ?</w:t>
      </w:r>
      <w:r w:rsidR="00B30781">
        <w:rPr>
          <w:rFonts w:ascii="Calibri Light" w:eastAsia="Times New Roman" w:hAnsi="Calibri Light" w:cs="Calibri Light"/>
          <w:lang w:val="fr-BE"/>
        </w:rPr>
        <w:t xml:space="preserve"> </w:t>
      </w:r>
    </w:p>
    <w:p w14:paraId="2B1442E5" w14:textId="4CB8016C" w:rsidR="0010059C" w:rsidRPr="00CE3413" w:rsidRDefault="00B12652">
      <w:pPr>
        <w:spacing w:after="120"/>
        <w:jc w:val="both"/>
        <w:rPr>
          <w:rFonts w:ascii="Calibri Light" w:eastAsia="Times New Roman" w:hAnsi="Calibri Light" w:cs="Calibri Light"/>
          <w:lang w:val="fr-BE"/>
        </w:rPr>
      </w:pPr>
      <w:r w:rsidRPr="00CE3413">
        <w:rPr>
          <w:rFonts w:ascii="Calibri Light" w:eastAsia="Times New Roman" w:hAnsi="Calibri Light" w:cs="Calibri Light"/>
          <w:lang w:val="fr-BE"/>
        </w:rPr>
        <w:t>L'économie européenne a grand</w:t>
      </w:r>
      <w:r w:rsidR="00564CC2">
        <w:rPr>
          <w:rFonts w:ascii="Calibri Light" w:eastAsia="Times New Roman" w:hAnsi="Calibri Light" w:cs="Calibri Light"/>
          <w:lang w:val="fr-BE"/>
        </w:rPr>
        <w:t>ement</w:t>
      </w:r>
      <w:r w:rsidRPr="00CE3413">
        <w:rPr>
          <w:rFonts w:ascii="Calibri Light" w:eastAsia="Times New Roman" w:hAnsi="Calibri Light" w:cs="Calibri Light"/>
          <w:lang w:val="fr-BE"/>
        </w:rPr>
        <w:t xml:space="preserve"> besoin d'un modèle d'</w:t>
      </w:r>
      <w:r w:rsidR="00564CC2">
        <w:rPr>
          <w:rFonts w:ascii="Calibri Light" w:eastAsia="Times New Roman" w:hAnsi="Calibri Light" w:cs="Calibri Light"/>
          <w:lang w:val="fr-BE"/>
        </w:rPr>
        <w:t>actionnariat salarié</w:t>
      </w:r>
      <w:r w:rsidR="00F425E5">
        <w:rPr>
          <w:rFonts w:ascii="Calibri Light" w:eastAsia="Times New Roman" w:hAnsi="Calibri Light" w:cs="Calibri Light"/>
          <w:lang w:val="fr-BE"/>
        </w:rPr>
        <w:t xml:space="preserve"> </w:t>
      </w:r>
      <w:r w:rsidRPr="00CE3413">
        <w:rPr>
          <w:rFonts w:ascii="Calibri Light" w:eastAsia="Times New Roman" w:hAnsi="Calibri Light" w:cs="Calibri Light"/>
          <w:lang w:val="fr-BE"/>
        </w:rPr>
        <w:t xml:space="preserve">qui permettrait </w:t>
      </w:r>
      <w:r w:rsidR="00564CC2">
        <w:rPr>
          <w:rFonts w:ascii="Calibri Light" w:eastAsia="Times New Roman" w:hAnsi="Calibri Light" w:cs="Calibri Light"/>
          <w:lang w:val="fr-BE"/>
        </w:rPr>
        <w:t xml:space="preserve">– comme c’est le cas aux </w:t>
      </w:r>
      <w:r w:rsidRPr="00CE3413">
        <w:rPr>
          <w:rFonts w:ascii="Calibri Light" w:eastAsia="Times New Roman" w:hAnsi="Calibri Light" w:cs="Calibri Light"/>
          <w:lang w:val="fr-BE"/>
        </w:rPr>
        <w:t xml:space="preserve">États-Unis </w:t>
      </w:r>
      <w:r w:rsidR="009E23CE">
        <w:rPr>
          <w:rFonts w:ascii="Calibri Light" w:eastAsia="Times New Roman" w:hAnsi="Calibri Light" w:cs="Calibri Light"/>
          <w:lang w:val="fr-BE"/>
        </w:rPr>
        <w:t>–</w:t>
      </w:r>
      <w:r w:rsidRPr="00CE3413">
        <w:rPr>
          <w:rFonts w:ascii="Calibri Light" w:eastAsia="Times New Roman" w:hAnsi="Calibri Light" w:cs="Calibri Light"/>
          <w:lang w:val="fr-BE"/>
        </w:rPr>
        <w:t xml:space="preserve"> </w:t>
      </w:r>
      <w:r w:rsidR="009E23CE">
        <w:rPr>
          <w:rFonts w:ascii="Calibri Light" w:eastAsia="Times New Roman" w:hAnsi="Calibri Light" w:cs="Calibri Light"/>
          <w:lang w:val="fr-BE"/>
        </w:rPr>
        <w:t xml:space="preserve">le rachat par effet de levier d’une partie ou même de la totalité d’une entreprise par ses salariés, à un coût financièrement accessible. </w:t>
      </w:r>
      <w:r w:rsidRPr="00CE3413">
        <w:rPr>
          <w:rFonts w:ascii="Calibri Light" w:eastAsia="Times New Roman" w:hAnsi="Calibri Light" w:cs="Calibri Light"/>
          <w:lang w:val="fr-BE"/>
        </w:rPr>
        <w:t>BETTER FINANCE soutient fermement la proposition de la FEAS</w:t>
      </w:r>
      <w:r w:rsidR="00DB04E9">
        <w:rPr>
          <w:rFonts w:ascii="Calibri Light" w:eastAsia="Times New Roman" w:hAnsi="Calibri Light" w:cs="Calibri Light"/>
          <w:lang w:val="fr-BE"/>
        </w:rPr>
        <w:t xml:space="preserve"> qui préconise</w:t>
      </w:r>
      <w:r w:rsidRPr="00CE3413">
        <w:rPr>
          <w:rFonts w:ascii="Calibri Light" w:eastAsia="Times New Roman" w:hAnsi="Calibri Light" w:cs="Calibri Light"/>
          <w:lang w:val="fr-BE"/>
        </w:rPr>
        <w:t xml:space="preserve"> d'utiliser le modèle </w:t>
      </w:r>
      <w:r w:rsidR="009E23CE">
        <w:rPr>
          <w:rFonts w:ascii="Calibri Light" w:eastAsia="Times New Roman" w:hAnsi="Calibri Light" w:cs="Calibri Light"/>
          <w:lang w:val="fr-BE"/>
        </w:rPr>
        <w:t>ESOP</w:t>
      </w:r>
      <w:r w:rsidR="00F425E5">
        <w:rPr>
          <w:rFonts w:ascii="Calibri Light" w:eastAsia="Times New Roman" w:hAnsi="Calibri Light" w:cs="Calibri Light"/>
          <w:lang w:val="fr-BE"/>
        </w:rPr>
        <w:t xml:space="preserve"> (</w:t>
      </w:r>
      <w:proofErr w:type="spellStart"/>
      <w:r w:rsidR="00F425E5" w:rsidRPr="00F425E5">
        <w:rPr>
          <w:rFonts w:ascii="Calibri Light" w:eastAsia="Times New Roman" w:hAnsi="Calibri Light" w:cs="Calibri Light"/>
          <w:i/>
          <w:iCs/>
          <w:lang w:val="fr-BE"/>
        </w:rPr>
        <w:t>Employee</w:t>
      </w:r>
      <w:proofErr w:type="spellEnd"/>
      <w:r w:rsidR="00F425E5" w:rsidRPr="00F425E5">
        <w:rPr>
          <w:rFonts w:ascii="Calibri Light" w:eastAsia="Times New Roman" w:hAnsi="Calibri Light" w:cs="Calibri Light"/>
          <w:i/>
          <w:iCs/>
          <w:lang w:val="fr-BE"/>
        </w:rPr>
        <w:t xml:space="preserve"> Stock </w:t>
      </w:r>
      <w:proofErr w:type="spellStart"/>
      <w:r w:rsidR="00F425E5" w:rsidRPr="00F425E5">
        <w:rPr>
          <w:rFonts w:ascii="Calibri Light" w:eastAsia="Times New Roman" w:hAnsi="Calibri Light" w:cs="Calibri Light"/>
          <w:i/>
          <w:iCs/>
          <w:lang w:val="fr-BE"/>
        </w:rPr>
        <w:t>Ownership</w:t>
      </w:r>
      <w:proofErr w:type="spellEnd"/>
      <w:r w:rsidR="00F425E5" w:rsidRPr="00F425E5">
        <w:rPr>
          <w:rFonts w:ascii="Calibri Light" w:eastAsia="Times New Roman" w:hAnsi="Calibri Light" w:cs="Calibri Light"/>
          <w:i/>
          <w:iCs/>
          <w:lang w:val="fr-BE"/>
        </w:rPr>
        <w:t xml:space="preserve"> Plan</w:t>
      </w:r>
      <w:r w:rsidR="00F425E5">
        <w:rPr>
          <w:rFonts w:ascii="Calibri Light" w:eastAsia="Times New Roman" w:hAnsi="Calibri Light" w:cs="Calibri Light"/>
          <w:lang w:val="fr-BE"/>
        </w:rPr>
        <w:t xml:space="preserve">) </w:t>
      </w:r>
      <w:r w:rsidR="00DB04E9">
        <w:rPr>
          <w:rFonts w:ascii="Calibri Light" w:eastAsia="Times New Roman" w:hAnsi="Calibri Light" w:cs="Calibri Light"/>
          <w:lang w:val="fr-BE"/>
        </w:rPr>
        <w:t xml:space="preserve">imaginé pour les PME et largement utilisé aux </w:t>
      </w:r>
      <w:r w:rsidRPr="00CE3413">
        <w:rPr>
          <w:rFonts w:ascii="Calibri Light" w:eastAsia="Times New Roman" w:hAnsi="Calibri Light" w:cs="Calibri Light"/>
          <w:lang w:val="fr-BE"/>
        </w:rPr>
        <w:t xml:space="preserve">États-Unis depuis 1974, </w:t>
      </w:r>
      <w:r w:rsidR="00DB04E9">
        <w:rPr>
          <w:rFonts w:ascii="Calibri Light" w:eastAsia="Times New Roman" w:hAnsi="Calibri Light" w:cs="Calibri Light"/>
          <w:lang w:val="fr-BE"/>
        </w:rPr>
        <w:t>encore largement méconnu en Europe.</w:t>
      </w:r>
      <w:r w:rsidR="00B30781">
        <w:rPr>
          <w:rFonts w:ascii="Calibri Light" w:eastAsia="Times New Roman" w:hAnsi="Calibri Light" w:cs="Calibri Light"/>
          <w:lang w:val="fr-BE"/>
        </w:rPr>
        <w:t xml:space="preserve"> </w:t>
      </w:r>
    </w:p>
    <w:p w14:paraId="43571991" w14:textId="167B6BD9" w:rsidR="0010059C" w:rsidRDefault="00315A4D">
      <w:pPr>
        <w:spacing w:after="120"/>
        <w:jc w:val="both"/>
        <w:rPr>
          <w:rFonts w:ascii="Calibri Light" w:eastAsia="Times New Roman" w:hAnsi="Calibri Light" w:cs="Calibri Light"/>
          <w:lang w:val="fr-BE"/>
        </w:rPr>
      </w:pPr>
      <w:r>
        <w:rPr>
          <w:rFonts w:ascii="Calibri Light" w:eastAsia="Times New Roman" w:hAnsi="Calibri Light" w:cs="Calibri Light"/>
          <w:lang w:val="fr-BE"/>
        </w:rPr>
        <w:t>Cette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 proposition vise à développer un modèle </w:t>
      </w:r>
      <w:r w:rsidR="00DB04E9">
        <w:rPr>
          <w:rFonts w:ascii="Calibri Light" w:eastAsia="Times New Roman" w:hAnsi="Calibri Light" w:cs="Calibri Light"/>
          <w:lang w:val="fr-BE"/>
        </w:rPr>
        <w:t xml:space="preserve">ESOP </w:t>
      </w:r>
      <w:r w:rsidR="00F425E5">
        <w:rPr>
          <w:rFonts w:ascii="Calibri Light" w:eastAsia="Times New Roman" w:hAnsi="Calibri Light" w:cs="Calibri Light"/>
          <w:lang w:val="fr-BE"/>
        </w:rPr>
        <w:t>paneuropéen</w:t>
      </w:r>
      <w:r>
        <w:rPr>
          <w:rFonts w:ascii="Calibri Light" w:eastAsia="Times New Roman" w:hAnsi="Calibri Light" w:cs="Calibri Light"/>
          <w:lang w:val="fr-BE"/>
        </w:rPr>
        <w:t xml:space="preserve"> –</w:t>
      </w:r>
      <w:r w:rsidR="00F425E5">
        <w:rPr>
          <w:rFonts w:ascii="Calibri Light" w:eastAsia="Times New Roman" w:hAnsi="Calibri Light" w:cs="Calibri Light"/>
          <w:lang w:val="fr-BE"/>
        </w:rPr>
        <w:t xml:space="preserve"> </w:t>
      </w:r>
      <w:r>
        <w:rPr>
          <w:rFonts w:ascii="Calibri Light" w:eastAsia="Times New Roman" w:hAnsi="Calibri Light" w:cs="Calibri Light"/>
          <w:lang w:val="fr-BE"/>
        </w:rPr>
        <w:t xml:space="preserve">conçu sous la forme </w:t>
      </w:r>
      <w:r w:rsidR="00DB04E9">
        <w:rPr>
          <w:rFonts w:ascii="Calibri Light" w:eastAsia="Times New Roman" w:hAnsi="Calibri Light" w:cs="Calibri Light"/>
          <w:lang w:val="fr-BE"/>
        </w:rPr>
        <w:t xml:space="preserve">d’un régime </w:t>
      </w:r>
      <w:proofErr w:type="gramStart"/>
      <w:r w:rsidR="00DB04E9">
        <w:rPr>
          <w:rFonts w:ascii="Calibri Light" w:eastAsia="Times New Roman" w:hAnsi="Calibri Light" w:cs="Calibri Light"/>
          <w:lang w:val="fr-BE"/>
        </w:rPr>
        <w:t>de</w:t>
      </w:r>
      <w:proofErr w:type="gramEnd"/>
      <w:r w:rsidR="00DB04E9">
        <w:rPr>
          <w:rFonts w:ascii="Calibri Light" w:eastAsia="Times New Roman" w:hAnsi="Calibri Light" w:cs="Calibri Light"/>
          <w:lang w:val="fr-BE"/>
        </w:rPr>
        <w:t xml:space="preserve"> retraite</w:t>
      </w:r>
      <w:r>
        <w:rPr>
          <w:rFonts w:ascii="Calibri Light" w:eastAsia="Times New Roman" w:hAnsi="Calibri Light" w:cs="Calibri Light"/>
          <w:lang w:val="fr-BE"/>
        </w:rPr>
        <w:t xml:space="preserve"> – 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qui sera </w:t>
      </w:r>
      <w:r>
        <w:rPr>
          <w:rFonts w:ascii="Calibri Light" w:eastAsia="Times New Roman" w:hAnsi="Calibri Light" w:cs="Calibri Light"/>
          <w:lang w:val="fr-BE"/>
        </w:rPr>
        <w:t xml:space="preserve">mis en place en tenant compte des </w:t>
      </w:r>
      <w:r w:rsidR="00B12652" w:rsidRPr="00CE3413">
        <w:rPr>
          <w:rFonts w:ascii="Calibri Light" w:eastAsia="Times New Roman" w:hAnsi="Calibri Light" w:cs="Calibri Light"/>
          <w:lang w:val="fr-BE"/>
        </w:rPr>
        <w:t>spécificités juridiques et fiscales de chaque État membre de l'UE</w:t>
      </w:r>
      <w:r>
        <w:rPr>
          <w:rFonts w:ascii="Calibri Light" w:eastAsia="Times New Roman" w:hAnsi="Calibri Light" w:cs="Calibri Light"/>
          <w:lang w:val="fr-BE"/>
        </w:rPr>
        <w:t xml:space="preserve">. 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Un tel plan d'actionnariat salarié à long terme bénéficierait d'un modèle de financement intelligent, basé sur un système fiscal original, </w:t>
      </w:r>
      <w:r w:rsidR="00DB04E9">
        <w:rPr>
          <w:rFonts w:ascii="Calibri Light" w:eastAsia="Times New Roman" w:hAnsi="Calibri Light" w:cs="Calibri Light"/>
          <w:lang w:val="fr-BE"/>
        </w:rPr>
        <w:t xml:space="preserve">ce qui permettrait </w:t>
      </w:r>
      <w:r>
        <w:rPr>
          <w:rFonts w:ascii="Calibri Light" w:eastAsia="Times New Roman" w:hAnsi="Calibri Light" w:cs="Calibri Light"/>
          <w:lang w:val="fr-BE"/>
        </w:rPr>
        <w:t xml:space="preserve">à ce dispositif ESOP </w:t>
      </w:r>
      <w:r w:rsidR="00B12652" w:rsidRPr="00CE3413">
        <w:rPr>
          <w:rFonts w:ascii="Calibri Light" w:eastAsia="Times New Roman" w:hAnsi="Calibri Light" w:cs="Calibri Light"/>
          <w:lang w:val="fr-BE"/>
        </w:rPr>
        <w:t>de</w:t>
      </w:r>
      <w:r w:rsidR="00DB04E9">
        <w:rPr>
          <w:rFonts w:ascii="Calibri Light" w:eastAsia="Times New Roman" w:hAnsi="Calibri Light" w:cs="Calibri Light"/>
          <w:lang w:val="fr-BE"/>
        </w:rPr>
        <w:t xml:space="preserve"> remplacer toutes les autres 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formules d'actionnariat salarié </w:t>
      </w:r>
      <w:r>
        <w:rPr>
          <w:rFonts w:ascii="Calibri Light" w:eastAsia="Times New Roman" w:hAnsi="Calibri Light" w:cs="Calibri Light"/>
          <w:lang w:val="fr-BE"/>
        </w:rPr>
        <w:t>actuellement utilisées par les PME.</w:t>
      </w:r>
      <w:r w:rsidR="00B30781">
        <w:rPr>
          <w:rFonts w:ascii="Calibri Light" w:eastAsia="Times New Roman" w:hAnsi="Calibri Light" w:cs="Calibri Light"/>
          <w:lang w:val="fr-BE"/>
        </w:rPr>
        <w:t xml:space="preserve"> </w:t>
      </w:r>
    </w:p>
    <w:p w14:paraId="7F7CA95D" w14:textId="7012C958" w:rsidR="0010059C" w:rsidRPr="00CE3413" w:rsidRDefault="00B12652">
      <w:pPr>
        <w:spacing w:after="120"/>
        <w:jc w:val="both"/>
        <w:rPr>
          <w:lang w:val="fr-BE"/>
        </w:rPr>
      </w:pPr>
      <w:r w:rsidRPr="00CE3413">
        <w:rPr>
          <w:rFonts w:ascii="Calibri Light" w:eastAsia="Times New Roman" w:hAnsi="Calibri Light" w:cs="Calibri Light"/>
          <w:lang w:val="fr-BE"/>
        </w:rPr>
        <w:t>L</w:t>
      </w:r>
      <w:r w:rsidR="00DB04E9">
        <w:rPr>
          <w:rFonts w:ascii="Calibri Light" w:eastAsia="Times New Roman" w:hAnsi="Calibri Light" w:cs="Calibri Light"/>
          <w:lang w:val="fr-BE"/>
        </w:rPr>
        <w:t xml:space="preserve">’actionnariat salarié peut </w:t>
      </w:r>
      <w:r w:rsidRPr="00CE3413">
        <w:rPr>
          <w:rFonts w:ascii="Calibri Light" w:eastAsia="Times New Roman" w:hAnsi="Calibri Light" w:cs="Calibri Light"/>
          <w:lang w:val="fr-BE"/>
        </w:rPr>
        <w:t>jouer un rôle crucial en augmentant la résilience des entreprises et en réduisant l</w:t>
      </w:r>
      <w:r w:rsidR="00721D86">
        <w:rPr>
          <w:rFonts w:ascii="Calibri Light" w:eastAsia="Times New Roman" w:hAnsi="Calibri Light" w:cs="Calibri Light"/>
          <w:lang w:val="fr-BE"/>
        </w:rPr>
        <w:t xml:space="preserve">es fluctuations de l’emploi en période de crise économique. Il s’avère en effet que les </w:t>
      </w:r>
      <w:r w:rsidR="00721D86" w:rsidRPr="00CE3413">
        <w:rPr>
          <w:rFonts w:ascii="Calibri Light" w:eastAsia="Times New Roman" w:hAnsi="Calibri Light" w:cs="Calibri Light"/>
          <w:lang w:val="fr-BE"/>
        </w:rPr>
        <w:t>entreprises</w:t>
      </w:r>
      <w:r w:rsidRPr="00CE3413">
        <w:rPr>
          <w:rFonts w:ascii="Calibri Light" w:eastAsia="Times New Roman" w:hAnsi="Calibri Light" w:cs="Calibri Light"/>
          <w:lang w:val="fr-BE"/>
        </w:rPr>
        <w:t xml:space="preserve"> dotées de plans d'actionnariat salarié sont moins susceptibles de faire faillite lorsque les temps sont durs.</w:t>
      </w:r>
      <w:r>
        <w:rPr>
          <w:rStyle w:val="FootnoteReference"/>
          <w:rFonts w:ascii="Calibri Light" w:eastAsia="Times New Roman" w:hAnsi="Calibri Light" w:cs="Calibri Light"/>
        </w:rPr>
        <w:footnoteReference w:id="1"/>
      </w:r>
    </w:p>
    <w:p w14:paraId="6C7A3EE2" w14:textId="3EDFEC30" w:rsidR="0010059C" w:rsidRPr="00CE3413" w:rsidRDefault="00B12652">
      <w:pPr>
        <w:spacing w:after="120"/>
        <w:jc w:val="both"/>
        <w:rPr>
          <w:rFonts w:ascii="Calibri Light" w:eastAsia="Times New Roman" w:hAnsi="Calibri Light" w:cs="Calibri Light"/>
          <w:lang w:val="fr-BE"/>
        </w:rPr>
      </w:pPr>
      <w:r w:rsidRPr="00CE3413">
        <w:rPr>
          <w:rFonts w:ascii="Calibri Light" w:eastAsia="Times New Roman" w:hAnsi="Calibri Light" w:cs="Calibri Light"/>
          <w:lang w:val="fr-BE"/>
        </w:rPr>
        <w:t xml:space="preserve">BETTER FINANCE estime que l'actionnariat salarié est </w:t>
      </w:r>
      <w:r w:rsidR="00721D86">
        <w:rPr>
          <w:rFonts w:ascii="Calibri Light" w:eastAsia="Times New Roman" w:hAnsi="Calibri Light" w:cs="Calibri Light"/>
          <w:lang w:val="fr-BE"/>
        </w:rPr>
        <w:t xml:space="preserve">essentiel pour faire face à l’imminente crise financière liée à la </w:t>
      </w:r>
      <w:r w:rsidRPr="00CE3413">
        <w:rPr>
          <w:rFonts w:ascii="Calibri Light" w:eastAsia="Times New Roman" w:hAnsi="Calibri Light" w:cs="Calibri Light"/>
          <w:lang w:val="fr-BE"/>
        </w:rPr>
        <w:t>C</w:t>
      </w:r>
      <w:r w:rsidR="00721D86">
        <w:rPr>
          <w:rFonts w:ascii="Calibri Light" w:eastAsia="Times New Roman" w:hAnsi="Calibri Light" w:cs="Calibri Light"/>
          <w:lang w:val="fr-BE"/>
        </w:rPr>
        <w:t>OVID</w:t>
      </w:r>
      <w:r w:rsidRPr="00CE3413">
        <w:rPr>
          <w:rFonts w:ascii="Calibri Light" w:eastAsia="Times New Roman" w:hAnsi="Calibri Light" w:cs="Calibri Light"/>
          <w:lang w:val="fr-BE"/>
        </w:rPr>
        <w:t xml:space="preserve">-19, mais aussi pour le succès de l'Union des </w:t>
      </w:r>
      <w:r w:rsidR="00721D86">
        <w:rPr>
          <w:rFonts w:ascii="Calibri Light" w:eastAsia="Times New Roman" w:hAnsi="Calibri Light" w:cs="Calibri Light"/>
          <w:lang w:val="fr-BE"/>
        </w:rPr>
        <w:t>m</w:t>
      </w:r>
      <w:r w:rsidRPr="00CE3413">
        <w:rPr>
          <w:rFonts w:ascii="Calibri Light" w:eastAsia="Times New Roman" w:hAnsi="Calibri Light" w:cs="Calibri Light"/>
          <w:lang w:val="fr-BE"/>
        </w:rPr>
        <w:t xml:space="preserve">archés de </w:t>
      </w:r>
      <w:r w:rsidR="00721D86">
        <w:rPr>
          <w:rFonts w:ascii="Calibri Light" w:eastAsia="Times New Roman" w:hAnsi="Calibri Light" w:cs="Calibri Light"/>
          <w:lang w:val="fr-BE"/>
        </w:rPr>
        <w:t>c</w:t>
      </w:r>
      <w:r w:rsidRPr="00CE3413">
        <w:rPr>
          <w:rFonts w:ascii="Calibri Light" w:eastAsia="Times New Roman" w:hAnsi="Calibri Light" w:cs="Calibri Light"/>
          <w:lang w:val="fr-BE"/>
        </w:rPr>
        <w:t>apitaux (U</w:t>
      </w:r>
      <w:r w:rsidR="00181383">
        <w:rPr>
          <w:rFonts w:ascii="Calibri Light" w:eastAsia="Times New Roman" w:hAnsi="Calibri Light" w:cs="Calibri Light"/>
          <w:lang w:val="fr-BE"/>
        </w:rPr>
        <w:t>MC</w:t>
      </w:r>
      <w:r w:rsidRPr="00CE3413">
        <w:rPr>
          <w:rFonts w:ascii="Calibri Light" w:eastAsia="Times New Roman" w:hAnsi="Calibri Light" w:cs="Calibri Light"/>
          <w:lang w:val="fr-BE"/>
        </w:rPr>
        <w:t xml:space="preserve">), en </w:t>
      </w:r>
      <w:r w:rsidR="00315A4D">
        <w:rPr>
          <w:rFonts w:ascii="Calibri Light" w:eastAsia="Times New Roman" w:hAnsi="Calibri Light" w:cs="Calibri Light"/>
          <w:lang w:val="fr-BE"/>
        </w:rPr>
        <w:t xml:space="preserve">rappelant aux citoyens </w:t>
      </w:r>
      <w:r w:rsidRPr="00CE3413">
        <w:rPr>
          <w:rFonts w:ascii="Calibri Light" w:eastAsia="Times New Roman" w:hAnsi="Calibri Light" w:cs="Calibri Light"/>
          <w:lang w:val="fr-BE"/>
        </w:rPr>
        <w:t xml:space="preserve">européens </w:t>
      </w:r>
      <w:r w:rsidR="00315A4D">
        <w:rPr>
          <w:rFonts w:ascii="Calibri Light" w:eastAsia="Times New Roman" w:hAnsi="Calibri Light" w:cs="Calibri Light"/>
          <w:lang w:val="fr-BE"/>
        </w:rPr>
        <w:t xml:space="preserve">que les actions constituent </w:t>
      </w:r>
      <w:r w:rsidRPr="00CE3413">
        <w:rPr>
          <w:rFonts w:ascii="Calibri Light" w:eastAsia="Times New Roman" w:hAnsi="Calibri Light" w:cs="Calibri Light"/>
          <w:lang w:val="fr-BE"/>
        </w:rPr>
        <w:t>l'instrument financier le plus susceptible de protéger la valeur réelle de leur épargne financière à long terme. Après tout, l'</w:t>
      </w:r>
      <w:r w:rsidR="00773A09">
        <w:rPr>
          <w:rFonts w:ascii="Calibri Light" w:eastAsia="Times New Roman" w:hAnsi="Calibri Light" w:cs="Calibri Light"/>
          <w:lang w:val="fr-BE"/>
        </w:rPr>
        <w:t xml:space="preserve">actionnariat salarié </w:t>
      </w:r>
      <w:r w:rsidRPr="00CE3413">
        <w:rPr>
          <w:rFonts w:ascii="Calibri Light" w:eastAsia="Times New Roman" w:hAnsi="Calibri Light" w:cs="Calibri Light"/>
          <w:lang w:val="fr-BE"/>
        </w:rPr>
        <w:t xml:space="preserve">a un lien direct et avéré avec l'amélioration de la culture </w:t>
      </w:r>
      <w:r w:rsidR="00773A09">
        <w:rPr>
          <w:rFonts w:ascii="Calibri Light" w:eastAsia="Times New Roman" w:hAnsi="Calibri Light" w:cs="Calibri Light"/>
          <w:lang w:val="fr-BE"/>
        </w:rPr>
        <w:t xml:space="preserve">financière et des connaissances dans le domaine des </w:t>
      </w:r>
      <w:r w:rsidRPr="00CE3413">
        <w:rPr>
          <w:rFonts w:ascii="Calibri Light" w:eastAsia="Times New Roman" w:hAnsi="Calibri Light" w:cs="Calibri Light"/>
          <w:lang w:val="fr-BE"/>
        </w:rPr>
        <w:t>actions et de</w:t>
      </w:r>
      <w:r w:rsidR="00773A09">
        <w:rPr>
          <w:rFonts w:ascii="Calibri Light" w:eastAsia="Times New Roman" w:hAnsi="Calibri Light" w:cs="Calibri Light"/>
          <w:lang w:val="fr-BE"/>
        </w:rPr>
        <w:t>s</w:t>
      </w:r>
      <w:r w:rsidRPr="00CE3413">
        <w:rPr>
          <w:rFonts w:ascii="Calibri Light" w:eastAsia="Times New Roman" w:hAnsi="Calibri Light" w:cs="Calibri Light"/>
          <w:lang w:val="fr-BE"/>
        </w:rPr>
        <w:t xml:space="preserve"> marchés </w:t>
      </w:r>
      <w:r w:rsidR="00773A09">
        <w:rPr>
          <w:rFonts w:ascii="Calibri Light" w:eastAsia="Times New Roman" w:hAnsi="Calibri Light" w:cs="Calibri Light"/>
          <w:lang w:val="fr-BE"/>
        </w:rPr>
        <w:t xml:space="preserve">financiers, </w:t>
      </w:r>
      <w:r w:rsidRPr="00CE3413">
        <w:rPr>
          <w:rFonts w:ascii="Calibri Light" w:eastAsia="Times New Roman" w:hAnsi="Calibri Light" w:cs="Calibri Light"/>
          <w:lang w:val="fr-BE"/>
        </w:rPr>
        <w:t>puisque</w:t>
      </w:r>
      <w:r w:rsidR="002E6A9D">
        <w:rPr>
          <w:rFonts w:ascii="Calibri Light" w:eastAsia="Times New Roman" w:hAnsi="Calibri Light" w:cs="Calibri Light"/>
          <w:lang w:val="fr-BE"/>
        </w:rPr>
        <w:t xml:space="preserve"> </w:t>
      </w:r>
      <w:r w:rsidR="00315A4D">
        <w:rPr>
          <w:rFonts w:ascii="Calibri Light" w:eastAsia="Times New Roman" w:hAnsi="Calibri Light" w:cs="Calibri Light"/>
          <w:lang w:val="fr-BE"/>
        </w:rPr>
        <w:t xml:space="preserve">l’entreprise est le seul endroit où les </w:t>
      </w:r>
      <w:r w:rsidR="002E6A9D">
        <w:rPr>
          <w:rFonts w:ascii="Calibri Light" w:eastAsia="Times New Roman" w:hAnsi="Calibri Light" w:cs="Calibri Light"/>
          <w:lang w:val="fr-BE"/>
        </w:rPr>
        <w:t>adultes peuvent s’informer en toute indépendance sur les marchés financiers.</w:t>
      </w:r>
      <w:r w:rsidR="00B30781">
        <w:rPr>
          <w:rFonts w:ascii="Calibri Light" w:eastAsia="Times New Roman" w:hAnsi="Calibri Light" w:cs="Calibri Light"/>
          <w:lang w:val="fr-BE"/>
        </w:rPr>
        <w:t xml:space="preserve"> </w:t>
      </w:r>
    </w:p>
    <w:p w14:paraId="28CB45BC" w14:textId="08BC9891" w:rsidR="0010059C" w:rsidRPr="00CE3413" w:rsidRDefault="00181383">
      <w:pPr>
        <w:spacing w:after="120"/>
        <w:jc w:val="both"/>
        <w:rPr>
          <w:lang w:val="fr-BE"/>
        </w:rPr>
      </w:pPr>
      <w:r>
        <w:rPr>
          <w:rFonts w:ascii="Calibri Light" w:eastAsia="Times New Roman" w:hAnsi="Calibri Light" w:cs="Calibri Light"/>
          <w:lang w:val="fr-BE"/>
        </w:rPr>
        <w:lastRenderedPageBreak/>
        <w:t>Qui plus est, l’</w:t>
      </w:r>
      <w:r w:rsidR="002E6A9D">
        <w:rPr>
          <w:rFonts w:ascii="Calibri Light" w:eastAsia="Times New Roman" w:hAnsi="Calibri Light" w:cs="Calibri Light"/>
          <w:lang w:val="fr-BE"/>
        </w:rPr>
        <w:t xml:space="preserve">actionnariat salarié </w:t>
      </w:r>
      <w:r>
        <w:rPr>
          <w:rFonts w:ascii="Calibri Light" w:eastAsia="Times New Roman" w:hAnsi="Calibri Light" w:cs="Calibri Light"/>
          <w:lang w:val="fr-BE"/>
        </w:rPr>
        <w:t>contribue à</w:t>
      </w:r>
      <w:r w:rsidR="002E6A9D">
        <w:rPr>
          <w:rFonts w:ascii="Calibri Light" w:eastAsia="Times New Roman" w:hAnsi="Calibri Light" w:cs="Calibri Light"/>
          <w:lang w:val="fr-BE"/>
        </w:rPr>
        <w:t xml:space="preserve"> renforcer durablement la participation des salariés, en </w:t>
      </w:r>
      <w:r w:rsidR="00B12652" w:rsidRPr="00CE3413">
        <w:rPr>
          <w:rFonts w:ascii="Calibri Light" w:eastAsia="Times New Roman" w:hAnsi="Calibri Light" w:cs="Calibri Light"/>
          <w:lang w:val="fr-BE"/>
        </w:rPr>
        <w:t>mettant davantage l'accent sur l</w:t>
      </w:r>
      <w:r w:rsidR="002E6A9D">
        <w:rPr>
          <w:rFonts w:ascii="Calibri Light" w:eastAsia="Times New Roman" w:hAnsi="Calibri Light" w:cs="Calibri Light"/>
          <w:lang w:val="fr-BE"/>
        </w:rPr>
        <w:t xml:space="preserve">e développement durable et la bonne gouvernance des entreprises dans lesquelles ils investissent. </w:t>
      </w:r>
      <w:r>
        <w:rPr>
          <w:rFonts w:ascii="Calibri Light" w:eastAsia="Times New Roman" w:hAnsi="Calibri Light" w:cs="Calibri Light"/>
          <w:lang w:val="fr-BE"/>
        </w:rPr>
        <w:t>Les entreprises appartenant aux salariés font généralement montre d’une plus grande responsabilité et se soucient davantage de leur environnement immédiat, car elles internalisent les externalités.</w:t>
      </w:r>
      <w:r w:rsidR="00B12652">
        <w:rPr>
          <w:rStyle w:val="FootnoteReference"/>
          <w:rFonts w:ascii="Calibri Light" w:eastAsia="Times New Roman" w:hAnsi="Calibri Light" w:cs="Calibri Light"/>
        </w:rPr>
        <w:footnoteReference w:id="2"/>
      </w:r>
    </w:p>
    <w:p w14:paraId="193F0ADA" w14:textId="6F275A9B" w:rsidR="0010059C" w:rsidRPr="00CE3413" w:rsidRDefault="00181383">
      <w:pPr>
        <w:spacing w:after="120"/>
        <w:jc w:val="both"/>
        <w:rPr>
          <w:lang w:val="fr-BE"/>
        </w:rPr>
      </w:pPr>
      <w:r>
        <w:rPr>
          <w:rFonts w:ascii="Calibri Light" w:eastAsia="Times New Roman" w:hAnsi="Calibri Light" w:cs="Calibri Light"/>
          <w:lang w:val="fr-BE"/>
        </w:rPr>
        <w:t>L’actionnariat salarié a é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galement un rôle </w:t>
      </w:r>
      <w:r>
        <w:rPr>
          <w:rFonts w:ascii="Calibri Light" w:eastAsia="Times New Roman" w:hAnsi="Calibri Light" w:cs="Calibri Light"/>
          <w:lang w:val="fr-BE"/>
        </w:rPr>
        <w:t xml:space="preserve">central </w:t>
      </w:r>
      <w:r w:rsidR="00B12652" w:rsidRPr="00CE3413">
        <w:rPr>
          <w:rFonts w:ascii="Calibri Light" w:eastAsia="Times New Roman" w:hAnsi="Calibri Light" w:cs="Calibri Light"/>
          <w:lang w:val="fr-BE"/>
        </w:rPr>
        <w:t>et positif à jouer en matière de gouvernance d'entreprise, et devrait</w:t>
      </w:r>
      <w:r>
        <w:rPr>
          <w:rFonts w:ascii="Calibri Light" w:eastAsia="Times New Roman" w:hAnsi="Calibri Light" w:cs="Calibri Light"/>
          <w:lang w:val="fr-BE"/>
        </w:rPr>
        <w:t xml:space="preserve"> être associé à toute initiative des 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autorités européennes visant à </w:t>
      </w:r>
      <w:r w:rsidR="00315A4D">
        <w:rPr>
          <w:rFonts w:ascii="Calibri Light" w:eastAsia="Times New Roman" w:hAnsi="Calibri Light" w:cs="Calibri Light"/>
          <w:lang w:val="fr-BE"/>
        </w:rPr>
        <w:t xml:space="preserve">ancrer </w:t>
      </w:r>
      <w:r w:rsidR="00315A4D" w:rsidRPr="00CE3413">
        <w:rPr>
          <w:rFonts w:ascii="Calibri Light" w:eastAsia="Times New Roman" w:hAnsi="Calibri Light" w:cs="Calibri Light"/>
          <w:lang w:val="fr-BE"/>
        </w:rPr>
        <w:t>davantage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 l</w:t>
      </w:r>
      <w:r>
        <w:rPr>
          <w:rFonts w:ascii="Calibri Light" w:eastAsia="Times New Roman" w:hAnsi="Calibri Light" w:cs="Calibri Light"/>
          <w:lang w:val="fr-BE"/>
        </w:rPr>
        <w:t xml:space="preserve">e développement durable </w:t>
      </w:r>
      <w:r>
        <w:rPr>
          <w:rFonts w:ascii="Calibri Light" w:eastAsia="Times New Roman" w:hAnsi="Calibri Light" w:cs="Calibri Light"/>
          <w:i/>
          <w:iCs/>
          <w:lang w:val="fr-BE"/>
        </w:rPr>
        <w:t>« dans l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 xml:space="preserve">a </w:t>
      </w:r>
      <w:r>
        <w:rPr>
          <w:rFonts w:ascii="Calibri Light" w:eastAsia="Times New Roman" w:hAnsi="Calibri Light" w:cs="Calibri Light"/>
          <w:i/>
          <w:iCs/>
          <w:lang w:val="fr-BE"/>
        </w:rPr>
        <w:t xml:space="preserve">gouvernance d’entreprise, car les entreprises sont encore trop nombreuses à se concentrer </w:t>
      </w:r>
      <w:r w:rsidR="00B30781">
        <w:rPr>
          <w:rFonts w:ascii="Calibri Light" w:eastAsia="Times New Roman" w:hAnsi="Calibri Light" w:cs="Calibri Light"/>
          <w:i/>
          <w:iCs/>
          <w:lang w:val="fr-BE"/>
        </w:rPr>
        <w:t xml:space="preserve">sur </w:t>
      </w:r>
      <w:r w:rsidR="00B12652" w:rsidRPr="00CE3413">
        <w:rPr>
          <w:rFonts w:ascii="Calibri Light" w:eastAsia="Times New Roman" w:hAnsi="Calibri Light" w:cs="Calibri Light"/>
          <w:i/>
          <w:iCs/>
          <w:lang w:val="fr-BE"/>
        </w:rPr>
        <w:t>les performances financières à court terme</w:t>
      </w:r>
      <w:r>
        <w:rPr>
          <w:rFonts w:ascii="Calibri Light" w:eastAsia="Times New Roman" w:hAnsi="Calibri Light" w:cs="Calibri Light"/>
          <w:i/>
          <w:iCs/>
          <w:lang w:val="fr-BE"/>
        </w:rPr>
        <w:t>, au détriment de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 xml:space="preserve"> la dimension du </w:t>
      </w:r>
      <w:r>
        <w:rPr>
          <w:rFonts w:ascii="Calibri Light" w:eastAsia="Times New Roman" w:hAnsi="Calibri Light" w:cs="Calibri Light"/>
          <w:i/>
          <w:iCs/>
          <w:lang w:val="fr-BE"/>
        </w:rPr>
        <w:t>développement et de la durabilité à long terme. »</w:t>
      </w:r>
      <w:r w:rsidR="00B12652" w:rsidRPr="00CE3413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  <w:r w:rsidR="00B12652">
        <w:rPr>
          <w:rStyle w:val="FootnoteReference"/>
          <w:rFonts w:ascii="Calibri Light" w:eastAsia="Times New Roman" w:hAnsi="Calibri Light" w:cs="Calibri Light"/>
        </w:rPr>
        <w:footnoteReference w:id="3"/>
      </w:r>
    </w:p>
    <w:p w14:paraId="22900099" w14:textId="05E338D4" w:rsidR="0010059C" w:rsidRPr="00CE3413" w:rsidRDefault="00181383">
      <w:pPr>
        <w:spacing w:after="120"/>
        <w:jc w:val="both"/>
        <w:rPr>
          <w:lang w:val="fr-BE"/>
        </w:rPr>
      </w:pPr>
      <w:r>
        <w:rPr>
          <w:rFonts w:ascii="Calibri Light" w:eastAsia="Times New Roman" w:hAnsi="Calibri Light" w:cs="Calibri Light"/>
          <w:i/>
          <w:iCs/>
          <w:lang w:val="fr-BE"/>
        </w:rPr>
        <w:t>« </w:t>
      </w:r>
      <w:r w:rsidR="00B12652" w:rsidRPr="00CE3413">
        <w:rPr>
          <w:rFonts w:ascii="Calibri Light" w:eastAsia="Times New Roman" w:hAnsi="Calibri Light" w:cs="Calibri Light"/>
          <w:i/>
          <w:iCs/>
          <w:lang w:val="fr-BE"/>
        </w:rPr>
        <w:t>L'actionnariat salarié, sous la forme d'un plan d'actionnariat salarié</w:t>
      </w:r>
      <w:r w:rsidR="00B30781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 xml:space="preserve">(ESOP) </w:t>
      </w:r>
      <w:r>
        <w:rPr>
          <w:rFonts w:ascii="Calibri Light" w:eastAsia="Times New Roman" w:hAnsi="Calibri Light" w:cs="Calibri Light"/>
          <w:i/>
          <w:iCs/>
          <w:lang w:val="fr-BE"/>
        </w:rPr>
        <w:t>adapté aux spécificités de l’UE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>,</w:t>
      </w:r>
      <w:r w:rsidR="00B12652" w:rsidRPr="00CE3413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  <w:r>
        <w:rPr>
          <w:rFonts w:ascii="Calibri Light" w:eastAsia="Times New Roman" w:hAnsi="Calibri Light" w:cs="Calibri Light"/>
          <w:i/>
          <w:iCs/>
          <w:lang w:val="fr-BE"/>
        </w:rPr>
        <w:t>changerait véritablement la donne, en accélérant la mise en place de l’U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 xml:space="preserve">MC et en apportant une réponse aux problèmes financiers majeurs 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 xml:space="preserve">que rencontrent les citoyens européens 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>à la suite de la crise sanitaire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>,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 xml:space="preserve">» </w:t>
      </w:r>
      <w:r w:rsidR="00B12652" w:rsidRPr="00CE3413">
        <w:rPr>
          <w:rFonts w:ascii="Calibri Light" w:eastAsia="Times New Roman" w:hAnsi="Calibri Light" w:cs="Calibri Light"/>
          <w:lang w:val="fr-BE"/>
        </w:rPr>
        <w:t xml:space="preserve">souligne Guillaume </w:t>
      </w:r>
      <w:proofErr w:type="spellStart"/>
      <w:r w:rsidR="00B12652" w:rsidRPr="00CE3413">
        <w:rPr>
          <w:rFonts w:ascii="Calibri Light" w:eastAsia="Times New Roman" w:hAnsi="Calibri Light" w:cs="Calibri Light"/>
          <w:lang w:val="fr-BE"/>
        </w:rPr>
        <w:t>Prache</w:t>
      </w:r>
      <w:proofErr w:type="spellEnd"/>
      <w:r w:rsidR="00B12652" w:rsidRPr="00CE3413">
        <w:rPr>
          <w:rFonts w:ascii="Calibri Light" w:eastAsia="Times New Roman" w:hAnsi="Calibri Light" w:cs="Calibri Light"/>
          <w:lang w:val="fr-BE"/>
        </w:rPr>
        <w:t xml:space="preserve">, directeur général de BETTER FINANCE, 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>« </w:t>
      </w:r>
      <w:r w:rsidR="00B12652" w:rsidRPr="00CE3413">
        <w:rPr>
          <w:rFonts w:ascii="Calibri Light" w:eastAsia="Times New Roman" w:hAnsi="Calibri Light" w:cs="Calibri Light"/>
          <w:lang w:val="fr-BE"/>
        </w:rPr>
        <w:t>d'</w:t>
      </w:r>
      <w:r w:rsidR="00B12652" w:rsidRPr="00CE3413">
        <w:rPr>
          <w:rFonts w:ascii="Calibri Light" w:eastAsia="Times New Roman" w:hAnsi="Calibri Light" w:cs="Calibri Light"/>
          <w:i/>
          <w:iCs/>
          <w:lang w:val="fr-BE"/>
        </w:rPr>
        <w:t>autant plus qu'il permettrait aux autorités de l'UE de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 xml:space="preserve"> soutenir </w:t>
      </w:r>
      <w:r w:rsidR="00B12652" w:rsidRPr="00CE3413">
        <w:rPr>
          <w:rFonts w:ascii="Calibri Light" w:eastAsia="Times New Roman" w:hAnsi="Calibri Light" w:cs="Calibri Light"/>
          <w:i/>
          <w:iCs/>
          <w:lang w:val="fr-BE"/>
        </w:rPr>
        <w:t>encore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 xml:space="preserve"> plus le pacte vert 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 xml:space="preserve">pour l’Europe 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>et l’Union des marchés de capitaux – deux des projets phares de l’U</w:t>
      </w:r>
      <w:r w:rsidR="00315A4D">
        <w:rPr>
          <w:rFonts w:ascii="Calibri Light" w:eastAsia="Times New Roman" w:hAnsi="Calibri Light" w:cs="Calibri Light"/>
          <w:i/>
          <w:iCs/>
          <w:lang w:val="fr-BE"/>
        </w:rPr>
        <w:t>E</w:t>
      </w:r>
      <w:r w:rsidR="002C43B4">
        <w:rPr>
          <w:rFonts w:ascii="Calibri Light" w:eastAsia="Times New Roman" w:hAnsi="Calibri Light" w:cs="Calibri Light"/>
          <w:i/>
          <w:iCs/>
          <w:lang w:val="fr-BE"/>
        </w:rPr>
        <w:t xml:space="preserve"> – et de mettre le développement durable au cœur de sa stratégie de lutte contre le coronavirus. »</w:t>
      </w:r>
      <w:r w:rsidR="00B30781">
        <w:rPr>
          <w:rFonts w:ascii="Calibri Light" w:eastAsia="Times New Roman" w:hAnsi="Calibri Light" w:cs="Calibri Light"/>
          <w:i/>
          <w:iCs/>
          <w:lang w:val="fr-BE"/>
        </w:rPr>
        <w:t xml:space="preserve"> </w:t>
      </w:r>
    </w:p>
    <w:p w14:paraId="0973B84A" w14:textId="77777777" w:rsidR="0010059C" w:rsidRPr="00CE3413" w:rsidRDefault="00B12652">
      <w:pPr>
        <w:spacing w:after="0" w:line="264" w:lineRule="auto"/>
        <w:jc w:val="center"/>
        <w:rPr>
          <w:rFonts w:ascii="Calibri Light" w:hAnsi="Calibri Light" w:cs="Calibri Light"/>
          <w:lang w:val="fr-BE"/>
        </w:rPr>
      </w:pPr>
      <w:r w:rsidRPr="00CE3413">
        <w:rPr>
          <w:rFonts w:ascii="Calibri Light" w:hAnsi="Calibri Light" w:cs="Calibri Light"/>
          <w:lang w:val="fr-BE"/>
        </w:rPr>
        <w:t>***</w:t>
      </w:r>
    </w:p>
    <w:p w14:paraId="3771A608" w14:textId="77777777" w:rsidR="0010059C" w:rsidRPr="00CE3413" w:rsidRDefault="00B12652">
      <w:pPr>
        <w:pStyle w:val="BodyText"/>
        <w:spacing w:before="120" w:after="0" w:line="30" w:lineRule="atLeast"/>
        <w:jc w:val="center"/>
        <w:rPr>
          <w:lang w:val="fr-BE"/>
        </w:rPr>
      </w:pPr>
      <w:r w:rsidRPr="00CE3413">
        <w:rPr>
          <w:rFonts w:ascii="Calibri Light" w:hAnsi="Calibri Light" w:cs="Calibri Light"/>
          <w:sz w:val="18"/>
          <w:szCs w:val="18"/>
          <w:u w:val="single"/>
          <w:lang w:val="fr-BE"/>
        </w:rPr>
        <w:t xml:space="preserve">Contact </w:t>
      </w:r>
      <w:r w:rsidRPr="00CE3413">
        <w:rPr>
          <w:rFonts w:ascii="Calibri Light" w:hAnsi="Calibri Light" w:cs="Calibri Light"/>
          <w:sz w:val="18"/>
          <w:szCs w:val="18"/>
          <w:lang w:val="fr-BE"/>
        </w:rPr>
        <w:t xml:space="preserve">: Directeur de la communication ǀ Arnaud </w:t>
      </w:r>
      <w:proofErr w:type="spellStart"/>
      <w:r w:rsidRPr="00CE3413">
        <w:rPr>
          <w:rFonts w:ascii="Calibri Light" w:hAnsi="Calibri Light" w:cs="Calibri Light"/>
          <w:sz w:val="18"/>
          <w:szCs w:val="18"/>
          <w:lang w:val="fr-BE"/>
        </w:rPr>
        <w:t>Houdmont</w:t>
      </w:r>
      <w:proofErr w:type="spellEnd"/>
      <w:r w:rsidRPr="00CE3413">
        <w:rPr>
          <w:rFonts w:ascii="Calibri Light" w:hAnsi="Calibri Light" w:cs="Calibri Light"/>
          <w:sz w:val="18"/>
          <w:szCs w:val="18"/>
          <w:lang w:val="fr-BE"/>
        </w:rPr>
        <w:t xml:space="preserve"> ǀ +32 (0)2 514 37 77 ǀ </w:t>
      </w:r>
      <w:hyperlink r:id="rId10" w:history="1">
        <w:r w:rsidRPr="00CE3413">
          <w:rPr>
            <w:rStyle w:val="Hyperlink"/>
            <w:rFonts w:ascii="Calibri Light" w:hAnsi="Calibri Light" w:cs="Calibri Light"/>
            <w:sz w:val="18"/>
            <w:szCs w:val="18"/>
            <w:lang w:val="fr-BE"/>
          </w:rPr>
          <w:t>houdmont@betterfinance.eu</w:t>
        </w:r>
      </w:hyperlink>
    </w:p>
    <w:sectPr w:rsidR="0010059C" w:rsidRPr="00CE34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9B279" w14:textId="77777777" w:rsidR="00B12652" w:rsidRDefault="00B12652">
      <w:pPr>
        <w:spacing w:after="0" w:line="240" w:lineRule="auto"/>
      </w:pPr>
      <w:r>
        <w:separator/>
      </w:r>
    </w:p>
  </w:endnote>
  <w:endnote w:type="continuationSeparator" w:id="0">
    <w:p w14:paraId="6BA6C9FE" w14:textId="77777777" w:rsidR="00B12652" w:rsidRDefault="00B1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3C4DA" w14:textId="77777777" w:rsidR="001B5CED" w:rsidRDefault="001B5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316F" w14:textId="30727155" w:rsidR="009F7686" w:rsidRPr="00CE3413" w:rsidRDefault="00B12652">
    <w:pPr>
      <w:spacing w:before="120" w:after="0" w:line="240" w:lineRule="auto"/>
      <w:ind w:left="-567"/>
      <w:jc w:val="center"/>
      <w:rPr>
        <w:b/>
        <w:color w:val="006FB4"/>
        <w:sz w:val="16"/>
        <w:szCs w:val="16"/>
        <w:lang w:val="fr-BE"/>
      </w:rPr>
    </w:pPr>
    <w:r w:rsidRPr="00CE3413">
      <w:rPr>
        <w:b/>
        <w:color w:val="006FB4"/>
        <w:sz w:val="16"/>
        <w:szCs w:val="16"/>
        <w:lang w:val="fr-BE"/>
      </w:rPr>
      <w:t xml:space="preserve">Fédération </w:t>
    </w:r>
    <w:r w:rsidR="00B30781">
      <w:rPr>
        <w:b/>
        <w:color w:val="006FB4"/>
        <w:sz w:val="16"/>
        <w:szCs w:val="16"/>
        <w:lang w:val="fr-BE"/>
      </w:rPr>
      <w:t>E</w:t>
    </w:r>
    <w:r w:rsidRPr="00CE3413">
      <w:rPr>
        <w:b/>
        <w:color w:val="006FB4"/>
        <w:sz w:val="16"/>
        <w:szCs w:val="16"/>
        <w:lang w:val="fr-BE"/>
      </w:rPr>
      <w:t xml:space="preserve">uropéenne des </w:t>
    </w:r>
    <w:r w:rsidR="00B30781">
      <w:rPr>
        <w:rFonts w:cs="Calibri"/>
        <w:b/>
        <w:color w:val="006FB4"/>
        <w:sz w:val="16"/>
        <w:szCs w:val="16"/>
        <w:lang w:val="fr-BE"/>
      </w:rPr>
      <w:t>É</w:t>
    </w:r>
    <w:r w:rsidR="00B30781">
      <w:rPr>
        <w:b/>
        <w:color w:val="006FB4"/>
        <w:sz w:val="16"/>
        <w:szCs w:val="16"/>
        <w:lang w:val="fr-BE"/>
      </w:rPr>
      <w:t xml:space="preserve">pargnants et Usagers </w:t>
    </w:r>
    <w:r w:rsidRPr="00CE3413">
      <w:rPr>
        <w:b/>
        <w:color w:val="006FB4"/>
        <w:sz w:val="16"/>
        <w:szCs w:val="16"/>
        <w:lang w:val="fr-BE"/>
      </w:rPr>
      <w:t>de</w:t>
    </w:r>
    <w:r w:rsidR="001B5CED">
      <w:rPr>
        <w:b/>
        <w:color w:val="006FB4"/>
        <w:sz w:val="16"/>
        <w:szCs w:val="16"/>
        <w:lang w:val="fr-BE"/>
      </w:rPr>
      <w:t>s</w:t>
    </w:r>
    <w:r w:rsidRPr="00CE3413">
      <w:rPr>
        <w:b/>
        <w:color w:val="006FB4"/>
        <w:sz w:val="16"/>
        <w:szCs w:val="16"/>
        <w:lang w:val="fr-BE"/>
      </w:rPr>
      <w:t xml:space="preserve"> </w:t>
    </w:r>
    <w:r w:rsidR="00B30781">
      <w:rPr>
        <w:b/>
        <w:color w:val="006FB4"/>
        <w:sz w:val="16"/>
        <w:szCs w:val="16"/>
        <w:lang w:val="fr-BE"/>
      </w:rPr>
      <w:t>S</w:t>
    </w:r>
    <w:r w:rsidRPr="00CE3413">
      <w:rPr>
        <w:b/>
        <w:color w:val="006FB4"/>
        <w:sz w:val="16"/>
        <w:szCs w:val="16"/>
        <w:lang w:val="fr-BE"/>
      </w:rPr>
      <w:t xml:space="preserve">ervices </w:t>
    </w:r>
    <w:r w:rsidR="00B30781">
      <w:rPr>
        <w:b/>
        <w:color w:val="006FB4"/>
        <w:sz w:val="16"/>
        <w:szCs w:val="16"/>
        <w:lang w:val="fr-BE"/>
      </w:rPr>
      <w:t>F</w:t>
    </w:r>
    <w:r w:rsidRPr="00CE3413">
      <w:rPr>
        <w:b/>
        <w:color w:val="006FB4"/>
        <w:sz w:val="16"/>
        <w:szCs w:val="16"/>
        <w:lang w:val="fr-BE"/>
      </w:rPr>
      <w:t>inanciers</w:t>
    </w:r>
  </w:p>
  <w:p w14:paraId="2AF544F8" w14:textId="77777777" w:rsidR="009F7686" w:rsidRDefault="00B12652">
    <w:pPr>
      <w:spacing w:after="0" w:line="240" w:lineRule="auto"/>
      <w:ind w:left="-567"/>
      <w:jc w:val="center"/>
      <w:rPr>
        <w:color w:val="006FB4"/>
        <w:sz w:val="16"/>
        <w:szCs w:val="16"/>
        <w:lang w:val="de-DE"/>
      </w:rPr>
    </w:pPr>
    <w:r>
      <w:rPr>
        <w:color w:val="006FB4"/>
        <w:sz w:val="16"/>
        <w:szCs w:val="16"/>
        <w:lang w:val="de-DE"/>
      </w:rPr>
      <w:t>44, Rue d'Arenberg, 1000 Bruxelles - Belgique</w:t>
    </w:r>
  </w:p>
  <w:p w14:paraId="1E63A92D" w14:textId="77777777" w:rsidR="009F7686" w:rsidRDefault="00B12652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de-DE"/>
      </w:rPr>
      <w:t xml:space="preserve">Tél. (+32) 02 514 37 77 - Fax. </w:t>
    </w:r>
    <w:r>
      <w:rPr>
        <w:color w:val="006FB4"/>
        <w:sz w:val="16"/>
        <w:szCs w:val="16"/>
        <w:lang w:val="pt-PT"/>
      </w:rPr>
      <w:t>(+32) 02 514 36 66</w:t>
    </w:r>
  </w:p>
  <w:p w14:paraId="705DD6F8" w14:textId="77777777" w:rsidR="009F7686" w:rsidRDefault="00B12652">
    <w:pPr>
      <w:spacing w:after="0" w:line="240" w:lineRule="auto"/>
      <w:ind w:left="-567"/>
      <w:jc w:val="center"/>
    </w:pPr>
    <w:r>
      <w:rPr>
        <w:color w:val="006FB4"/>
        <w:sz w:val="16"/>
        <w:szCs w:val="16"/>
        <w:lang w:val="pt-PT"/>
      </w:rPr>
      <w:t xml:space="preserve">E-mail : info@betterfinance.eu - </w:t>
    </w:r>
    <w:bookmarkStart w:id="1" w:name="_Hlk944867"/>
    <w:r>
      <w:fldChar w:fldCharType="begin"/>
    </w:r>
    <w:r>
      <w:instrText xml:space="preserve"> HYPERLINK  "http://www.eurofinuse.org" </w:instrText>
    </w:r>
    <w:r>
      <w:fldChar w:fldCharType="separate"/>
    </w:r>
    <w:r>
      <w:rPr>
        <w:color w:val="006FB4"/>
        <w:sz w:val="16"/>
        <w:szCs w:val="16"/>
        <w:u w:val="single"/>
        <w:lang w:val="it-IT"/>
      </w:rPr>
      <w:t xml:space="preserve">http://www.betterfinance.eu </w:t>
    </w:r>
    <w:r>
      <w:rPr>
        <w:color w:val="006FB4"/>
        <w:sz w:val="16"/>
        <w:szCs w:val="16"/>
        <w:u w:val="single"/>
        <w:lang w:val="it-IT"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64E41" w14:textId="77777777" w:rsidR="001B5CED" w:rsidRDefault="001B5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37B65" w14:textId="77777777" w:rsidR="00B12652" w:rsidRDefault="00B126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DF553D" w14:textId="77777777" w:rsidR="00B12652" w:rsidRDefault="00B12652">
      <w:pPr>
        <w:spacing w:after="0" w:line="240" w:lineRule="auto"/>
      </w:pPr>
      <w:r>
        <w:continuationSeparator/>
      </w:r>
    </w:p>
  </w:footnote>
  <w:footnote w:id="1">
    <w:p w14:paraId="75355028" w14:textId="4B14DD20" w:rsidR="0010059C" w:rsidRPr="00CE3413" w:rsidRDefault="00B12652">
      <w:pPr>
        <w:pStyle w:val="CommentText"/>
        <w:spacing w:after="0"/>
        <w:rPr>
          <w:lang w:val="fr-BE"/>
        </w:rPr>
      </w:pPr>
      <w:r>
        <w:rPr>
          <w:rStyle w:val="FootnoteReference"/>
        </w:rPr>
        <w:footnoteRef/>
      </w:r>
      <w:hyperlink r:id="rId1" w:history="1">
        <w:r w:rsidRPr="00CE3413">
          <w:rPr>
            <w:rStyle w:val="Hyperlink"/>
            <w:lang w:val="fr-BE"/>
          </w:rPr>
          <w:t xml:space="preserve"> </w:t>
        </w:r>
      </w:hyperlink>
      <w:r w:rsidRPr="00CE3413">
        <w:rPr>
          <w:lang w:val="fr-BE"/>
        </w:rPr>
        <w:t xml:space="preserve">David P. </w:t>
      </w:r>
      <w:proofErr w:type="spellStart"/>
      <w:r w:rsidRPr="00CE3413">
        <w:rPr>
          <w:lang w:val="fr-BE"/>
        </w:rPr>
        <w:t>Ellerman</w:t>
      </w:r>
      <w:proofErr w:type="spellEnd"/>
      <w:r w:rsidRPr="00CE3413">
        <w:rPr>
          <w:lang w:val="fr-BE"/>
        </w:rPr>
        <w:t xml:space="preserve"> &amp; </w:t>
      </w:r>
      <w:proofErr w:type="spellStart"/>
      <w:r w:rsidRPr="00CE3413">
        <w:rPr>
          <w:lang w:val="fr-BE"/>
        </w:rPr>
        <w:t>Tej</w:t>
      </w:r>
      <w:proofErr w:type="spellEnd"/>
      <w:r w:rsidRPr="00CE3413">
        <w:rPr>
          <w:lang w:val="fr-BE"/>
        </w:rPr>
        <w:t xml:space="preserve"> </w:t>
      </w:r>
      <w:proofErr w:type="spellStart"/>
      <w:r w:rsidRPr="00CE3413">
        <w:rPr>
          <w:lang w:val="fr-BE"/>
        </w:rPr>
        <w:t>Gonza</w:t>
      </w:r>
      <w:proofErr w:type="spellEnd"/>
      <w:r w:rsidRPr="00CE3413">
        <w:rPr>
          <w:lang w:val="fr-BE"/>
        </w:rPr>
        <w:t>,</w:t>
      </w:r>
      <w:r w:rsidR="00B30781">
        <w:rPr>
          <w:lang w:val="fr-BE"/>
        </w:rPr>
        <w:t xml:space="preserve"> </w:t>
      </w:r>
      <w:hyperlink r:id="rId2" w:history="1">
        <w:r w:rsidR="002E6A9D" w:rsidRPr="002E6A9D">
          <w:rPr>
            <w:rStyle w:val="Hyperlink"/>
            <w:lang w:val="fr-BE"/>
          </w:rPr>
          <w:t xml:space="preserve">« COVID-19 : </w:t>
        </w:r>
        <w:proofErr w:type="spellStart"/>
        <w:r w:rsidR="002E6A9D" w:rsidRPr="002E6A9D">
          <w:rPr>
            <w:rStyle w:val="Hyperlink"/>
            <w:lang w:val="fr-BE"/>
          </w:rPr>
          <w:t>Governement</w:t>
        </w:r>
        <w:proofErr w:type="spellEnd"/>
        <w:r w:rsidR="002E6A9D" w:rsidRPr="002E6A9D">
          <w:rPr>
            <w:rStyle w:val="Hyperlink"/>
            <w:lang w:val="fr-BE"/>
          </w:rPr>
          <w:t xml:space="preserve"> </w:t>
        </w:r>
        <w:proofErr w:type="spellStart"/>
        <w:r w:rsidR="002E6A9D" w:rsidRPr="002E6A9D">
          <w:rPr>
            <w:rStyle w:val="Hyperlink"/>
            <w:lang w:val="fr-BE"/>
          </w:rPr>
          <w:t>Aid</w:t>
        </w:r>
        <w:proofErr w:type="spellEnd"/>
        <w:r w:rsidR="002E6A9D" w:rsidRPr="002E6A9D">
          <w:rPr>
            <w:rStyle w:val="Hyperlink"/>
            <w:lang w:val="fr-BE"/>
          </w:rPr>
          <w:t xml:space="preserve"> </w:t>
        </w:r>
        <w:proofErr w:type="spellStart"/>
        <w:r w:rsidR="002E6A9D" w:rsidRPr="002E6A9D">
          <w:rPr>
            <w:rStyle w:val="Hyperlink"/>
            <w:lang w:val="fr-BE"/>
          </w:rPr>
          <w:t>that</w:t>
        </w:r>
        <w:proofErr w:type="spellEnd"/>
        <w:r w:rsidR="002E6A9D" w:rsidRPr="002E6A9D">
          <w:rPr>
            <w:rStyle w:val="Hyperlink"/>
            <w:lang w:val="fr-BE"/>
          </w:rPr>
          <w:t xml:space="preserve"> </w:t>
        </w:r>
        <w:proofErr w:type="spellStart"/>
        <w:r w:rsidR="002E6A9D" w:rsidRPr="002E6A9D">
          <w:rPr>
            <w:rStyle w:val="Hyperlink"/>
            <w:lang w:val="fr-BE"/>
          </w:rPr>
          <w:t>also</w:t>
        </w:r>
        <w:proofErr w:type="spellEnd"/>
        <w:r w:rsidR="002E6A9D" w:rsidRPr="002E6A9D">
          <w:rPr>
            <w:rStyle w:val="Hyperlink"/>
            <w:lang w:val="fr-BE"/>
          </w:rPr>
          <w:t xml:space="preserve"> </w:t>
        </w:r>
        <w:proofErr w:type="spellStart"/>
        <w:r w:rsidR="002E6A9D" w:rsidRPr="002E6A9D">
          <w:rPr>
            <w:rStyle w:val="Hyperlink"/>
            <w:lang w:val="fr-BE"/>
          </w:rPr>
          <w:t>promotes</w:t>
        </w:r>
        <w:proofErr w:type="spellEnd"/>
        <w:r w:rsidR="002E6A9D" w:rsidRPr="002E6A9D">
          <w:rPr>
            <w:rStyle w:val="Hyperlink"/>
            <w:lang w:val="fr-BE"/>
          </w:rPr>
          <w:t xml:space="preserve"> </w:t>
        </w:r>
        <w:proofErr w:type="spellStart"/>
        <w:r w:rsidR="002E6A9D" w:rsidRPr="002E6A9D">
          <w:rPr>
            <w:rStyle w:val="Hyperlink"/>
            <w:lang w:val="fr-BE"/>
          </w:rPr>
          <w:t>Employee</w:t>
        </w:r>
        <w:proofErr w:type="spellEnd"/>
        <w:r w:rsidR="002E6A9D" w:rsidRPr="002E6A9D">
          <w:rPr>
            <w:rStyle w:val="Hyperlink"/>
            <w:lang w:val="fr-BE"/>
          </w:rPr>
          <w:t xml:space="preserve"> </w:t>
        </w:r>
        <w:proofErr w:type="spellStart"/>
        <w:r w:rsidR="002E6A9D" w:rsidRPr="002E6A9D">
          <w:rPr>
            <w:rStyle w:val="Hyperlink"/>
            <w:lang w:val="fr-BE"/>
          </w:rPr>
          <w:t>Ownership</w:t>
        </w:r>
        <w:proofErr w:type="spellEnd"/>
        <w:r w:rsidR="002E6A9D" w:rsidRPr="002E6A9D">
          <w:rPr>
            <w:rStyle w:val="Hyperlink"/>
            <w:lang w:val="fr-BE"/>
          </w:rPr>
          <w:t> »</w:t>
        </w:r>
      </w:hyperlink>
      <w:r w:rsidR="002E6A9D">
        <w:rPr>
          <w:lang w:val="fr-BE"/>
        </w:rPr>
        <w:t xml:space="preserve">, </w:t>
      </w:r>
      <w:r w:rsidRPr="00CE3413">
        <w:rPr>
          <w:lang w:val="fr-BE"/>
        </w:rPr>
        <w:t>Institut</w:t>
      </w:r>
      <w:r w:rsidR="00B30781">
        <w:rPr>
          <w:lang w:val="fr-BE"/>
        </w:rPr>
        <w:t xml:space="preserve">e for </w:t>
      </w:r>
      <w:proofErr w:type="spellStart"/>
      <w:r w:rsidR="00B30781">
        <w:rPr>
          <w:lang w:val="fr-BE"/>
        </w:rPr>
        <w:t>Economic</w:t>
      </w:r>
      <w:proofErr w:type="spellEnd"/>
      <w:r w:rsidR="00B30781">
        <w:rPr>
          <w:lang w:val="fr-BE"/>
        </w:rPr>
        <w:t xml:space="preserve"> </w:t>
      </w:r>
      <w:proofErr w:type="spellStart"/>
      <w:r w:rsidR="00B30781">
        <w:rPr>
          <w:lang w:val="fr-BE"/>
        </w:rPr>
        <w:t>Democracy</w:t>
      </w:r>
      <w:proofErr w:type="spellEnd"/>
      <w:r w:rsidR="00B30781">
        <w:rPr>
          <w:lang w:val="fr-BE"/>
        </w:rPr>
        <w:t xml:space="preserve">, </w:t>
      </w:r>
      <w:r w:rsidRPr="00CE3413">
        <w:rPr>
          <w:lang w:val="fr-BE"/>
        </w:rPr>
        <w:t>Ljubljana, Slovénie</w:t>
      </w:r>
    </w:p>
  </w:footnote>
  <w:footnote w:id="2">
    <w:p w14:paraId="1950F32A" w14:textId="77777777" w:rsidR="0010059C" w:rsidRPr="00CE3413" w:rsidRDefault="00B1265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E3413">
        <w:rPr>
          <w:lang w:val="fr-BE"/>
        </w:rPr>
        <w:t xml:space="preserve"> Ibid. </w:t>
      </w:r>
    </w:p>
  </w:footnote>
  <w:footnote w:id="3">
    <w:p w14:paraId="518D43A3" w14:textId="79D1DEDF" w:rsidR="0010059C" w:rsidRPr="00CE3413" w:rsidRDefault="00B12652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E3413">
        <w:rPr>
          <w:lang w:val="fr-BE"/>
        </w:rPr>
        <w:t xml:space="preserve"> www.responsible-investor.com </w:t>
      </w:r>
      <w:hyperlink r:id="rId3" w:history="1">
        <w:r w:rsidRPr="00CE3413">
          <w:rPr>
            <w:rStyle w:val="Hyperlink"/>
            <w:lang w:val="fr-BE"/>
          </w:rPr>
          <w:t>:</w:t>
        </w:r>
      </w:hyperlink>
      <w:r w:rsidRPr="00CE3413">
        <w:rPr>
          <w:lang w:val="fr-BE"/>
        </w:rPr>
        <w:t xml:space="preserve"> </w:t>
      </w:r>
      <w:r w:rsidR="00CD1B96">
        <w:rPr>
          <w:lang w:val="fr-BE"/>
        </w:rPr>
        <w:t>‘</w:t>
      </w:r>
      <w:r w:rsidR="00CD1B96" w:rsidRPr="00A55B7A">
        <w:t>The European Commission has spoken: All EU policies must now fall in line with green ambitions</w:t>
      </w:r>
      <w:r w:rsidR="00CD1B96">
        <w:t>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60BC" w14:textId="77777777" w:rsidR="001B5CED" w:rsidRDefault="001B5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13633" w14:textId="77777777" w:rsidR="009F7686" w:rsidRDefault="00B126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58E620" wp14:editId="378144B3">
          <wp:simplePos x="0" y="0"/>
          <wp:positionH relativeFrom="margin">
            <wp:posOffset>2564133</wp:posOffset>
          </wp:positionH>
          <wp:positionV relativeFrom="paragraph">
            <wp:posOffset>-265432</wp:posOffset>
          </wp:positionV>
          <wp:extent cx="3138165" cy="645164"/>
          <wp:effectExtent l="0" t="0" r="5085" b="2536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8165" cy="64516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E1937F0" w14:textId="77777777" w:rsidR="009F7686" w:rsidRDefault="00CD1B96">
    <w:pPr>
      <w:pStyle w:val="Header"/>
    </w:pPr>
  </w:p>
  <w:p w14:paraId="0883E44F" w14:textId="77777777" w:rsidR="009F7686" w:rsidRDefault="00CD1B96">
    <w:pPr>
      <w:pStyle w:val="Header"/>
      <w:rPr>
        <w:sz w:val="12"/>
        <w:szCs w:val="12"/>
      </w:rPr>
    </w:pPr>
  </w:p>
  <w:p w14:paraId="46DA5050" w14:textId="77777777" w:rsidR="009F7686" w:rsidRDefault="00CD1B96">
    <w:pPr>
      <w:pStyle w:val="Header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B8452" w14:textId="77777777" w:rsidR="001B5CED" w:rsidRDefault="001B5C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9C"/>
    <w:rsid w:val="0010059C"/>
    <w:rsid w:val="00181383"/>
    <w:rsid w:val="001B5CED"/>
    <w:rsid w:val="002C43B4"/>
    <w:rsid w:val="002E6A9D"/>
    <w:rsid w:val="00315A4D"/>
    <w:rsid w:val="005155A7"/>
    <w:rsid w:val="00564CC2"/>
    <w:rsid w:val="00721D86"/>
    <w:rsid w:val="00773A09"/>
    <w:rsid w:val="009E23CE"/>
    <w:rsid w:val="00B12652"/>
    <w:rsid w:val="00B30781"/>
    <w:rsid w:val="00C7540D"/>
    <w:rsid w:val="00CD1B96"/>
    <w:rsid w:val="00CE3413"/>
    <w:rsid w:val="00DB04E9"/>
    <w:rsid w:val="00ED62C1"/>
    <w:rsid w:val="00F4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AE9347"/>
  <w15:docId w15:val="{DA664CAE-194F-4E15-9BFF-82F53C8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SimSu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Cambria" w:eastAsia="SimSu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odyText">
    <w:name w:val="Body Text"/>
    <w:basedOn w:val="Normal"/>
    <w:pPr>
      <w:spacing w:line="240" w:lineRule="exact"/>
    </w:pPr>
    <w:rPr>
      <w:rFonts w:ascii="Tahoma" w:eastAsia="Times New Roman" w:hAnsi="Tahoma" w:cs="Times New Roman"/>
      <w:spacing w:val="10"/>
      <w:sz w:val="17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pacing w:val="10"/>
      <w:sz w:val="17"/>
      <w:szCs w:val="20"/>
      <w:lang w:val="en-US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mbria" w:eastAsia="SimSun" w:hAnsi="Cambria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mbria" w:eastAsia="SimSun" w:hAnsi="Cambria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Strong">
    <w:name w:val="Strong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Cambria" w:eastAsia="SimSun" w:hAnsi="Cambria" w:cs="Times New Roman"/>
      <w:color w:val="365F91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mbria" w:eastAsia="SimSun" w:hAnsi="Cambria" w:cs="Times New Roman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oudmont@betterfinanc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fesonline.org/CORONA/FR.htm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sponsible-investor.com/articles/the-european-commission-has-spoken-all-eu-policies-must-now-fall-in-line-with-green-ambitions" TargetMode="External"/><Relationship Id="rId2" Type="http://schemas.openxmlformats.org/officeDocument/2006/relationships/hyperlink" Target="http://www.ellerman.org/wp-content/uploads/2020/04/COVID19-Gov-Aid-for-EO_working-paper_final_Intereconomics2.pdf" TargetMode="External"/><Relationship Id="rId1" Type="http://schemas.openxmlformats.org/officeDocument/2006/relationships/hyperlink" Target="http://www.ellerman.org/wp-content/uploads/2020/04/COVID19-Gov-Aid-for-EO_working-paper_final_Intereconomics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08A9776426D41840A8C2CCB15B3F3" ma:contentTypeVersion="12" ma:contentTypeDescription="Create a new document." ma:contentTypeScope="" ma:versionID="fad30e866c7e5bd87e01b4be7e13f445">
  <xsd:schema xmlns:xsd="http://www.w3.org/2001/XMLSchema" xmlns:xs="http://www.w3.org/2001/XMLSchema" xmlns:p="http://schemas.microsoft.com/office/2006/metadata/properties" xmlns:ns2="fd160c09-1844-45b0-b4f1-cf53e6c3c76a" xmlns:ns3="8e72f4a7-cae9-4e97-b541-2580a12d1989" targetNamespace="http://schemas.microsoft.com/office/2006/metadata/properties" ma:root="true" ma:fieldsID="3d251b770648fbf44b28e39a1ec2cbaa" ns2:_="" ns3:_="">
    <xsd:import namespace="fd160c09-1844-45b0-b4f1-cf53e6c3c76a"/>
    <xsd:import namespace="8e72f4a7-cae9-4e97-b541-2580a12d1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60c09-1844-45b0-b4f1-cf53e6c3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2f4a7-cae9-4e97-b541-2580a12d1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701C3-082C-4935-98E7-1D99E3D10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DFF87F-3DE9-4F41-B5E3-03955D153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60c09-1844-45b0-b4f1-cf53e6c3c76a"/>
    <ds:schemaRef ds:uri="8e72f4a7-cae9-4e97-b541-2580a12d1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2E649-FFEB-4B1B-8216-D6BC54087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Houdmont</dc:creator>
  <dc:description/>
  <cp:lastModifiedBy>ISO Translation</cp:lastModifiedBy>
  <cp:revision>7</cp:revision>
  <cp:lastPrinted>2019-03-22T09:41:00Z</cp:lastPrinted>
  <dcterms:created xsi:type="dcterms:W3CDTF">2020-12-02T13:49:00Z</dcterms:created>
  <dcterms:modified xsi:type="dcterms:W3CDTF">2020-12-14T14:50:00Z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0x010100B5308A9776426D41840A8C2CCB15B3F3</vt:lpwstr>
  </property>
</Properties>
</file>