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D13C" w14:textId="78A96EF5" w:rsidR="00830DF5" w:rsidRDefault="00830DF5"/>
    <w:p w14:paraId="5375D13D" w14:textId="77777777" w:rsidR="00830DF5" w:rsidRPr="002908F4" w:rsidRDefault="002908F4">
      <w:pPr>
        <w:pStyle w:val="Textoindependiente"/>
        <w:spacing w:after="120" w:line="240" w:lineRule="auto"/>
        <w:jc w:val="both"/>
        <w:rPr>
          <w:lang w:val="es-ES"/>
        </w:rPr>
      </w:pPr>
      <w:r w:rsidRPr="002908F4">
        <w:rPr>
          <w:rStyle w:val="Textoennegrita"/>
          <w:sz w:val="18"/>
          <w:lang w:val="es-ES"/>
        </w:rPr>
        <w:t>COMUNICADO DE PRENSA</w:t>
      </w:r>
    </w:p>
    <w:p w14:paraId="5375D13E" w14:textId="0E20347E" w:rsidR="00830DF5" w:rsidRPr="002908F4" w:rsidRDefault="002908F4">
      <w:pPr>
        <w:pStyle w:val="Ttulo2"/>
        <w:jc w:val="both"/>
        <w:rPr>
          <w:rFonts w:ascii="Cambria" w:eastAsia="Calibri" w:hAnsi="Cambria"/>
          <w:b/>
          <w:color w:val="365F91"/>
          <w:spacing w:val="20"/>
          <w:kern w:val="3"/>
          <w:sz w:val="28"/>
          <w:szCs w:val="28"/>
          <w:lang w:val="es-ES"/>
        </w:rPr>
      </w:pPr>
      <w:r w:rsidRPr="002908F4">
        <w:rPr>
          <w:rFonts w:ascii="Cambria" w:eastAsia="Calibri" w:hAnsi="Cambria"/>
          <w:b/>
          <w:color w:val="365F91"/>
          <w:spacing w:val="20"/>
          <w:kern w:val="3"/>
          <w:sz w:val="28"/>
          <w:szCs w:val="28"/>
          <w:lang w:val="es-ES"/>
        </w:rPr>
        <w:t xml:space="preserve">Wirecard AG: un caso escandaloso de </w:t>
      </w:r>
      <w:r w:rsidR="00356DE4" w:rsidRPr="002908F4">
        <w:rPr>
          <w:rFonts w:ascii="Cambria" w:eastAsia="Calibri" w:hAnsi="Cambria"/>
          <w:b/>
          <w:color w:val="365F91"/>
          <w:spacing w:val="20"/>
          <w:kern w:val="3"/>
          <w:sz w:val="28"/>
          <w:szCs w:val="28"/>
          <w:lang w:val="es-ES"/>
        </w:rPr>
        <w:t>gob</w:t>
      </w:r>
      <w:r w:rsidR="00356DE4">
        <w:rPr>
          <w:rFonts w:ascii="Cambria" w:eastAsia="Calibri" w:hAnsi="Cambria"/>
          <w:b/>
          <w:color w:val="365F91"/>
          <w:spacing w:val="20"/>
          <w:kern w:val="3"/>
          <w:sz w:val="28"/>
          <w:szCs w:val="28"/>
          <w:lang w:val="es-ES"/>
        </w:rPr>
        <w:t>ernabilidad</w:t>
      </w:r>
      <w:r w:rsidR="00356DE4" w:rsidRPr="002908F4">
        <w:rPr>
          <w:rFonts w:ascii="Cambria" w:eastAsia="Calibri" w:hAnsi="Cambria"/>
          <w:b/>
          <w:color w:val="365F91"/>
          <w:spacing w:val="20"/>
          <w:kern w:val="3"/>
          <w:sz w:val="28"/>
          <w:szCs w:val="28"/>
          <w:lang w:val="es-ES"/>
        </w:rPr>
        <w:t xml:space="preserve"> corporativ</w:t>
      </w:r>
      <w:r w:rsidR="00356DE4">
        <w:rPr>
          <w:rFonts w:ascii="Cambria" w:eastAsia="Calibri" w:hAnsi="Cambria"/>
          <w:b/>
          <w:color w:val="365F91"/>
          <w:spacing w:val="20"/>
          <w:kern w:val="3"/>
          <w:sz w:val="28"/>
          <w:szCs w:val="28"/>
          <w:lang w:val="es-ES"/>
        </w:rPr>
        <w:t>a</w:t>
      </w:r>
      <w:r w:rsidRPr="002908F4">
        <w:rPr>
          <w:rFonts w:ascii="Cambria" w:eastAsia="Calibri" w:hAnsi="Cambria"/>
          <w:b/>
          <w:color w:val="365F91"/>
          <w:spacing w:val="20"/>
          <w:kern w:val="3"/>
          <w:sz w:val="28"/>
          <w:szCs w:val="28"/>
          <w:lang w:val="es-ES"/>
        </w:rPr>
        <w:t xml:space="preserve">, auditoría externa y </w:t>
      </w:r>
      <w:r w:rsidR="00356DE4" w:rsidRPr="002908F4">
        <w:rPr>
          <w:rFonts w:ascii="Cambria" w:eastAsia="Calibri" w:hAnsi="Cambria"/>
          <w:b/>
          <w:color w:val="365F91"/>
          <w:spacing w:val="20"/>
          <w:kern w:val="3"/>
          <w:sz w:val="28"/>
          <w:szCs w:val="28"/>
          <w:lang w:val="es-ES"/>
        </w:rPr>
        <w:t>fall</w:t>
      </w:r>
      <w:r w:rsidR="00356DE4">
        <w:rPr>
          <w:rFonts w:ascii="Cambria" w:eastAsia="Calibri" w:hAnsi="Cambria"/>
          <w:b/>
          <w:color w:val="365F91"/>
          <w:spacing w:val="20"/>
          <w:kern w:val="3"/>
          <w:sz w:val="28"/>
          <w:szCs w:val="28"/>
          <w:lang w:val="es-ES"/>
        </w:rPr>
        <w:t>o</w:t>
      </w:r>
      <w:r w:rsidR="00356DE4" w:rsidRPr="002908F4">
        <w:rPr>
          <w:rFonts w:ascii="Cambria" w:eastAsia="Calibri" w:hAnsi="Cambria"/>
          <w:b/>
          <w:color w:val="365F91"/>
          <w:spacing w:val="20"/>
          <w:kern w:val="3"/>
          <w:sz w:val="28"/>
          <w:szCs w:val="28"/>
          <w:lang w:val="es-ES"/>
        </w:rPr>
        <w:t xml:space="preserve">s </w:t>
      </w:r>
      <w:r w:rsidRPr="002908F4">
        <w:rPr>
          <w:rFonts w:ascii="Cambria" w:eastAsia="Calibri" w:hAnsi="Cambria"/>
          <w:b/>
          <w:color w:val="365F91"/>
          <w:spacing w:val="20"/>
          <w:kern w:val="3"/>
          <w:sz w:val="28"/>
          <w:szCs w:val="28"/>
          <w:lang w:val="es-ES"/>
        </w:rPr>
        <w:t>de supervisión, una vez más a expensas de los inversores y los ahorradores de pensiones</w:t>
      </w:r>
    </w:p>
    <w:p w14:paraId="5375D13F" w14:textId="427B7EED" w:rsidR="00830DF5" w:rsidRPr="002908F4" w:rsidRDefault="002908F4">
      <w:pPr>
        <w:spacing w:before="120" w:after="120"/>
        <w:jc w:val="both"/>
        <w:rPr>
          <w:rFonts w:ascii="Calibri Light" w:hAnsi="Calibri Light" w:cs="Calibri Light"/>
          <w:color w:val="000000"/>
          <w:lang w:val="es-ES"/>
        </w:rPr>
      </w:pPr>
      <w:r w:rsidRPr="002908F4">
        <w:rPr>
          <w:rFonts w:ascii="Calibri Light" w:hAnsi="Calibri Light" w:cs="Calibri Light"/>
          <w:color w:val="000000"/>
          <w:lang w:val="es-ES"/>
        </w:rPr>
        <w:t xml:space="preserve">Con </w:t>
      </w:r>
      <w:r w:rsidR="00356DE4">
        <w:rPr>
          <w:rFonts w:ascii="Calibri Light" w:hAnsi="Calibri Light" w:cs="Calibri Light"/>
          <w:color w:val="000000"/>
          <w:lang w:val="es-ES"/>
        </w:rPr>
        <w:t xml:space="preserve">enorme </w:t>
      </w:r>
      <w:r w:rsidRPr="002908F4">
        <w:rPr>
          <w:rFonts w:ascii="Calibri Light" w:hAnsi="Calibri Light" w:cs="Calibri Light"/>
          <w:color w:val="000000"/>
          <w:lang w:val="es-ES"/>
        </w:rPr>
        <w:t xml:space="preserve">sorpresa, BETTER FINANCE y sus organizaciones miembros </w:t>
      </w:r>
      <w:r w:rsidR="00356DE4">
        <w:rPr>
          <w:rFonts w:ascii="Calibri Light" w:hAnsi="Calibri Light" w:cs="Calibri Light"/>
          <w:color w:val="000000"/>
          <w:lang w:val="es-ES"/>
        </w:rPr>
        <w:t>representantes de</w:t>
      </w:r>
      <w:r w:rsidRPr="002908F4">
        <w:rPr>
          <w:rFonts w:ascii="Calibri Light" w:hAnsi="Calibri Light" w:cs="Calibri Light"/>
          <w:color w:val="000000"/>
          <w:lang w:val="es-ES"/>
        </w:rPr>
        <w:t xml:space="preserve"> los usuarios de servicios financieros</w:t>
      </w:r>
      <w:r w:rsidR="00356DE4">
        <w:rPr>
          <w:rFonts w:ascii="Calibri Light" w:hAnsi="Calibri Light" w:cs="Calibri Light"/>
          <w:color w:val="000000"/>
          <w:lang w:val="es-ES"/>
        </w:rPr>
        <w:t>,</w:t>
      </w:r>
      <w:r w:rsidRPr="002908F4">
        <w:rPr>
          <w:rFonts w:ascii="Calibri Light" w:hAnsi="Calibri Light" w:cs="Calibri Light"/>
          <w:color w:val="000000"/>
          <w:lang w:val="es-ES"/>
        </w:rPr>
        <w:t xml:space="preserve"> leyeron el 18 de junio de 2020 el titular de que Wirecard AG ("WD"), una de las historias de éxito de FinTech en Europa, </w:t>
      </w:r>
      <w:r w:rsidR="00356DE4">
        <w:rPr>
          <w:rFonts w:ascii="Calibri Light" w:hAnsi="Calibri Light" w:cs="Calibri Light"/>
          <w:color w:val="000000"/>
          <w:lang w:val="es-ES"/>
        </w:rPr>
        <w:t xml:space="preserve">podría </w:t>
      </w:r>
      <w:r w:rsidR="00356DE4" w:rsidRPr="002908F4">
        <w:rPr>
          <w:rFonts w:ascii="Calibri Light" w:hAnsi="Calibri Light" w:cs="Calibri Light"/>
          <w:color w:val="000000"/>
          <w:lang w:val="es-ES"/>
        </w:rPr>
        <w:t xml:space="preserve"> </w:t>
      </w:r>
      <w:r w:rsidRPr="002908F4">
        <w:rPr>
          <w:rFonts w:ascii="Calibri Light" w:hAnsi="Calibri Light" w:cs="Calibri Light"/>
          <w:color w:val="000000"/>
          <w:lang w:val="es-ES"/>
        </w:rPr>
        <w:t xml:space="preserve">haber </w:t>
      </w:r>
      <w:r w:rsidR="00356DE4">
        <w:rPr>
          <w:rFonts w:ascii="Calibri Light" w:hAnsi="Calibri Light" w:cs="Calibri Light"/>
          <w:color w:val="000000"/>
          <w:lang w:val="es-ES"/>
        </w:rPr>
        <w:t>registrado</w:t>
      </w:r>
      <w:r w:rsidR="00356DE4" w:rsidRPr="002908F4">
        <w:rPr>
          <w:rFonts w:ascii="Calibri Light" w:hAnsi="Calibri Light" w:cs="Calibri Light"/>
          <w:color w:val="000000"/>
          <w:lang w:val="es-ES"/>
        </w:rPr>
        <w:t xml:space="preserve"> </w:t>
      </w:r>
      <w:r w:rsidRPr="002908F4">
        <w:rPr>
          <w:rFonts w:ascii="Calibri Light" w:hAnsi="Calibri Light" w:cs="Calibri Light"/>
          <w:color w:val="000000"/>
          <w:lang w:val="es-ES"/>
        </w:rPr>
        <w:t xml:space="preserve">erróneamente 1.900 millones de euros en sus balances, </w:t>
      </w:r>
      <w:r w:rsidR="00356DE4">
        <w:rPr>
          <w:rFonts w:ascii="Calibri Light" w:hAnsi="Calibri Light" w:cs="Calibri Light"/>
          <w:color w:val="000000"/>
          <w:lang w:val="es-ES"/>
        </w:rPr>
        <w:t xml:space="preserve">y presentar su declaración de </w:t>
      </w:r>
      <w:r w:rsidRPr="002908F4">
        <w:rPr>
          <w:rFonts w:ascii="Calibri Light" w:hAnsi="Calibri Light" w:cs="Calibri Light"/>
          <w:color w:val="000000"/>
          <w:lang w:val="es-ES"/>
        </w:rPr>
        <w:t xml:space="preserve">insolvencia unos días después. </w:t>
      </w:r>
    </w:p>
    <w:tbl>
      <w:tblPr>
        <w:tblW w:w="9062" w:type="dxa"/>
        <w:tblCellMar>
          <w:left w:w="10" w:type="dxa"/>
          <w:right w:w="10" w:type="dxa"/>
        </w:tblCellMar>
        <w:tblLook w:val="0000" w:firstRow="0" w:lastRow="0" w:firstColumn="0" w:lastColumn="0" w:noHBand="0" w:noVBand="0"/>
      </w:tblPr>
      <w:tblGrid>
        <w:gridCol w:w="9062"/>
      </w:tblGrid>
      <w:tr w:rsidR="00830DF5" w:rsidRPr="001A1DC2" w14:paraId="5375D14E"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5375D140" w14:textId="16C11747" w:rsidR="00830DF5" w:rsidRPr="002908F4" w:rsidRDefault="002908F4">
            <w:pPr>
              <w:spacing w:after="120" w:line="240" w:lineRule="auto"/>
              <w:jc w:val="both"/>
              <w:rPr>
                <w:rFonts w:ascii="Calibri Light" w:hAnsi="Calibri Light" w:cs="Calibri Light"/>
                <w:b/>
                <w:bCs/>
                <w:lang w:val="es-ES"/>
              </w:rPr>
            </w:pPr>
            <w:r w:rsidRPr="002908F4">
              <w:rPr>
                <w:rFonts w:ascii="Calibri Light" w:hAnsi="Calibri Light" w:cs="Calibri Light"/>
                <w:b/>
                <w:bCs/>
                <w:lang w:val="es-ES"/>
              </w:rPr>
              <w:t xml:space="preserve">UN LARGO CAMINO DE </w:t>
            </w:r>
            <w:r w:rsidR="00356DE4">
              <w:rPr>
                <w:rFonts w:ascii="Calibri Light" w:hAnsi="Calibri Light" w:cs="Calibri Light"/>
                <w:b/>
                <w:bCs/>
                <w:lang w:val="es-ES"/>
              </w:rPr>
              <w:t>SEÑALES DE ALARMA</w:t>
            </w:r>
          </w:p>
          <w:p w14:paraId="5375D141" w14:textId="24BF25CE" w:rsidR="00830DF5" w:rsidRPr="002908F4" w:rsidRDefault="002908F4">
            <w:pPr>
              <w:pStyle w:val="Prrafodelista"/>
              <w:numPr>
                <w:ilvl w:val="0"/>
                <w:numId w:val="1"/>
              </w:numPr>
              <w:ind w:left="306" w:hanging="284"/>
              <w:jc w:val="both"/>
              <w:rPr>
                <w:lang w:val="es-ES"/>
              </w:rPr>
            </w:pPr>
            <w:r w:rsidRPr="002908F4">
              <w:rPr>
                <w:rFonts w:ascii="Calibri Light" w:eastAsia="Times New Roman" w:hAnsi="Calibri Light" w:cs="Calibri Light"/>
                <w:lang w:val="es-ES"/>
              </w:rPr>
              <w:t xml:space="preserve">En 2015, una empresa especializada en ventas al descubierto realizó una investigación </w:t>
            </w:r>
            <w:hyperlink r:id="rId10" w:history="1">
              <w:r w:rsidRPr="002908F4">
                <w:rPr>
                  <w:rStyle w:val="Hipervnculo"/>
                  <w:rFonts w:ascii="Calibri Light" w:eastAsia="Times New Roman" w:hAnsi="Calibri Light" w:cs="Calibri Light"/>
                  <w:lang w:val="es-ES"/>
                </w:rPr>
                <w:t>que cuestionaba</w:t>
              </w:r>
            </w:hyperlink>
            <w:r>
              <w:rPr>
                <w:rStyle w:val="Refdenotaalpie"/>
                <w:rFonts w:ascii="Calibri Light" w:eastAsia="Times New Roman" w:hAnsi="Calibri Light" w:cs="Calibri Light"/>
                <w:lang w:val="en-GB"/>
              </w:rPr>
              <w:footnoteReference w:id="1"/>
            </w:r>
            <w:r w:rsidRPr="002908F4">
              <w:rPr>
                <w:rFonts w:ascii="Calibri Light" w:eastAsia="Times New Roman" w:hAnsi="Calibri Light" w:cs="Calibri Light"/>
                <w:lang w:val="es-ES"/>
              </w:rPr>
              <w:t xml:space="preserve">los informes de las empresas de WD en </w:t>
            </w:r>
            <w:r w:rsidR="00356DE4">
              <w:rPr>
                <w:rFonts w:ascii="Calibri Light" w:eastAsia="Times New Roman" w:hAnsi="Calibri Light" w:cs="Calibri Light"/>
                <w:lang w:val="es-ES"/>
              </w:rPr>
              <w:t xml:space="preserve">la región </w:t>
            </w:r>
            <w:r w:rsidRPr="002908F4">
              <w:rPr>
                <w:rFonts w:ascii="Calibri Light" w:eastAsia="Times New Roman" w:hAnsi="Calibri Light" w:cs="Calibri Light"/>
                <w:lang w:val="es-ES"/>
              </w:rPr>
              <w:t>Asia-Pacífico</w:t>
            </w:r>
            <w:r w:rsidR="00356DE4">
              <w:rPr>
                <w:rFonts w:ascii="Calibri Light" w:eastAsia="Times New Roman" w:hAnsi="Calibri Light" w:cs="Calibri Light"/>
                <w:lang w:val="es-ES"/>
              </w:rPr>
              <w:t xml:space="preserve"> y afirmaba</w:t>
            </w:r>
            <w:r w:rsidRPr="002908F4">
              <w:rPr>
                <w:rFonts w:ascii="Calibri Light" w:eastAsia="Times New Roman" w:hAnsi="Calibri Light" w:cs="Calibri Light"/>
                <w:lang w:val="es-ES"/>
              </w:rPr>
              <w:t xml:space="preserve"> que las cifras en realidad parecían </w:t>
            </w:r>
            <w:r w:rsidR="00356DE4">
              <w:rPr>
                <w:rFonts w:ascii="Calibri Light" w:eastAsia="Times New Roman" w:hAnsi="Calibri Light" w:cs="Calibri Light"/>
                <w:lang w:val="es-ES"/>
              </w:rPr>
              <w:t xml:space="preserve">ser </w:t>
            </w:r>
            <w:r w:rsidRPr="002908F4">
              <w:rPr>
                <w:rFonts w:ascii="Calibri Light" w:eastAsia="Times New Roman" w:hAnsi="Calibri Light" w:cs="Calibri Light"/>
                <w:lang w:val="es-ES"/>
              </w:rPr>
              <w:t>mucho más pequeñas;</w:t>
            </w:r>
          </w:p>
          <w:p w14:paraId="5375D142" w14:textId="193E1869" w:rsidR="00830DF5" w:rsidRPr="002908F4" w:rsidRDefault="002908F4">
            <w:pPr>
              <w:pStyle w:val="Prrafodelista"/>
              <w:numPr>
                <w:ilvl w:val="0"/>
                <w:numId w:val="1"/>
              </w:numPr>
              <w:ind w:left="306" w:hanging="284"/>
              <w:jc w:val="both"/>
              <w:rPr>
                <w:lang w:val="es-ES"/>
              </w:rPr>
            </w:pPr>
            <w:r w:rsidRPr="002908F4">
              <w:rPr>
                <w:rFonts w:ascii="Calibri Light" w:eastAsia="Times New Roman" w:hAnsi="Calibri Light" w:cs="Calibri Light"/>
                <w:lang w:val="es-ES"/>
              </w:rPr>
              <w:t>Ese mismo año, FT comenzó su serie "</w:t>
            </w:r>
            <w:hyperlink r:id="rId11" w:history="1">
              <w:r w:rsidRPr="002908F4">
                <w:rPr>
                  <w:rStyle w:val="Hipervnculo"/>
                  <w:rFonts w:ascii="Calibri Light" w:eastAsia="Times New Roman" w:hAnsi="Calibri Light" w:cs="Calibri Light"/>
                  <w:lang w:val="es-ES"/>
                </w:rPr>
                <w:t>House of Wirecard</w:t>
              </w:r>
            </w:hyperlink>
            <w:r w:rsidRPr="002908F4">
              <w:rPr>
                <w:rFonts w:ascii="Calibri Light" w:eastAsia="Times New Roman" w:hAnsi="Calibri Light" w:cs="Calibri Light"/>
                <w:lang w:val="es-ES"/>
              </w:rPr>
              <w:t xml:space="preserve">", revelando </w:t>
            </w:r>
            <w:hyperlink r:id="rId12" w:history="1">
              <w:r w:rsidRPr="002908F4">
                <w:rPr>
                  <w:rStyle w:val="Hipervnculo"/>
                  <w:rFonts w:ascii="Calibri Light" w:eastAsia="Times New Roman" w:hAnsi="Calibri Light" w:cs="Calibri Light"/>
                  <w:lang w:val="es-ES"/>
                </w:rPr>
                <w:t xml:space="preserve">documentos </w:t>
              </w:r>
            </w:hyperlink>
            <w:bookmarkStart w:id="0" w:name="_GoBack"/>
            <w:r w:rsidRPr="001958CF">
              <w:rPr>
                <w:rStyle w:val="Hipervnculo"/>
                <w:rFonts w:ascii="Calibri Light" w:eastAsia="Times New Roman" w:hAnsi="Calibri Light" w:cs="Calibri Light"/>
                <w:lang w:val="es-ES"/>
              </w:rPr>
              <w:t>internos filtrados</w:t>
            </w:r>
            <w:bookmarkEnd w:id="0"/>
            <w:r w:rsidRPr="002908F4">
              <w:rPr>
                <w:rFonts w:ascii="Calibri Light" w:eastAsia="Times New Roman" w:hAnsi="Calibri Light" w:cs="Calibri Light"/>
                <w:lang w:val="es-ES"/>
              </w:rPr>
              <w:t xml:space="preserve"> e </w:t>
            </w:r>
            <w:hyperlink r:id="rId13" w:history="1">
              <w:r w:rsidRPr="002908F4">
                <w:rPr>
                  <w:rStyle w:val="Hipervnculo"/>
                  <w:rFonts w:ascii="Calibri Light" w:eastAsia="Times New Roman" w:hAnsi="Calibri Light" w:cs="Calibri Light"/>
                  <w:lang w:val="es-ES"/>
                </w:rPr>
                <w:t xml:space="preserve">intercambios de correo electrónico </w:t>
              </w:r>
            </w:hyperlink>
            <w:r w:rsidRPr="002908F4">
              <w:rPr>
                <w:rFonts w:ascii="Calibri Light" w:eastAsia="Times New Roman" w:hAnsi="Calibri Light" w:cs="Calibri Light"/>
                <w:lang w:val="es-ES"/>
              </w:rPr>
              <w:t>que apuntaban a inconsistencias, así como informando sobre contabilidad y líneas de negocio cuestionables, alegando un "</w:t>
            </w:r>
            <w:r w:rsidRPr="001A1DC2">
              <w:rPr>
                <w:rStyle w:val="Hipervnculo"/>
                <w:rFonts w:ascii="Calibri Light" w:eastAsia="Times New Roman" w:hAnsi="Calibri Light" w:cs="Calibri Light"/>
                <w:i/>
                <w:iCs/>
                <w:lang w:val="es-ES"/>
              </w:rPr>
              <w:t>agujero de</w:t>
            </w:r>
            <w:r w:rsidRPr="001A1DC2">
              <w:rPr>
                <w:rStyle w:val="Hipervnculo"/>
                <w:i/>
                <w:iCs/>
              </w:rPr>
              <w:t xml:space="preserve"> </w:t>
            </w:r>
            <w:hyperlink r:id="rId14" w:history="1">
              <w:r w:rsidRPr="002908F4">
                <w:rPr>
                  <w:rStyle w:val="Hipervnculo"/>
                  <w:rFonts w:ascii="Calibri Light" w:eastAsia="Times New Roman" w:hAnsi="Calibri Light" w:cs="Calibri Light"/>
                  <w:i/>
                  <w:iCs/>
                  <w:lang w:val="es-ES"/>
                </w:rPr>
                <w:t xml:space="preserve">250 millones de euros en </w:t>
              </w:r>
              <w:r w:rsidR="00356DE4">
                <w:rPr>
                  <w:rStyle w:val="Hipervnculo"/>
                  <w:rFonts w:ascii="Calibri Light" w:eastAsia="Times New Roman" w:hAnsi="Calibri Light" w:cs="Calibri Light"/>
                  <w:i/>
                  <w:iCs/>
                  <w:lang w:val="es-ES"/>
                </w:rPr>
                <w:t>los balances del grupo</w:t>
              </w:r>
            </w:hyperlink>
            <w:r w:rsidRPr="002908F4">
              <w:rPr>
                <w:rFonts w:ascii="Calibri Light" w:eastAsia="Times New Roman" w:hAnsi="Calibri Light" w:cs="Calibri Light"/>
                <w:lang w:val="es-ES"/>
              </w:rPr>
              <w:t>";</w:t>
            </w:r>
          </w:p>
          <w:p w14:paraId="5375D143" w14:textId="7E3B3F38" w:rsidR="00830DF5" w:rsidRPr="002908F4" w:rsidRDefault="002908F4">
            <w:pPr>
              <w:pStyle w:val="Prrafodelista"/>
              <w:numPr>
                <w:ilvl w:val="0"/>
                <w:numId w:val="1"/>
              </w:numPr>
              <w:ind w:left="306" w:hanging="284"/>
              <w:jc w:val="both"/>
              <w:rPr>
                <w:lang w:val="es-ES"/>
              </w:rPr>
            </w:pPr>
            <w:r w:rsidRPr="002908F4">
              <w:rPr>
                <w:rFonts w:ascii="Calibri Light" w:eastAsia="Times New Roman" w:hAnsi="Calibri Light" w:cs="Calibri Light"/>
                <w:lang w:val="es-ES"/>
              </w:rPr>
              <w:t xml:space="preserve">En 2016, un grupo </w:t>
            </w:r>
            <w:r w:rsidR="00356DE4">
              <w:rPr>
                <w:rFonts w:ascii="Calibri Light" w:eastAsia="Times New Roman" w:hAnsi="Calibri Light" w:cs="Calibri Light"/>
                <w:lang w:val="es-ES"/>
              </w:rPr>
              <w:t xml:space="preserve">anónimo </w:t>
            </w:r>
            <w:r w:rsidRPr="002908F4">
              <w:rPr>
                <w:rFonts w:ascii="Calibri Light" w:eastAsia="Times New Roman" w:hAnsi="Calibri Light" w:cs="Calibri Light"/>
                <w:lang w:val="es-ES"/>
              </w:rPr>
              <w:t xml:space="preserve">de investigación de supuestos vendedores al descubierto "Zattara" </w:t>
            </w:r>
            <w:hyperlink r:id="rId15" w:history="1">
              <w:r w:rsidRPr="002908F4">
                <w:rPr>
                  <w:rStyle w:val="Hipervnculo"/>
                  <w:rFonts w:ascii="Calibri Light" w:eastAsia="Times New Roman" w:hAnsi="Calibri Light" w:cs="Calibri Light"/>
                  <w:lang w:val="es-ES"/>
                </w:rPr>
                <w:t xml:space="preserve">afirmó </w:t>
              </w:r>
            </w:hyperlink>
            <w:r w:rsidRPr="002908F4">
              <w:rPr>
                <w:rFonts w:ascii="Calibri Light" w:eastAsia="Times New Roman" w:hAnsi="Calibri Light" w:cs="Calibri Light"/>
                <w:lang w:val="es-ES"/>
              </w:rPr>
              <w:t xml:space="preserve">que WD estaba involucrado, entre otras cosas, en el blanqueo de dinero; BaFin abrió una investigación contra Zattara por manipulación del mercado; </w:t>
            </w:r>
            <w:r>
              <w:rPr>
                <w:rStyle w:val="Refdenotaalpie"/>
                <w:rFonts w:ascii="Calibri Light" w:eastAsia="Times New Roman" w:hAnsi="Calibri Light" w:cs="Calibri Light"/>
                <w:lang w:val="en-GB"/>
              </w:rPr>
              <w:footnoteReference w:id="2"/>
            </w:r>
          </w:p>
          <w:p w14:paraId="5375D144" w14:textId="528F5ECC" w:rsidR="00830DF5" w:rsidRPr="002908F4" w:rsidRDefault="002908F4">
            <w:pPr>
              <w:pStyle w:val="Prrafodelista"/>
              <w:numPr>
                <w:ilvl w:val="0"/>
                <w:numId w:val="1"/>
              </w:numPr>
              <w:ind w:left="306" w:hanging="284"/>
              <w:jc w:val="both"/>
              <w:rPr>
                <w:lang w:val="es-ES"/>
              </w:rPr>
            </w:pPr>
            <w:r w:rsidRPr="002908F4">
              <w:rPr>
                <w:rFonts w:ascii="Calibri Light" w:eastAsia="Times New Roman" w:hAnsi="Calibri Light" w:cs="Calibri Light"/>
                <w:lang w:val="es-ES"/>
              </w:rPr>
              <w:t xml:space="preserve">En 2018, tras la denuncia desde el interior, un bufete de abogados de Singapur llevó a cabo </w:t>
            </w:r>
            <w:hyperlink r:id="rId16" w:history="1">
              <w:r w:rsidRPr="002908F4">
                <w:rPr>
                  <w:rStyle w:val="Hipervnculo"/>
                  <w:rFonts w:ascii="Calibri Light" w:eastAsia="Times New Roman" w:hAnsi="Calibri Light" w:cs="Calibri Light"/>
                  <w:lang w:val="es-ES"/>
                </w:rPr>
                <w:t xml:space="preserve">una investigación interna </w:t>
              </w:r>
            </w:hyperlink>
            <w:r w:rsidRPr="002908F4">
              <w:rPr>
                <w:rFonts w:ascii="Calibri Light" w:eastAsia="Times New Roman" w:hAnsi="Calibri Light" w:cs="Calibri Light"/>
                <w:lang w:val="es-ES"/>
              </w:rPr>
              <w:t xml:space="preserve">en la sede de </w:t>
            </w:r>
            <w:r w:rsidR="00356DE4">
              <w:rPr>
                <w:rFonts w:ascii="Calibri Light" w:eastAsia="Times New Roman" w:hAnsi="Calibri Light" w:cs="Calibri Light"/>
                <w:lang w:val="es-ES"/>
              </w:rPr>
              <w:t>Asia-</w:t>
            </w:r>
            <w:r w:rsidRPr="002908F4">
              <w:rPr>
                <w:rFonts w:ascii="Calibri Light" w:eastAsia="Times New Roman" w:hAnsi="Calibri Light" w:cs="Calibri Light"/>
                <w:lang w:val="es-ES"/>
              </w:rPr>
              <w:t xml:space="preserve">Pacífico de WD, </w:t>
            </w:r>
            <w:r w:rsidR="00356DE4">
              <w:rPr>
                <w:rFonts w:ascii="Calibri Light" w:eastAsia="Times New Roman" w:hAnsi="Calibri Light" w:cs="Calibri Light"/>
                <w:lang w:val="es-ES"/>
              </w:rPr>
              <w:t>y encontró</w:t>
            </w:r>
            <w:r w:rsidR="00356DE4" w:rsidRPr="002908F4">
              <w:rPr>
                <w:rFonts w:ascii="Calibri Light" w:eastAsia="Times New Roman" w:hAnsi="Calibri Light" w:cs="Calibri Light"/>
                <w:lang w:val="es-ES"/>
              </w:rPr>
              <w:t xml:space="preserve"> </w:t>
            </w:r>
            <w:r w:rsidRPr="002908F4">
              <w:rPr>
                <w:rFonts w:ascii="Calibri Light" w:eastAsia="Times New Roman" w:hAnsi="Calibri Light" w:cs="Calibri Light"/>
                <w:lang w:val="es-ES"/>
              </w:rPr>
              <w:t xml:space="preserve">pruebas que apuntaban </w:t>
            </w:r>
            <w:r w:rsidR="00356DE4">
              <w:rPr>
                <w:rFonts w:ascii="Calibri Light" w:eastAsia="Times New Roman" w:hAnsi="Calibri Light" w:cs="Calibri Light"/>
                <w:lang w:val="es-ES"/>
              </w:rPr>
              <w:t>al</w:t>
            </w:r>
            <w:r w:rsidRPr="002908F4">
              <w:rPr>
                <w:rFonts w:ascii="Calibri Light" w:eastAsia="Times New Roman" w:hAnsi="Calibri Light" w:cs="Calibri Light"/>
                <w:lang w:val="es-ES"/>
              </w:rPr>
              <w:t xml:space="preserve"> "</w:t>
            </w:r>
            <w:r w:rsidR="00356DE4">
              <w:rPr>
                <w:rFonts w:ascii="Calibri Light" w:hAnsi="Calibri Light" w:cs="Calibri Light"/>
                <w:i/>
                <w:iCs/>
                <w:lang w:val="es-ES"/>
              </w:rPr>
              <w:t>fraude</w:t>
            </w:r>
            <w:r w:rsidR="00356DE4" w:rsidRPr="002908F4">
              <w:rPr>
                <w:rFonts w:ascii="Calibri Light" w:hAnsi="Calibri Light" w:cs="Calibri Light"/>
                <w:i/>
                <w:iCs/>
                <w:lang w:val="es-ES"/>
              </w:rPr>
              <w:t xml:space="preserve"> </w:t>
            </w:r>
            <w:r w:rsidRPr="002908F4">
              <w:rPr>
                <w:rFonts w:ascii="Calibri Light" w:hAnsi="Calibri Light" w:cs="Calibri Light"/>
                <w:i/>
                <w:iCs/>
                <w:lang w:val="es-ES"/>
              </w:rPr>
              <w:t>y/o la falsificación de cuentas</w:t>
            </w:r>
            <w:r w:rsidRPr="002908F4">
              <w:rPr>
                <w:rFonts w:ascii="Calibri Light" w:hAnsi="Calibri Light" w:cs="Calibri Light"/>
                <w:lang w:val="es-ES"/>
              </w:rPr>
              <w:t>";</w:t>
            </w:r>
          </w:p>
          <w:p w14:paraId="5375D145" w14:textId="61348822" w:rsidR="00830DF5" w:rsidRPr="002908F4" w:rsidRDefault="002908F4">
            <w:pPr>
              <w:pStyle w:val="Prrafodelista"/>
              <w:numPr>
                <w:ilvl w:val="0"/>
                <w:numId w:val="1"/>
              </w:numPr>
              <w:ind w:left="306" w:hanging="284"/>
              <w:jc w:val="both"/>
              <w:rPr>
                <w:rFonts w:ascii="Calibri Light" w:eastAsia="Times New Roman" w:hAnsi="Calibri Light" w:cs="Calibri Light"/>
                <w:lang w:val="es-ES"/>
              </w:rPr>
            </w:pPr>
            <w:r w:rsidRPr="002908F4">
              <w:rPr>
                <w:rFonts w:ascii="Calibri Light" w:eastAsia="Times New Roman" w:hAnsi="Calibri Light" w:cs="Calibri Light"/>
                <w:lang w:val="es-ES"/>
              </w:rPr>
              <w:t>En enero de 2019, FT publicó una nueva serie de investigaciones sobre fraude y falsificación por parte de WD Asia:</w:t>
            </w:r>
          </w:p>
          <w:p w14:paraId="5375D146" w14:textId="3E8A05BF" w:rsidR="00830DF5" w:rsidRPr="002908F4" w:rsidRDefault="002908F4">
            <w:pPr>
              <w:pStyle w:val="Prrafodelista"/>
              <w:numPr>
                <w:ilvl w:val="1"/>
                <w:numId w:val="1"/>
              </w:numPr>
              <w:ind w:left="589" w:hanging="283"/>
              <w:jc w:val="both"/>
              <w:rPr>
                <w:lang w:val="es-ES"/>
              </w:rPr>
            </w:pPr>
            <w:r w:rsidRPr="002908F4">
              <w:rPr>
                <w:rFonts w:ascii="Calibri Light" w:eastAsia="Times New Roman" w:hAnsi="Calibri Light" w:cs="Calibri Light"/>
                <w:lang w:val="es-ES"/>
              </w:rPr>
              <w:t xml:space="preserve">primero, </w:t>
            </w:r>
            <w:hyperlink r:id="rId17" w:history="1">
              <w:r w:rsidR="00356DE4">
                <w:rPr>
                  <w:rStyle w:val="Hipervnculo"/>
                  <w:rFonts w:ascii="Calibri Light" w:eastAsia="Times New Roman" w:hAnsi="Calibri Light" w:cs="Calibri Light"/>
                  <w:lang w:val="es-ES"/>
                </w:rPr>
                <w:t>los periodistas de FT</w:t>
              </w:r>
            </w:hyperlink>
            <w:r w:rsidR="00356DE4">
              <w:rPr>
                <w:rFonts w:ascii="Calibri Light" w:eastAsia="Times New Roman" w:hAnsi="Calibri Light" w:cs="Calibri Light"/>
                <w:lang w:val="es-ES"/>
              </w:rPr>
              <w:t xml:space="preserve"> </w:t>
            </w:r>
            <w:r w:rsidR="00356DE4" w:rsidRPr="002A07C4">
              <w:rPr>
                <w:rFonts w:ascii="Calibri Light" w:eastAsia="Times New Roman" w:hAnsi="Calibri Light" w:cs="Calibri Light"/>
                <w:lang w:val="es-ES"/>
              </w:rPr>
              <w:t>informaron de que</w:t>
            </w:r>
            <w:r w:rsidR="00356DE4" w:rsidRPr="002908F4">
              <w:rPr>
                <w:rFonts w:ascii="Calibri Light" w:eastAsia="Times New Roman" w:hAnsi="Calibri Light" w:cs="Calibri Light"/>
                <w:lang w:val="es-ES"/>
              </w:rPr>
              <w:t xml:space="preserve"> </w:t>
            </w:r>
            <w:r w:rsidRPr="002908F4">
              <w:rPr>
                <w:rFonts w:ascii="Calibri Light" w:eastAsia="Times New Roman" w:hAnsi="Calibri Light" w:cs="Calibri Light"/>
                <w:lang w:val="es-ES"/>
              </w:rPr>
              <w:t xml:space="preserve">los ejecutivos de WD Asia usaron contratos </w:t>
            </w:r>
            <w:r w:rsidR="00356DE4">
              <w:rPr>
                <w:rFonts w:ascii="Calibri Light" w:eastAsia="Times New Roman" w:hAnsi="Calibri Light" w:cs="Calibri Light"/>
                <w:lang w:val="es-ES"/>
              </w:rPr>
              <w:t xml:space="preserve">falsos </w:t>
            </w:r>
            <w:r w:rsidRPr="002908F4">
              <w:rPr>
                <w:rFonts w:ascii="Calibri Light" w:eastAsia="Times New Roman" w:hAnsi="Calibri Light" w:cs="Calibri Light"/>
                <w:lang w:val="es-ES"/>
              </w:rPr>
              <w:t>para inflar las cifras de</w:t>
            </w:r>
            <w:r w:rsidR="00356DE4">
              <w:rPr>
                <w:rFonts w:ascii="Calibri Light" w:eastAsia="Times New Roman" w:hAnsi="Calibri Light" w:cs="Calibri Light"/>
                <w:lang w:val="es-ES"/>
              </w:rPr>
              <w:t>l</w:t>
            </w:r>
            <w:r w:rsidRPr="002908F4">
              <w:rPr>
                <w:rFonts w:ascii="Calibri Light" w:eastAsia="Times New Roman" w:hAnsi="Calibri Light" w:cs="Calibri Light"/>
                <w:lang w:val="es-ES"/>
              </w:rPr>
              <w:t xml:space="preserve"> negocio;</w:t>
            </w:r>
          </w:p>
          <w:p w14:paraId="5375D147" w14:textId="58A93E0C" w:rsidR="00830DF5" w:rsidRPr="002908F4" w:rsidRDefault="002908F4">
            <w:pPr>
              <w:pStyle w:val="Prrafodelista"/>
              <w:numPr>
                <w:ilvl w:val="1"/>
                <w:numId w:val="1"/>
              </w:numPr>
              <w:ind w:left="589" w:hanging="283"/>
              <w:jc w:val="both"/>
              <w:rPr>
                <w:lang w:val="es-ES"/>
              </w:rPr>
            </w:pPr>
            <w:r w:rsidRPr="002908F4">
              <w:rPr>
                <w:rFonts w:ascii="Calibri Light" w:eastAsia="Times New Roman" w:hAnsi="Calibri Light" w:cs="Calibri Light"/>
                <w:lang w:val="es-ES"/>
              </w:rPr>
              <w:t xml:space="preserve">En segundo lugar, FT alegó que la empresa matriz en Alemania </w:t>
            </w:r>
            <w:hyperlink r:id="rId18" w:history="1">
              <w:r w:rsidRPr="002908F4">
                <w:rPr>
                  <w:rStyle w:val="Hipervnculo"/>
                  <w:rFonts w:ascii="Calibri Light" w:eastAsia="Times New Roman" w:hAnsi="Calibri Light" w:cs="Calibri Light"/>
                  <w:lang w:val="es-ES"/>
                </w:rPr>
                <w:t xml:space="preserve">tenía conocimiento </w:t>
              </w:r>
            </w:hyperlink>
            <w:r w:rsidRPr="002908F4">
              <w:rPr>
                <w:rFonts w:ascii="Calibri Light" w:eastAsia="Times New Roman" w:hAnsi="Calibri Light" w:cs="Calibri Light"/>
                <w:lang w:val="es-ES"/>
              </w:rPr>
              <w:t xml:space="preserve">de las actividades supuestamente "deshonestas", mientras que la policía de Singapur </w:t>
            </w:r>
            <w:r w:rsidRPr="002A07C4">
              <w:rPr>
                <w:rFonts w:ascii="Calibri Light" w:eastAsia="Times New Roman" w:hAnsi="Calibri Light" w:cs="Calibri Light"/>
                <w:lang w:val="es-ES"/>
              </w:rPr>
              <w:t>abrió una investigación</w:t>
            </w:r>
            <w:r>
              <w:rPr>
                <w:rStyle w:val="Refdenotaalpie"/>
                <w:rFonts w:ascii="Calibri Light" w:eastAsia="Times New Roman" w:hAnsi="Calibri Light" w:cs="Calibri Light"/>
                <w:lang w:val="en-GB"/>
              </w:rPr>
              <w:footnoteReference w:id="3"/>
            </w:r>
            <w:r w:rsidR="00D06452">
              <w:rPr>
                <w:rFonts w:ascii="Calibri Light" w:eastAsia="Times New Roman" w:hAnsi="Calibri Light" w:cs="Calibri Light"/>
                <w:lang w:val="es-ES"/>
              </w:rPr>
              <w:t xml:space="preserve"> </w:t>
            </w:r>
            <w:hyperlink r:id="rId19" w:history="1">
              <w:r w:rsidR="00356DE4">
                <w:rPr>
                  <w:rStyle w:val="Hipervnculo"/>
                  <w:rFonts w:ascii="Calibri Light" w:eastAsia="Times New Roman" w:hAnsi="Calibri Light" w:cs="Calibri Light"/>
                  <w:lang w:val="es-ES"/>
                </w:rPr>
                <w:t>y BaFin abrió a su vez otra investigación contra los periodistas de FT</w:t>
              </w:r>
            </w:hyperlink>
            <w:r w:rsidR="00356DE4">
              <w:rPr>
                <w:rStyle w:val="Hipervnculo"/>
                <w:rFonts w:ascii="Calibri Light" w:eastAsia="Times New Roman" w:hAnsi="Calibri Light" w:cs="Calibri Light"/>
                <w:lang w:val="es-ES"/>
              </w:rPr>
              <w:t xml:space="preserve"> </w:t>
            </w:r>
            <w:r w:rsidRPr="002908F4">
              <w:rPr>
                <w:rFonts w:ascii="Calibri Light" w:eastAsia="Times New Roman" w:hAnsi="Calibri Light" w:cs="Calibri Light"/>
                <w:lang w:val="es-ES"/>
              </w:rPr>
              <w:t xml:space="preserve">por manipulación del mercado; </w:t>
            </w:r>
            <w:r>
              <w:rPr>
                <w:rStyle w:val="Refdenotaalpie"/>
                <w:rFonts w:ascii="Calibri Light" w:eastAsia="Times New Roman" w:hAnsi="Calibri Light" w:cs="Calibri Light"/>
                <w:lang w:val="en-GB"/>
              </w:rPr>
              <w:footnoteReference w:id="4"/>
            </w:r>
          </w:p>
          <w:p w14:paraId="5375D148" w14:textId="4DC52A3D" w:rsidR="00830DF5" w:rsidRPr="002908F4" w:rsidRDefault="002908F4">
            <w:pPr>
              <w:pStyle w:val="Prrafodelista"/>
              <w:numPr>
                <w:ilvl w:val="0"/>
                <w:numId w:val="1"/>
              </w:numPr>
              <w:ind w:left="306" w:hanging="284"/>
              <w:jc w:val="both"/>
              <w:rPr>
                <w:lang w:val="es-ES"/>
              </w:rPr>
            </w:pPr>
            <w:r w:rsidRPr="002908F4">
              <w:rPr>
                <w:rFonts w:ascii="Calibri Light" w:eastAsia="Times New Roman" w:hAnsi="Calibri Light" w:cs="Calibri Light"/>
                <w:lang w:val="es-ES"/>
              </w:rPr>
              <w:t xml:space="preserve">Febrero de 2019: </w:t>
            </w:r>
            <w:r w:rsidR="00356DE4" w:rsidRPr="002A07C4">
              <w:rPr>
                <w:rFonts w:ascii="Calibri Light" w:eastAsia="Times New Roman" w:hAnsi="Calibri Light" w:cs="Calibri Light"/>
                <w:lang w:val="es-ES"/>
              </w:rPr>
              <w:t xml:space="preserve">la AEVM aprueba </w:t>
            </w:r>
            <w:hyperlink r:id="rId20" w:history="1">
              <w:r w:rsidR="009D0D33">
                <w:rPr>
                  <w:rStyle w:val="Hipervnculo"/>
                  <w:rFonts w:ascii="Calibri Light" w:eastAsia="Times New Roman" w:hAnsi="Calibri Light" w:cs="Calibri Light"/>
                  <w:lang w:val="es-ES"/>
                </w:rPr>
                <w:t>la</w:t>
              </w:r>
            </w:hyperlink>
            <w:r w:rsidR="009D0D33">
              <w:rPr>
                <w:rStyle w:val="Hipervnculo"/>
                <w:rFonts w:ascii="Calibri Light" w:eastAsia="Times New Roman" w:hAnsi="Calibri Light" w:cs="Calibri Light"/>
                <w:lang w:val="es-ES"/>
              </w:rPr>
              <w:t xml:space="preserve"> prohibición temporal </w:t>
            </w:r>
            <w:r w:rsidR="00D06452">
              <w:rPr>
                <w:rStyle w:val="Hipervnculo"/>
                <w:rFonts w:ascii="Calibri Light" w:eastAsia="Times New Roman" w:hAnsi="Calibri Light" w:cs="Calibri Light"/>
                <w:lang w:val="es-ES"/>
              </w:rPr>
              <w:t xml:space="preserve">para BaFin </w:t>
            </w:r>
            <w:r w:rsidR="009D0D33">
              <w:rPr>
                <w:rStyle w:val="Hipervnculo"/>
                <w:rFonts w:ascii="Calibri Light" w:eastAsia="Times New Roman" w:hAnsi="Calibri Light" w:cs="Calibri Light"/>
                <w:lang w:val="es-ES"/>
              </w:rPr>
              <w:t xml:space="preserve">de vender al descubierto </w:t>
            </w:r>
            <w:r w:rsidRPr="002908F4">
              <w:rPr>
                <w:rFonts w:ascii="Calibri Light" w:eastAsia="Times New Roman" w:hAnsi="Calibri Light" w:cs="Calibri Light"/>
                <w:lang w:val="es-ES"/>
              </w:rPr>
              <w:t>acciones de WD;</w:t>
            </w:r>
          </w:p>
          <w:p w14:paraId="5375D149" w14:textId="28BA86B9" w:rsidR="00830DF5" w:rsidRPr="002908F4" w:rsidRDefault="002908F4">
            <w:pPr>
              <w:pStyle w:val="Prrafodelista"/>
              <w:numPr>
                <w:ilvl w:val="0"/>
                <w:numId w:val="1"/>
              </w:numPr>
              <w:ind w:left="306" w:hanging="284"/>
              <w:jc w:val="both"/>
              <w:rPr>
                <w:lang w:val="es-ES"/>
              </w:rPr>
            </w:pPr>
            <w:r w:rsidRPr="002908F4">
              <w:rPr>
                <w:rFonts w:ascii="Calibri Light" w:eastAsia="Times New Roman" w:hAnsi="Calibri Light" w:cs="Calibri Light"/>
                <w:lang w:val="es-ES"/>
              </w:rPr>
              <w:t>Comienzo</w:t>
            </w:r>
            <w:r w:rsidR="009D0D33">
              <w:rPr>
                <w:rFonts w:ascii="Calibri Light" w:eastAsia="Times New Roman" w:hAnsi="Calibri Light" w:cs="Calibri Light"/>
                <w:lang w:val="es-ES"/>
              </w:rPr>
              <w:t>s</w:t>
            </w:r>
            <w:r w:rsidRPr="002908F4">
              <w:rPr>
                <w:rFonts w:ascii="Calibri Light" w:eastAsia="Times New Roman" w:hAnsi="Calibri Light" w:cs="Calibri Light"/>
                <w:lang w:val="es-ES"/>
              </w:rPr>
              <w:t xml:space="preserve"> de 2019: </w:t>
            </w:r>
            <w:hyperlink r:id="rId21" w:history="1">
              <w:r w:rsidR="009D0D33" w:rsidRPr="002908F4">
                <w:rPr>
                  <w:rStyle w:val="Hipervnculo"/>
                  <w:rFonts w:ascii="Calibri Light" w:eastAsia="Times New Roman" w:hAnsi="Calibri Light" w:cs="Calibri Light"/>
                  <w:lang w:val="es-ES"/>
                </w:rPr>
                <w:t xml:space="preserve">BaFin  </w:t>
              </w:r>
              <w:r w:rsidR="009D0D33">
                <w:rPr>
                  <w:rStyle w:val="Hipervnculo"/>
                  <w:rFonts w:ascii="Calibri Light" w:eastAsia="Times New Roman" w:hAnsi="Calibri Light" w:cs="Calibri Light"/>
                  <w:lang w:val="es-ES"/>
                </w:rPr>
                <w:t>pide</w:t>
              </w:r>
            </w:hyperlink>
            <w:r w:rsidR="009D0D33">
              <w:rPr>
                <w:rStyle w:val="Hipervnculo"/>
                <w:rFonts w:ascii="Calibri Light" w:eastAsia="Times New Roman" w:hAnsi="Calibri Light" w:cs="Calibri Light"/>
                <w:lang w:val="es-ES"/>
              </w:rPr>
              <w:t xml:space="preserve"> a </w:t>
            </w:r>
            <w:r w:rsidR="009D0D33" w:rsidRPr="002908F4">
              <w:rPr>
                <w:rFonts w:ascii="Calibri Light" w:eastAsia="Times New Roman" w:hAnsi="Calibri Light" w:cs="Calibri Light"/>
                <w:lang w:val="es-ES"/>
              </w:rPr>
              <w:t xml:space="preserve">DAP </w:t>
            </w:r>
            <w:r w:rsidRPr="002908F4">
              <w:rPr>
                <w:rFonts w:ascii="Calibri Light" w:eastAsia="Times New Roman" w:hAnsi="Calibri Light" w:cs="Calibri Light"/>
                <w:lang w:val="es-ES"/>
              </w:rPr>
              <w:t>(</w:t>
            </w:r>
            <w:hyperlink r:id="rId22" w:history="1">
              <w:r w:rsidRPr="002908F4">
                <w:rPr>
                  <w:rStyle w:val="Hipervnculo"/>
                  <w:rFonts w:ascii="Calibri Light" w:eastAsia="Times New Roman" w:hAnsi="Calibri Light" w:cs="Calibri Light"/>
                  <w:lang w:val="es-ES"/>
                </w:rPr>
                <w:t>FREP</w:t>
              </w:r>
            </w:hyperlink>
            <w:r w:rsidRPr="002908F4">
              <w:rPr>
                <w:rFonts w:ascii="Calibri Light" w:eastAsia="Times New Roman" w:hAnsi="Calibri Light" w:cs="Calibri Light"/>
                <w:lang w:val="es-ES"/>
              </w:rPr>
              <w:t xml:space="preserve">) </w:t>
            </w:r>
            <w:r w:rsidR="009D0D33">
              <w:rPr>
                <w:rFonts w:ascii="Calibri Light" w:eastAsia="Times New Roman" w:hAnsi="Calibri Light" w:cs="Calibri Light"/>
                <w:lang w:val="es-ES"/>
              </w:rPr>
              <w:t>iniciar</w:t>
            </w:r>
            <w:r w:rsidR="009D0D33" w:rsidRPr="002908F4">
              <w:rPr>
                <w:rFonts w:ascii="Calibri Light" w:eastAsia="Times New Roman" w:hAnsi="Calibri Light" w:cs="Calibri Light"/>
                <w:lang w:val="es-ES"/>
              </w:rPr>
              <w:t xml:space="preserve"> </w:t>
            </w:r>
            <w:r w:rsidRPr="002908F4">
              <w:rPr>
                <w:rFonts w:ascii="Calibri Light" w:eastAsia="Times New Roman" w:hAnsi="Calibri Light" w:cs="Calibri Light"/>
                <w:lang w:val="es-ES"/>
              </w:rPr>
              <w:t xml:space="preserve">una investigación sobre WD tras los informes de FT; con sólo </w:t>
            </w:r>
            <w:r w:rsidRPr="002A07C4">
              <w:rPr>
                <w:rFonts w:ascii="Calibri Light" w:eastAsia="Times New Roman" w:hAnsi="Calibri Light" w:cs="Calibri Light"/>
                <w:color w:val="0070C0"/>
                <w:u w:val="single"/>
                <w:lang w:val="es-ES"/>
              </w:rPr>
              <w:t xml:space="preserve">una </w:t>
            </w:r>
            <w:hyperlink r:id="rId23" w:history="1">
              <w:r w:rsidRPr="002908F4">
                <w:rPr>
                  <w:rStyle w:val="Hipervnculo"/>
                  <w:rFonts w:ascii="Calibri Light" w:eastAsia="Times New Roman" w:hAnsi="Calibri Light" w:cs="Calibri Light"/>
                  <w:lang w:val="es-ES"/>
                </w:rPr>
                <w:t xml:space="preserve">persona </w:t>
              </w:r>
            </w:hyperlink>
            <w:r w:rsidRPr="002908F4">
              <w:rPr>
                <w:rStyle w:val="Hipervnculo"/>
                <w:rFonts w:ascii="Calibri Light" w:hAnsi="Calibri Light" w:cs="Calibri Light"/>
                <w:lang w:val="es-ES"/>
              </w:rPr>
              <w:t xml:space="preserve">designada </w:t>
            </w:r>
            <w:r w:rsidRPr="002908F4">
              <w:rPr>
                <w:rFonts w:ascii="Calibri Light" w:eastAsia="Times New Roman" w:hAnsi="Calibri Light" w:cs="Calibri Light"/>
                <w:lang w:val="es-ES"/>
              </w:rPr>
              <w:t xml:space="preserve">para investigar la cuenta, según </w:t>
            </w:r>
            <w:r w:rsidR="009D0D33">
              <w:rPr>
                <w:rFonts w:ascii="Calibri Light" w:eastAsia="Times New Roman" w:hAnsi="Calibri Light" w:cs="Calibri Light"/>
                <w:lang w:val="es-ES"/>
              </w:rPr>
              <w:t xml:space="preserve">la información </w:t>
            </w:r>
            <w:r w:rsidR="009D0D33">
              <w:rPr>
                <w:rFonts w:ascii="Calibri Light" w:eastAsia="Times New Roman" w:hAnsi="Calibri Light" w:cs="Calibri Light"/>
                <w:lang w:val="es-ES"/>
              </w:rPr>
              <w:lastRenderedPageBreak/>
              <w:t>que obra en nuestro poder,</w:t>
            </w:r>
            <w:r w:rsidRPr="002908F4">
              <w:rPr>
                <w:rFonts w:ascii="Calibri Light" w:eastAsia="Times New Roman" w:hAnsi="Calibri Light" w:cs="Calibri Light"/>
                <w:lang w:val="es-ES"/>
              </w:rPr>
              <w:t xml:space="preserve"> la investigación sigue en curso </w:t>
            </w:r>
            <w:hyperlink r:id="rId24" w:history="1">
              <w:r w:rsidRPr="002908F4">
                <w:rPr>
                  <w:rStyle w:val="Hipervnculo"/>
                  <w:rFonts w:ascii="Calibri Light" w:eastAsia="Times New Roman" w:hAnsi="Calibri Light" w:cs="Calibri Light"/>
                  <w:lang w:val="es-ES"/>
                </w:rPr>
                <w:t>15 meses después</w:t>
              </w:r>
            </w:hyperlink>
            <w:r w:rsidRPr="002908F4">
              <w:rPr>
                <w:rFonts w:ascii="Calibri Light" w:eastAsia="Times New Roman" w:hAnsi="Calibri Light" w:cs="Calibri Light"/>
                <w:lang w:val="es-ES"/>
              </w:rPr>
              <w:t>;</w:t>
            </w:r>
          </w:p>
          <w:p w14:paraId="5375D14A" w14:textId="4C7B70F2" w:rsidR="00830DF5" w:rsidRPr="002908F4" w:rsidRDefault="002908F4">
            <w:pPr>
              <w:pStyle w:val="Prrafodelista"/>
              <w:numPr>
                <w:ilvl w:val="0"/>
                <w:numId w:val="1"/>
              </w:numPr>
              <w:ind w:left="306" w:hanging="284"/>
              <w:jc w:val="both"/>
              <w:rPr>
                <w:lang w:val="es-ES"/>
              </w:rPr>
            </w:pPr>
            <w:r w:rsidRPr="002908F4">
              <w:rPr>
                <w:rFonts w:ascii="Calibri Light" w:eastAsia="Times New Roman" w:hAnsi="Calibri Light" w:cs="Calibri Light"/>
                <w:lang w:val="es-ES"/>
              </w:rPr>
              <w:t xml:space="preserve">Octubre de 2019: WD Alemania </w:t>
            </w:r>
            <w:hyperlink r:id="rId25" w:history="1">
              <w:r w:rsidRPr="002908F4">
                <w:rPr>
                  <w:rStyle w:val="Hipervnculo"/>
                  <w:rFonts w:ascii="Calibri Light" w:eastAsia="Times New Roman" w:hAnsi="Calibri Light" w:cs="Calibri Light"/>
                  <w:lang w:val="es-ES"/>
                </w:rPr>
                <w:t xml:space="preserve">nombra a </w:t>
              </w:r>
              <w:r w:rsidR="009D0D33" w:rsidRPr="002908F4">
                <w:rPr>
                  <w:rStyle w:val="Hipervnculo"/>
                  <w:rFonts w:ascii="Calibri Light" w:eastAsia="Times New Roman" w:hAnsi="Calibri Light" w:cs="Calibri Light"/>
                  <w:lang w:val="es-ES"/>
                </w:rPr>
                <w:t>otr</w:t>
              </w:r>
              <w:r w:rsidR="009D0D33">
                <w:rPr>
                  <w:rStyle w:val="Hipervnculo"/>
                  <w:rFonts w:ascii="Calibri Light" w:eastAsia="Times New Roman" w:hAnsi="Calibri Light" w:cs="Calibri Light"/>
                  <w:lang w:val="es-ES"/>
                </w:rPr>
                <w:t>a de las</w:t>
              </w:r>
              <w:r w:rsidR="009D0D33" w:rsidRPr="002908F4">
                <w:rPr>
                  <w:rStyle w:val="Hipervnculo"/>
                  <w:rFonts w:ascii="Calibri Light" w:eastAsia="Times New Roman" w:hAnsi="Calibri Light" w:cs="Calibri Light"/>
                  <w:lang w:val="es-ES"/>
                </w:rPr>
                <w:t xml:space="preserve"> </w:t>
              </w:r>
              <w:r w:rsidRPr="002908F4">
                <w:rPr>
                  <w:rStyle w:val="Hipervnculo"/>
                  <w:rFonts w:ascii="Calibri Light" w:eastAsia="Times New Roman" w:hAnsi="Calibri Light" w:cs="Calibri Light"/>
                  <w:lang w:val="es-ES"/>
                </w:rPr>
                <w:t>“</w:t>
              </w:r>
              <w:r w:rsidR="009D0D33">
                <w:rPr>
                  <w:rStyle w:val="Hipervnculo"/>
                  <w:rFonts w:ascii="Calibri Light" w:eastAsia="Times New Roman" w:hAnsi="Calibri Light" w:cs="Calibri Light"/>
                  <w:lang w:val="es-ES"/>
                </w:rPr>
                <w:t>cuatro grandes</w:t>
              </w:r>
              <w:r w:rsidRPr="002908F4">
                <w:rPr>
                  <w:rStyle w:val="Hipervnculo"/>
                  <w:rFonts w:ascii="Calibri Light" w:eastAsia="Times New Roman" w:hAnsi="Calibri Light" w:cs="Calibri Light"/>
                  <w:lang w:val="es-ES"/>
                </w:rPr>
                <w:t>” fir</w:t>
              </w:r>
              <w:r w:rsidR="009D0D33">
                <w:rPr>
                  <w:rStyle w:val="Hipervnculo"/>
                  <w:rFonts w:ascii="Calibri Light" w:eastAsia="Times New Roman" w:hAnsi="Calibri Light" w:cs="Calibri Light"/>
                  <w:lang w:val="es-ES"/>
                </w:rPr>
                <w:t>mas</w:t>
              </w:r>
            </w:hyperlink>
            <w:r w:rsidR="009D0D33">
              <w:rPr>
                <w:rStyle w:val="Hipervnculo"/>
                <w:rFonts w:ascii="Calibri Light" w:eastAsia="Times New Roman" w:hAnsi="Calibri Light" w:cs="Calibri Light"/>
                <w:lang w:val="es-ES"/>
              </w:rPr>
              <w:t xml:space="preserve"> </w:t>
            </w:r>
            <w:r w:rsidRPr="002908F4">
              <w:rPr>
                <w:rFonts w:ascii="Calibri Light" w:eastAsia="Times New Roman" w:hAnsi="Calibri Light" w:cs="Calibri Light"/>
                <w:lang w:val="es-ES"/>
              </w:rPr>
              <w:t xml:space="preserve">para </w:t>
            </w:r>
            <w:r w:rsidR="009D0D33">
              <w:rPr>
                <w:rFonts w:ascii="Calibri Light" w:eastAsia="Times New Roman" w:hAnsi="Calibri Light" w:cs="Calibri Light"/>
                <w:lang w:val="es-ES"/>
              </w:rPr>
              <w:t xml:space="preserve">que realice </w:t>
            </w:r>
            <w:r w:rsidRPr="002908F4">
              <w:rPr>
                <w:rFonts w:ascii="Calibri Light" w:eastAsia="Times New Roman" w:hAnsi="Calibri Light" w:cs="Calibri Light"/>
                <w:lang w:val="es-ES"/>
              </w:rPr>
              <w:t xml:space="preserve">una auditoría especial, que en abril de 2020 </w:t>
            </w:r>
            <w:r w:rsidR="009D0D33" w:rsidRPr="002908F4">
              <w:rPr>
                <w:rFonts w:ascii="Calibri Light" w:eastAsia="Times New Roman" w:hAnsi="Calibri Light" w:cs="Calibri Light"/>
                <w:lang w:val="es-ES"/>
              </w:rPr>
              <w:t xml:space="preserve">concluye </w:t>
            </w:r>
            <w:r w:rsidRPr="002908F4">
              <w:rPr>
                <w:rFonts w:ascii="Calibri Light" w:eastAsia="Times New Roman" w:hAnsi="Calibri Light" w:cs="Calibri Light"/>
                <w:lang w:val="es-ES"/>
              </w:rPr>
              <w:t xml:space="preserve">que los </w:t>
            </w:r>
            <w:hyperlink r:id="rId26" w:history="1">
              <w:r w:rsidRPr="002908F4">
                <w:rPr>
                  <w:rStyle w:val="Hipervnculo"/>
                  <w:rFonts w:ascii="Calibri Light" w:eastAsia="Times New Roman" w:hAnsi="Calibri Light" w:cs="Calibri Light"/>
                  <w:lang w:val="es-ES"/>
                </w:rPr>
                <w:t xml:space="preserve">"beneficios de terceros" </w:t>
              </w:r>
            </w:hyperlink>
            <w:r w:rsidRPr="002908F4">
              <w:rPr>
                <w:rFonts w:ascii="Calibri Light" w:eastAsia="Times New Roman" w:hAnsi="Calibri Light" w:cs="Calibri Light"/>
                <w:lang w:val="es-ES"/>
              </w:rPr>
              <w:t xml:space="preserve">no pudieron ser comprobados; </w:t>
            </w:r>
            <w:r>
              <w:rPr>
                <w:rStyle w:val="Refdenotaalpie"/>
                <w:rFonts w:ascii="Calibri Light" w:eastAsia="Times New Roman" w:hAnsi="Calibri Light" w:cs="Calibri Light"/>
                <w:lang w:val="en-GB"/>
              </w:rPr>
              <w:footnoteReference w:id="5"/>
            </w:r>
          </w:p>
          <w:p w14:paraId="5375D14B" w14:textId="77777777" w:rsidR="00830DF5" w:rsidRPr="002908F4" w:rsidRDefault="002908F4">
            <w:pPr>
              <w:pStyle w:val="Prrafodelista"/>
              <w:numPr>
                <w:ilvl w:val="0"/>
                <w:numId w:val="1"/>
              </w:numPr>
              <w:ind w:left="306" w:hanging="284"/>
              <w:jc w:val="both"/>
              <w:rPr>
                <w:lang w:val="es-ES"/>
              </w:rPr>
            </w:pPr>
            <w:r w:rsidRPr="002908F4">
              <w:rPr>
                <w:rFonts w:ascii="Calibri Light" w:eastAsia="Times New Roman" w:hAnsi="Calibri Light" w:cs="Calibri Light"/>
                <w:lang w:val="es-ES"/>
              </w:rPr>
              <w:t xml:space="preserve">18 de junio de 2020: el auditor </w:t>
            </w:r>
            <w:hyperlink r:id="rId27" w:history="1">
              <w:r w:rsidRPr="002908F4">
                <w:rPr>
                  <w:rStyle w:val="Hipervnculo"/>
                  <w:rFonts w:ascii="Calibri Light" w:eastAsia="Times New Roman" w:hAnsi="Calibri Light" w:cs="Calibri Light"/>
                  <w:lang w:val="es-ES"/>
                </w:rPr>
                <w:t xml:space="preserve">se niega </w:t>
              </w:r>
            </w:hyperlink>
            <w:r w:rsidRPr="002908F4">
              <w:rPr>
                <w:rFonts w:ascii="Calibri Light" w:eastAsia="Times New Roman" w:hAnsi="Calibri Light" w:cs="Calibri Light"/>
                <w:lang w:val="es-ES"/>
              </w:rPr>
              <w:t>a firmar las cuentas de 2019 alegando que "faltan" 1.900 millones de euros;</w:t>
            </w:r>
          </w:p>
          <w:p w14:paraId="5375D14C" w14:textId="5203E0C3" w:rsidR="00830DF5" w:rsidRPr="002908F4" w:rsidRDefault="002908F4">
            <w:pPr>
              <w:pStyle w:val="Prrafodelista"/>
              <w:numPr>
                <w:ilvl w:val="0"/>
                <w:numId w:val="1"/>
              </w:numPr>
              <w:ind w:left="306" w:hanging="284"/>
              <w:jc w:val="both"/>
              <w:rPr>
                <w:lang w:val="es-ES"/>
              </w:rPr>
            </w:pPr>
            <w:r w:rsidRPr="002908F4">
              <w:rPr>
                <w:rFonts w:ascii="Calibri Light" w:eastAsia="Times New Roman" w:hAnsi="Calibri Light" w:cs="Calibri Light"/>
                <w:lang w:val="es-ES"/>
              </w:rPr>
              <w:t xml:space="preserve">22 de junio de 2020: Wirecard </w:t>
            </w:r>
            <w:hyperlink r:id="rId28" w:anchor=":~:text=FRANKFURT%2FMANILA%20(Reuters)%20%2D,avert%20a%20looming%20cash%20crunch." w:history="1">
              <w:r w:rsidRPr="002908F4">
                <w:rPr>
                  <w:rStyle w:val="Hipervnculo"/>
                  <w:rFonts w:ascii="Calibri Light" w:eastAsia="Times New Roman" w:hAnsi="Calibri Light" w:cs="Calibri Light"/>
                  <w:lang w:val="es-ES"/>
                </w:rPr>
                <w:t xml:space="preserve">advierte </w:t>
              </w:r>
              <w:r w:rsidR="001A1DC2">
                <w:rPr>
                  <w:rStyle w:val="Hipervnculo"/>
                  <w:rFonts w:ascii="Calibri Light" w:eastAsia="Times New Roman" w:hAnsi="Calibri Light" w:cs="Calibri Light"/>
                  <w:lang w:val="es-ES"/>
                </w:rPr>
                <w:t xml:space="preserve">de </w:t>
              </w:r>
              <w:r w:rsidRPr="002908F4">
                <w:rPr>
                  <w:rStyle w:val="Hipervnculo"/>
                  <w:rFonts w:ascii="Calibri Light" w:eastAsia="Times New Roman" w:hAnsi="Calibri Light" w:cs="Calibri Light"/>
                  <w:lang w:val="es-ES"/>
                </w:rPr>
                <w:t xml:space="preserve">que </w:t>
              </w:r>
            </w:hyperlink>
            <w:r w:rsidRPr="002908F4">
              <w:rPr>
                <w:rFonts w:ascii="Calibri Light" w:eastAsia="Times New Roman" w:hAnsi="Calibri Light" w:cs="Calibri Light"/>
                <w:lang w:val="es-ES"/>
              </w:rPr>
              <w:t>los 1.900 millones de euros desaparecidos probablemente nunca existieron;</w:t>
            </w:r>
          </w:p>
          <w:p w14:paraId="5375D14D" w14:textId="37687463" w:rsidR="00830DF5" w:rsidRPr="002908F4" w:rsidRDefault="002908F4">
            <w:pPr>
              <w:pStyle w:val="Prrafodelista"/>
              <w:numPr>
                <w:ilvl w:val="0"/>
                <w:numId w:val="1"/>
              </w:numPr>
              <w:ind w:left="306" w:hanging="284"/>
              <w:jc w:val="both"/>
              <w:rPr>
                <w:lang w:val="es-ES"/>
              </w:rPr>
            </w:pPr>
            <w:r w:rsidRPr="002908F4">
              <w:rPr>
                <w:rFonts w:ascii="Calibri Light" w:eastAsia="Times New Roman" w:hAnsi="Calibri Light" w:cs="Calibri Light"/>
                <w:lang w:val="es-ES"/>
              </w:rPr>
              <w:t xml:space="preserve">25 de junio: Wirecard </w:t>
            </w:r>
            <w:hyperlink r:id="rId29" w:history="1">
              <w:r w:rsidRPr="002908F4">
                <w:rPr>
                  <w:rStyle w:val="Hipervnculo"/>
                  <w:rFonts w:ascii="Calibri Light" w:eastAsia="Times New Roman" w:hAnsi="Calibri Light" w:cs="Calibri Light"/>
                  <w:lang w:val="es-ES"/>
                </w:rPr>
                <w:t>anuncia la solicitud</w:t>
              </w:r>
              <w:r w:rsidR="009D0D33">
                <w:rPr>
                  <w:rStyle w:val="Hipervnculo"/>
                  <w:rFonts w:ascii="Calibri Light" w:eastAsia="Times New Roman" w:hAnsi="Calibri Light" w:cs="Calibri Light"/>
                  <w:lang w:val="es-ES"/>
                </w:rPr>
                <w:t xml:space="preserve"> de declaración</w:t>
              </w:r>
              <w:r w:rsidRPr="002908F4">
                <w:rPr>
                  <w:rStyle w:val="Hipervnculo"/>
                  <w:rFonts w:ascii="Calibri Light" w:eastAsia="Times New Roman" w:hAnsi="Calibri Light" w:cs="Calibri Light"/>
                  <w:lang w:val="es-ES"/>
                </w:rPr>
                <w:t xml:space="preserve"> de insolvencia</w:t>
              </w:r>
            </w:hyperlink>
            <w:r w:rsidRPr="002908F4">
              <w:rPr>
                <w:rFonts w:ascii="Calibri Light" w:eastAsia="Times New Roman" w:hAnsi="Calibri Light" w:cs="Calibri Light"/>
                <w:lang w:val="es-ES"/>
              </w:rPr>
              <w:t>.</w:t>
            </w:r>
          </w:p>
        </w:tc>
      </w:tr>
    </w:tbl>
    <w:p w14:paraId="5375D14F" w14:textId="77777777" w:rsidR="00830DF5" w:rsidRPr="002908F4" w:rsidRDefault="002908F4">
      <w:pPr>
        <w:spacing w:before="240"/>
        <w:jc w:val="both"/>
        <w:rPr>
          <w:rFonts w:ascii="Calibri Light" w:hAnsi="Calibri Light" w:cs="Calibri Light"/>
          <w:color w:val="000000"/>
          <w:lang w:val="es-ES"/>
        </w:rPr>
      </w:pPr>
      <w:r w:rsidRPr="002908F4">
        <w:rPr>
          <w:rFonts w:ascii="Calibri Light" w:hAnsi="Calibri Light" w:cs="Calibri Light"/>
          <w:color w:val="000000"/>
          <w:lang w:val="es-ES"/>
        </w:rPr>
        <w:lastRenderedPageBreak/>
        <w:t>BETTER FINANCE propone varias recomendaciones de política para que las autoridades de la UE saquen lecciones de este terrible caso:</w:t>
      </w:r>
    </w:p>
    <w:p w14:paraId="5375D150" w14:textId="77777777" w:rsidR="00830DF5" w:rsidRPr="002908F4" w:rsidRDefault="002908F4">
      <w:pPr>
        <w:shd w:val="clear" w:color="auto" w:fill="0070C0"/>
        <w:ind w:left="709"/>
        <w:jc w:val="both"/>
        <w:rPr>
          <w:lang w:val="es-ES"/>
        </w:rPr>
      </w:pPr>
      <w:r>
        <w:rPr>
          <w:rFonts w:ascii="Calibri Light" w:hAnsi="Calibri Light" w:cs="Calibri Light"/>
          <w:noProof/>
          <w:color w:val="000000"/>
          <w:lang w:val="ca-ES" w:eastAsia="ca-ES"/>
        </w:rPr>
        <w:drawing>
          <wp:anchor distT="0" distB="0" distL="114300" distR="114300" simplePos="0" relativeHeight="251654656" behindDoc="0" locked="0" layoutInCell="1" allowOverlap="1" wp14:anchorId="5375D143" wp14:editId="5375D144">
            <wp:simplePos x="0" y="0"/>
            <wp:positionH relativeFrom="margin">
              <wp:posOffset>-630</wp:posOffset>
            </wp:positionH>
            <wp:positionV relativeFrom="paragraph">
              <wp:posOffset>45089</wp:posOffset>
            </wp:positionV>
            <wp:extent cx="255903" cy="255903"/>
            <wp:effectExtent l="0" t="0" r="0" b="0"/>
            <wp:wrapThrough wrapText="bothSides">
              <wp:wrapPolygon edited="0">
                <wp:start x="3224" y="0"/>
                <wp:lineTo x="0" y="6448"/>
                <wp:lineTo x="0" y="11284"/>
                <wp:lineTo x="3224" y="19343"/>
                <wp:lineTo x="16119" y="19343"/>
                <wp:lineTo x="19343" y="11284"/>
                <wp:lineTo x="19343" y="6448"/>
                <wp:lineTo x="16119" y="0"/>
                <wp:lineTo x="3224" y="0"/>
              </wp:wrapPolygon>
            </wp:wrapThrough>
            <wp:docPr id="5" name="Graphic 2" descr="Bad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96DAC541-7B7A-43D3-8B79-37D633B846F1}">
                          <asvg:svgBlip xmlns:asvg="http://schemas.microsoft.com/office/drawing/2016/SVG/main" r:embed="rId31"/>
                        </a:ext>
                      </a:extLst>
                    </a:blip>
                    <a:stretch>
                      <a:fillRect/>
                    </a:stretch>
                  </pic:blipFill>
                  <pic:spPr>
                    <a:xfrm>
                      <a:off x="0" y="0"/>
                      <a:ext cx="255903" cy="255903"/>
                    </a:xfrm>
                    <a:prstGeom prst="rect">
                      <a:avLst/>
                    </a:prstGeom>
                    <a:noFill/>
                    <a:ln>
                      <a:noFill/>
                      <a:prstDash/>
                    </a:ln>
                  </pic:spPr>
                </pic:pic>
              </a:graphicData>
            </a:graphic>
          </wp:anchor>
        </w:drawing>
      </w:r>
      <w:r w:rsidRPr="002908F4">
        <w:rPr>
          <w:rFonts w:ascii="Calibri Light" w:hAnsi="Calibri Light" w:cs="Calibri Light"/>
          <w:b/>
          <w:bCs/>
          <w:i/>
          <w:iCs/>
          <w:color w:val="FFFFFF"/>
          <w:lang w:val="es-ES"/>
        </w:rPr>
        <w:tab/>
        <w:t>FALLO DE SUPERVISIÓN: LA NECESIDAD DE UNA REGULACIÓN Y SUPERVISIÓN COHERENTES DE LOS PROVEEDORES DE SERVICIOS FINANCIEROS, SEAN QUIENES SEAN</w:t>
      </w:r>
    </w:p>
    <w:p w14:paraId="5375D151" w14:textId="36A8C61C" w:rsidR="00830DF5" w:rsidRPr="002908F4" w:rsidRDefault="002908F4">
      <w:pPr>
        <w:spacing w:after="120"/>
        <w:jc w:val="both"/>
        <w:rPr>
          <w:lang w:val="es-ES"/>
        </w:rPr>
      </w:pPr>
      <w:r w:rsidRPr="002908F4">
        <w:rPr>
          <w:rFonts w:ascii="Calibri Light" w:hAnsi="Calibri Light" w:cs="Calibri Light"/>
          <w:color w:val="000000"/>
          <w:lang w:val="es-ES"/>
        </w:rPr>
        <w:t xml:space="preserve">Una recomendación clave de BETTER FINANCE desde 2012 es que los marcos reguladores financieros de la UE y nacionales sean coherentes </w:t>
      </w:r>
      <w:r w:rsidRPr="002908F4">
        <w:rPr>
          <w:rFonts w:ascii="Calibri Light" w:hAnsi="Calibri Light" w:cs="Calibri Light"/>
          <w:b/>
          <w:bCs/>
          <w:i/>
          <w:iCs/>
          <w:color w:val="000000"/>
          <w:u w:val="single"/>
          <w:lang w:val="es-ES"/>
        </w:rPr>
        <w:t xml:space="preserve">en cuanto a su alcance y aplicación, sea quien </w:t>
      </w:r>
      <w:r w:rsidRPr="002908F4">
        <w:rPr>
          <w:rFonts w:ascii="Calibri Light" w:hAnsi="Calibri Light" w:cs="Calibri Light"/>
          <w:color w:val="000000"/>
          <w:lang w:val="es-ES"/>
        </w:rPr>
        <w:t xml:space="preserve">sea el proveedor, en la medida en que el </w:t>
      </w:r>
      <w:r w:rsidRPr="002908F4">
        <w:rPr>
          <w:rFonts w:ascii="Calibri Light" w:hAnsi="Calibri Light" w:cs="Calibri Light"/>
          <w:b/>
          <w:bCs/>
          <w:color w:val="000000"/>
          <w:lang w:val="es-ES"/>
        </w:rPr>
        <w:t xml:space="preserve">servicio clave </w:t>
      </w:r>
      <w:r w:rsidR="009D0D33">
        <w:rPr>
          <w:rFonts w:ascii="Calibri Light" w:hAnsi="Calibri Light" w:cs="Calibri Light"/>
          <w:color w:val="000000"/>
          <w:lang w:val="es-ES"/>
        </w:rPr>
        <w:t>prestado</w:t>
      </w:r>
      <w:r w:rsidRPr="002908F4">
        <w:rPr>
          <w:rFonts w:ascii="Calibri Light" w:hAnsi="Calibri Light" w:cs="Calibri Light"/>
          <w:color w:val="000000"/>
          <w:lang w:val="es-ES"/>
        </w:rPr>
        <w:t xml:space="preserve"> sea un servicio financiero.</w:t>
      </w:r>
    </w:p>
    <w:p w14:paraId="5375D152" w14:textId="19E313B1" w:rsidR="00830DF5" w:rsidRPr="002908F4" w:rsidRDefault="002908F4">
      <w:pPr>
        <w:jc w:val="both"/>
        <w:rPr>
          <w:rFonts w:ascii="Calibri Light" w:hAnsi="Calibri Light" w:cs="Calibri Light"/>
          <w:color w:val="000000"/>
          <w:lang w:val="es-ES"/>
        </w:rPr>
      </w:pPr>
      <w:r w:rsidRPr="002908F4">
        <w:rPr>
          <w:rFonts w:ascii="Calibri Light" w:hAnsi="Calibri Light" w:cs="Calibri Light"/>
          <w:color w:val="000000"/>
          <w:lang w:val="es-ES"/>
        </w:rPr>
        <w:t xml:space="preserve">Según nuestra comprensión de los hechos, una de las cuestiones era la limitación de la competencia de la Autoridad de Supervisión Financiera alemana (Bundesanstalt für Finanzdienstleistungsuafsicht - BaFin) para supervisar directamente a Wirecard AG - a diferencia de su plena competencia con respecto a Wirecard Bank AG </w:t>
      </w:r>
      <w:r w:rsidR="009D0D33">
        <w:rPr>
          <w:rFonts w:ascii="Calibri Light" w:hAnsi="Calibri Light" w:cs="Calibri Light"/>
          <w:color w:val="000000"/>
          <w:lang w:val="es-ES"/>
        </w:rPr>
        <w:t>–</w:t>
      </w:r>
      <w:r w:rsidRPr="002908F4">
        <w:rPr>
          <w:rFonts w:ascii="Calibri Light" w:hAnsi="Calibri Light" w:cs="Calibri Light"/>
          <w:color w:val="000000"/>
          <w:lang w:val="es-ES"/>
        </w:rPr>
        <w:t xml:space="preserve"> </w:t>
      </w:r>
      <w:r w:rsidR="009D0D33">
        <w:rPr>
          <w:rFonts w:ascii="Calibri Light" w:hAnsi="Calibri Light" w:cs="Calibri Light"/>
          <w:color w:val="000000"/>
          <w:lang w:val="es-ES"/>
        </w:rPr>
        <w:t xml:space="preserve">lo </w:t>
      </w:r>
      <w:r w:rsidRPr="002908F4">
        <w:rPr>
          <w:rFonts w:ascii="Calibri Light" w:hAnsi="Calibri Light" w:cs="Calibri Light"/>
          <w:color w:val="000000"/>
          <w:lang w:val="es-ES"/>
        </w:rPr>
        <w:t xml:space="preserve">que </w:t>
      </w:r>
      <w:r w:rsidR="009D0D33" w:rsidRPr="002908F4">
        <w:rPr>
          <w:rFonts w:ascii="Calibri Light" w:hAnsi="Calibri Light" w:cs="Calibri Light"/>
          <w:color w:val="000000"/>
          <w:lang w:val="es-ES"/>
        </w:rPr>
        <w:t>pu</w:t>
      </w:r>
      <w:r w:rsidR="009D0D33">
        <w:rPr>
          <w:rFonts w:ascii="Calibri Light" w:hAnsi="Calibri Light" w:cs="Calibri Light"/>
          <w:color w:val="000000"/>
          <w:lang w:val="es-ES"/>
        </w:rPr>
        <w:t>do</w:t>
      </w:r>
      <w:r w:rsidR="009D0D33" w:rsidRPr="002908F4">
        <w:rPr>
          <w:rFonts w:ascii="Calibri Light" w:hAnsi="Calibri Light" w:cs="Calibri Light"/>
          <w:color w:val="000000"/>
          <w:lang w:val="es-ES"/>
        </w:rPr>
        <w:t xml:space="preserve"> </w:t>
      </w:r>
      <w:r w:rsidR="009D0D33">
        <w:rPr>
          <w:rFonts w:ascii="Calibri Light" w:hAnsi="Calibri Light" w:cs="Calibri Light"/>
          <w:color w:val="000000"/>
          <w:lang w:val="es-ES"/>
        </w:rPr>
        <w:t>retrasar</w:t>
      </w:r>
      <w:r w:rsidRPr="002908F4">
        <w:rPr>
          <w:rFonts w:ascii="Calibri Light" w:hAnsi="Calibri Light" w:cs="Calibri Light"/>
          <w:color w:val="000000"/>
          <w:lang w:val="es-ES"/>
        </w:rPr>
        <w:t xml:space="preserve"> la acción en este caso.</w:t>
      </w:r>
    </w:p>
    <w:p w14:paraId="5375D153" w14:textId="507C6057" w:rsidR="00830DF5" w:rsidRPr="002908F4" w:rsidRDefault="002908F4">
      <w:pPr>
        <w:spacing w:after="120"/>
        <w:jc w:val="both"/>
        <w:rPr>
          <w:lang w:val="es-ES"/>
        </w:rPr>
      </w:pPr>
      <w:r w:rsidRPr="002908F4">
        <w:rPr>
          <w:rFonts w:ascii="Calibri Light" w:hAnsi="Calibri Light" w:cs="Calibri Light"/>
          <w:color w:val="000000"/>
          <w:lang w:val="es-ES"/>
        </w:rPr>
        <w:t>Sobre la base de las investigaciones de BETTER FINANCE,</w:t>
      </w:r>
      <w:r>
        <w:rPr>
          <w:rStyle w:val="Refdenotaalpie"/>
          <w:rFonts w:ascii="Calibri Light" w:hAnsi="Calibri Light" w:cs="Calibri Light"/>
          <w:color w:val="000000"/>
        </w:rPr>
        <w:footnoteReference w:id="6"/>
      </w:r>
      <w:r w:rsidR="009D0D33">
        <w:rPr>
          <w:rFonts w:ascii="Calibri Light" w:hAnsi="Calibri Light" w:cs="Calibri Light"/>
          <w:color w:val="000000"/>
          <w:lang w:val="es-ES"/>
        </w:rPr>
        <w:t xml:space="preserve"> </w:t>
      </w:r>
      <w:r w:rsidRPr="002908F4">
        <w:rPr>
          <w:rFonts w:ascii="Calibri Light" w:hAnsi="Calibri Light" w:cs="Calibri Light"/>
          <w:color w:val="000000"/>
          <w:lang w:val="es-ES"/>
        </w:rPr>
        <w:t>en muchos casos las empresas europeas de FinTech son tratadas como empresas de "tecnología"</w:t>
      </w:r>
      <w:r w:rsidR="009D0D33">
        <w:rPr>
          <w:rFonts w:ascii="Calibri Light" w:hAnsi="Calibri Light" w:cs="Calibri Light"/>
          <w:color w:val="000000"/>
          <w:lang w:val="es-ES"/>
        </w:rPr>
        <w:t xml:space="preserve"> en lugar de</w:t>
      </w:r>
      <w:r w:rsidRPr="002908F4">
        <w:rPr>
          <w:rFonts w:ascii="Calibri Light" w:hAnsi="Calibri Light" w:cs="Calibri Light"/>
          <w:color w:val="000000"/>
          <w:lang w:val="es-ES"/>
        </w:rPr>
        <w:t xml:space="preserve"> proveedores de servicios financieros, incluso cuando están debidamente registradas como intermediarios financieros (por ejemplo, asesores, empresas de inversión) ante las autoridades de supervisión competentes.</w:t>
      </w:r>
    </w:p>
    <w:p w14:paraId="5375D154" w14:textId="4E88B728" w:rsidR="00830DF5" w:rsidRPr="002908F4" w:rsidRDefault="002908F4">
      <w:pPr>
        <w:jc w:val="both"/>
        <w:rPr>
          <w:rFonts w:ascii="Calibri Light" w:hAnsi="Calibri Light" w:cs="Calibri Light"/>
          <w:color w:val="000000"/>
          <w:lang w:val="es-ES"/>
        </w:rPr>
      </w:pPr>
      <w:r w:rsidRPr="002908F4">
        <w:rPr>
          <w:rFonts w:ascii="Calibri Light" w:hAnsi="Calibri Light" w:cs="Calibri Light"/>
          <w:color w:val="000000"/>
          <w:lang w:val="es-ES"/>
        </w:rPr>
        <w:t xml:space="preserve">La reglamentación y la supervisión de la UE y </w:t>
      </w:r>
      <w:r w:rsidR="00896710">
        <w:rPr>
          <w:rFonts w:ascii="Calibri Light" w:hAnsi="Calibri Light" w:cs="Calibri Light"/>
          <w:color w:val="000000"/>
          <w:lang w:val="es-ES"/>
        </w:rPr>
        <w:t xml:space="preserve">de </w:t>
      </w:r>
      <w:r w:rsidRPr="002908F4">
        <w:rPr>
          <w:rFonts w:ascii="Calibri Light" w:hAnsi="Calibri Light" w:cs="Calibri Light"/>
          <w:color w:val="000000"/>
          <w:lang w:val="es-ES"/>
        </w:rPr>
        <w:t xml:space="preserve">los Estados miembros deben aplicarse de manera coherente a todos los proveedores que actúan en un mercado específico (servicios de pago en este caso), independientemente de la categoría del proveedor (ya sea un banco o un no banco en este caso), a fin de garantizar que </w:t>
      </w:r>
      <w:r w:rsidR="00896710">
        <w:rPr>
          <w:rFonts w:ascii="Calibri Light" w:hAnsi="Calibri Light" w:cs="Calibri Light"/>
          <w:color w:val="000000"/>
          <w:lang w:val="es-ES"/>
        </w:rPr>
        <w:t>la</w:t>
      </w:r>
      <w:r w:rsidRPr="002908F4">
        <w:rPr>
          <w:rFonts w:ascii="Calibri Light" w:hAnsi="Calibri Light" w:cs="Calibri Light"/>
          <w:color w:val="000000"/>
          <w:lang w:val="es-ES"/>
        </w:rPr>
        <w:t xml:space="preserve"> reglamentación financiera que tanto ha costado conseguir produzca los efectos previstos. La AEVM debe garantizar la aplicación coherente de las normas de la UE en todos los Estados miembros.</w:t>
      </w:r>
    </w:p>
    <w:p w14:paraId="5375D155" w14:textId="77777777" w:rsidR="00830DF5" w:rsidRPr="002908F4" w:rsidRDefault="002908F4">
      <w:pPr>
        <w:shd w:val="clear" w:color="auto" w:fill="0070C0"/>
        <w:ind w:left="709"/>
        <w:jc w:val="both"/>
        <w:rPr>
          <w:lang w:val="es-ES"/>
        </w:rPr>
      </w:pPr>
      <w:r w:rsidRPr="002908F4">
        <w:rPr>
          <w:rFonts w:ascii="Calibri Light" w:hAnsi="Calibri Light" w:cs="Calibri Light"/>
          <w:b/>
          <w:bCs/>
          <w:i/>
          <w:iCs/>
          <w:color w:val="FFFFFF"/>
          <w:lang w:val="es-ES"/>
        </w:rPr>
        <w:t xml:space="preserve">FALLO DE </w:t>
      </w:r>
      <w:r w:rsidRPr="002908F4">
        <w:rPr>
          <w:rFonts w:ascii="Calibri Light" w:hAnsi="Calibri Light" w:cs="Calibri Light"/>
          <w:b/>
          <w:bCs/>
          <w:i/>
          <w:iCs/>
          <w:color w:val="FFFFFF"/>
          <w:lang w:val="es-ES"/>
        </w:rPr>
        <w:tab/>
        <w:t>SUPERVISIÓN:</w:t>
      </w:r>
      <w:r>
        <w:rPr>
          <w:rFonts w:ascii="Calibri Light" w:hAnsi="Calibri Light" w:cs="Calibri Light"/>
          <w:noProof/>
          <w:color w:val="FFFFFF"/>
          <w:lang w:val="ca-ES" w:eastAsia="ca-ES"/>
        </w:rPr>
        <w:drawing>
          <wp:anchor distT="0" distB="0" distL="114300" distR="114300" simplePos="0" relativeHeight="251655680" behindDoc="0" locked="0" layoutInCell="1" allowOverlap="1" wp14:anchorId="5375D145" wp14:editId="5375D146">
            <wp:simplePos x="0" y="0"/>
            <wp:positionH relativeFrom="margin">
              <wp:posOffset>0</wp:posOffset>
            </wp:positionH>
            <wp:positionV relativeFrom="paragraph">
              <wp:posOffset>48892</wp:posOffset>
            </wp:positionV>
            <wp:extent cx="276221" cy="276221"/>
            <wp:effectExtent l="0" t="0" r="0" b="0"/>
            <wp:wrapThrough wrapText="bothSides">
              <wp:wrapPolygon edited="0">
                <wp:start x="2986" y="0"/>
                <wp:lineTo x="0" y="5972"/>
                <wp:lineTo x="0" y="11945"/>
                <wp:lineTo x="4479" y="19410"/>
                <wp:lineTo x="16424" y="19410"/>
                <wp:lineTo x="19410" y="11945"/>
                <wp:lineTo x="19410" y="5972"/>
                <wp:lineTo x="14931" y="0"/>
                <wp:lineTo x="2986" y="0"/>
              </wp:wrapPolygon>
            </wp:wrapThrough>
            <wp:docPr id="6" name="Graphic 3" descr="Bad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asvg="http://schemas.microsoft.com/office/drawing/2016/SVG/main" r:embed="rId33"/>
                        </a:ext>
                      </a:extLst>
                    </a:blip>
                    <a:stretch>
                      <a:fillRect/>
                    </a:stretch>
                  </pic:blipFill>
                  <pic:spPr>
                    <a:xfrm>
                      <a:off x="0" y="0"/>
                      <a:ext cx="276221" cy="276221"/>
                    </a:xfrm>
                    <a:prstGeom prst="rect">
                      <a:avLst/>
                    </a:prstGeom>
                    <a:noFill/>
                    <a:ln>
                      <a:noFill/>
                      <a:prstDash/>
                    </a:ln>
                  </pic:spPr>
                </pic:pic>
              </a:graphicData>
            </a:graphic>
          </wp:anchor>
        </w:drawing>
      </w:r>
      <w:r w:rsidRPr="002908F4">
        <w:rPr>
          <w:rFonts w:ascii="Calibri Light" w:hAnsi="Calibri Light" w:cs="Calibri Light"/>
          <w:b/>
          <w:bCs/>
          <w:i/>
          <w:iCs/>
          <w:color w:val="FFFFFF"/>
          <w:lang w:val="es-ES"/>
        </w:rPr>
        <w:tab/>
        <w:t xml:space="preserve"> INVESTIGAR EL FUNCIONAMIENTO Y LOS OBJETIVOS DE LOS SUPERVISORES PÚBLICOS EN ESTE CASO </w:t>
      </w:r>
    </w:p>
    <w:p w14:paraId="5375D156" w14:textId="77777777" w:rsidR="00830DF5" w:rsidRPr="002908F4" w:rsidRDefault="002908F4">
      <w:pPr>
        <w:spacing w:after="120"/>
        <w:jc w:val="both"/>
        <w:rPr>
          <w:rFonts w:ascii="Calibri Light" w:eastAsia="Times New Roman" w:hAnsi="Calibri Light" w:cs="Calibri Light"/>
          <w:lang w:val="es-ES"/>
        </w:rPr>
      </w:pPr>
      <w:r w:rsidRPr="002908F4">
        <w:rPr>
          <w:rFonts w:ascii="Calibri Light" w:eastAsia="Times New Roman" w:hAnsi="Calibri Light" w:cs="Calibri Light"/>
          <w:lang w:val="es-ES"/>
        </w:rPr>
        <w:t>¿Tiene el organismo de control financiero alemán las facultades, el gobierno y los objetivos estatutarios necesarios para evitar esos enormes fallos del mercado?</w:t>
      </w:r>
    </w:p>
    <w:p w14:paraId="5375D157" w14:textId="6DE7534B" w:rsidR="00830DF5" w:rsidRPr="002908F4" w:rsidRDefault="002908F4">
      <w:pPr>
        <w:spacing w:after="120"/>
        <w:jc w:val="both"/>
        <w:rPr>
          <w:lang w:val="es-ES"/>
        </w:rPr>
      </w:pPr>
      <w:r w:rsidRPr="002908F4">
        <w:rPr>
          <w:rFonts w:ascii="Calibri Light" w:eastAsia="Times New Roman" w:hAnsi="Calibri Light" w:cs="Calibri Light"/>
          <w:lang w:val="es-ES"/>
        </w:rPr>
        <w:t xml:space="preserve">BETTER FINANCE felicita a la Comisión Europea por haber solicitado con prontitud </w:t>
      </w:r>
      <w:r w:rsidRPr="002908F4">
        <w:rPr>
          <w:rFonts w:ascii="Calibri Light" w:hAnsi="Calibri Light" w:cs="Calibri Light"/>
          <w:lang w:val="es-ES"/>
        </w:rPr>
        <w:t xml:space="preserve">un análisis que </w:t>
      </w:r>
      <w:r w:rsidRPr="002908F4">
        <w:rPr>
          <w:rFonts w:ascii="Calibri Light" w:hAnsi="Calibri Light" w:cs="Calibri Light"/>
          <w:color w:val="0A0A0A"/>
          <w:lang w:val="es-ES"/>
        </w:rPr>
        <w:t>"</w:t>
      </w:r>
      <w:r w:rsidRPr="002908F4">
        <w:rPr>
          <w:rFonts w:ascii="Calibri Light" w:hAnsi="Calibri Light" w:cs="Calibri Light"/>
          <w:i/>
          <w:iCs/>
          <w:color w:val="0A0A0A"/>
          <w:lang w:val="es-ES"/>
        </w:rPr>
        <w:t xml:space="preserve">debería tratar de establecer una descripción y </w:t>
      </w:r>
      <w:r w:rsidR="00896710">
        <w:rPr>
          <w:rFonts w:ascii="Calibri Light" w:hAnsi="Calibri Light" w:cs="Calibri Light"/>
          <w:i/>
          <w:iCs/>
          <w:color w:val="0A0A0A"/>
          <w:lang w:val="es-ES"/>
        </w:rPr>
        <w:t xml:space="preserve">una </w:t>
      </w:r>
      <w:r w:rsidRPr="002908F4">
        <w:rPr>
          <w:rFonts w:ascii="Calibri Light" w:hAnsi="Calibri Light" w:cs="Calibri Light"/>
          <w:i/>
          <w:iCs/>
          <w:color w:val="0A0A0A"/>
          <w:lang w:val="es-ES"/>
        </w:rPr>
        <w:t xml:space="preserve">evaluación exhaustiva de los acontecimientos, incluida la adecuación de la respuesta de la supervisión a estos acontecimientos", </w:t>
      </w:r>
      <w:r w:rsidRPr="002908F4">
        <w:rPr>
          <w:rFonts w:ascii="Calibri Light" w:hAnsi="Calibri Light" w:cs="Calibri Light"/>
          <w:color w:val="0A0A0A"/>
          <w:lang w:val="es-ES"/>
        </w:rPr>
        <w:t xml:space="preserve">y espera que pronto dé respuestas. </w:t>
      </w:r>
    </w:p>
    <w:p w14:paraId="5375D158" w14:textId="77777777" w:rsidR="00830DF5" w:rsidRPr="002908F4" w:rsidRDefault="002908F4">
      <w:pPr>
        <w:shd w:val="clear" w:color="auto" w:fill="0070C0"/>
        <w:jc w:val="both"/>
        <w:rPr>
          <w:lang w:val="es-ES"/>
        </w:rPr>
      </w:pPr>
      <w:r>
        <w:rPr>
          <w:rFonts w:ascii="Calibri Light" w:hAnsi="Calibri Light" w:cs="Calibri Light"/>
          <w:b/>
          <w:bCs/>
          <w:i/>
          <w:iCs/>
          <w:noProof/>
          <w:color w:val="FFFFFF"/>
          <w:lang w:val="ca-ES" w:eastAsia="ca-ES"/>
        </w:rPr>
        <w:lastRenderedPageBreak/>
        <w:drawing>
          <wp:anchor distT="0" distB="0" distL="114300" distR="114300" simplePos="0" relativeHeight="251656704" behindDoc="0" locked="0" layoutInCell="1" allowOverlap="1" wp14:anchorId="5375D147" wp14:editId="5375D148">
            <wp:simplePos x="0" y="0"/>
            <wp:positionH relativeFrom="margin">
              <wp:align>left</wp:align>
            </wp:positionH>
            <wp:positionV relativeFrom="paragraph">
              <wp:posOffset>43177</wp:posOffset>
            </wp:positionV>
            <wp:extent cx="271147" cy="271147"/>
            <wp:effectExtent l="0" t="0" r="0" b="0"/>
            <wp:wrapThrough wrapText="bothSides">
              <wp:wrapPolygon edited="0">
                <wp:start x="3035" y="0"/>
                <wp:lineTo x="0" y="6070"/>
                <wp:lineTo x="0" y="12141"/>
                <wp:lineTo x="4553" y="19728"/>
                <wp:lineTo x="16693" y="19728"/>
                <wp:lineTo x="19728" y="12141"/>
                <wp:lineTo x="19728" y="6070"/>
                <wp:lineTo x="15176" y="0"/>
                <wp:lineTo x="3035" y="0"/>
              </wp:wrapPolygon>
            </wp:wrapThrough>
            <wp:docPr id="7" name="Graphic 4" descr="Bad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asvg="http://schemas.microsoft.com/office/drawing/2016/SVG/main" r:embed="rId35"/>
                        </a:ext>
                      </a:extLst>
                    </a:blip>
                    <a:stretch>
                      <a:fillRect/>
                    </a:stretch>
                  </pic:blipFill>
                  <pic:spPr>
                    <a:xfrm>
                      <a:off x="0" y="0"/>
                      <a:ext cx="271147" cy="271147"/>
                    </a:xfrm>
                    <a:prstGeom prst="rect">
                      <a:avLst/>
                    </a:prstGeom>
                    <a:noFill/>
                    <a:ln>
                      <a:noFill/>
                      <a:prstDash/>
                    </a:ln>
                  </pic:spPr>
                </pic:pic>
              </a:graphicData>
            </a:graphic>
          </wp:anchor>
        </w:drawing>
      </w:r>
      <w:r w:rsidRPr="002908F4">
        <w:rPr>
          <w:rFonts w:ascii="Calibri Light" w:hAnsi="Calibri Light" w:cs="Calibri Light"/>
          <w:b/>
          <w:bCs/>
          <w:i/>
          <w:iCs/>
          <w:color w:val="FFFFFF"/>
          <w:lang w:val="es-ES"/>
        </w:rPr>
        <w:t xml:space="preserve">FALLO DE LA AUDITORÍA EXTERNA: INVESTIGAR EL FALLO DE LA EMPRESA DE AUDITORÍA Y EL IMPACTO DE LAS "RELACIONES A LARGO PLAZO" DE LAS EMPRESAS DE AUDITORÍA CON LAS EMPRESAS QUE COTIZAN EN BOLSA </w:t>
      </w:r>
    </w:p>
    <w:p w14:paraId="5375D159" w14:textId="099CBBA7" w:rsidR="00830DF5" w:rsidRPr="002908F4" w:rsidRDefault="002908F4">
      <w:pPr>
        <w:spacing w:after="120"/>
        <w:jc w:val="both"/>
        <w:rPr>
          <w:rFonts w:ascii="Calibri Light" w:hAnsi="Calibri Light" w:cs="Calibri Light"/>
          <w:color w:val="000000"/>
          <w:lang w:val="es-ES"/>
        </w:rPr>
      </w:pPr>
      <w:r w:rsidRPr="002908F4">
        <w:rPr>
          <w:rFonts w:ascii="Calibri Light" w:hAnsi="Calibri Light" w:cs="Calibri Light"/>
          <w:color w:val="000000"/>
          <w:lang w:val="es-ES"/>
        </w:rPr>
        <w:t>La Autoridad Europea de Valores y Mercados (AEVM) debería coordinar un ejercicio de supervisión con las autoridades nacionales de supervisión (</w:t>
      </w:r>
      <w:r w:rsidR="00896710">
        <w:rPr>
          <w:rFonts w:ascii="Calibri Light" w:hAnsi="Calibri Light" w:cs="Calibri Light"/>
          <w:color w:val="000000"/>
          <w:lang w:val="es-ES"/>
        </w:rPr>
        <w:t>NSA</w:t>
      </w:r>
      <w:r w:rsidRPr="002908F4">
        <w:rPr>
          <w:rFonts w:ascii="Calibri Light" w:hAnsi="Calibri Light" w:cs="Calibri Light"/>
          <w:color w:val="000000"/>
          <w:lang w:val="es-ES"/>
        </w:rPr>
        <w:t xml:space="preserve">) en la relación, a menudo demasiado larga y estrecha, de las empresas de auditoría con sus "clientes", es decir, las empresas que cotizan en </w:t>
      </w:r>
      <w:r w:rsidR="00896710">
        <w:rPr>
          <w:rFonts w:ascii="Calibri Light" w:hAnsi="Calibri Light" w:cs="Calibri Light"/>
          <w:color w:val="000000"/>
          <w:lang w:val="es-ES"/>
        </w:rPr>
        <w:t>B</w:t>
      </w:r>
      <w:r w:rsidRPr="002908F4">
        <w:rPr>
          <w:rFonts w:ascii="Calibri Light" w:hAnsi="Calibri Light" w:cs="Calibri Light"/>
          <w:color w:val="000000"/>
          <w:lang w:val="es-ES"/>
        </w:rPr>
        <w:t>olsa y a las que se debería controlar mediante auditorías financieras.</w:t>
      </w:r>
    </w:p>
    <w:p w14:paraId="5375D15A" w14:textId="247AEB30" w:rsidR="00830DF5" w:rsidRPr="002908F4" w:rsidRDefault="002908F4">
      <w:pPr>
        <w:jc w:val="both"/>
        <w:rPr>
          <w:lang w:val="es-ES"/>
        </w:rPr>
      </w:pPr>
      <w:r>
        <w:rPr>
          <w:rFonts w:ascii="Calibri Light" w:hAnsi="Calibri Light" w:cs="Calibri Light"/>
          <w:noProof/>
          <w:color w:val="0070C0"/>
          <w:lang w:val="ca-ES" w:eastAsia="ca-ES"/>
        </w:rPr>
        <w:drawing>
          <wp:anchor distT="0" distB="0" distL="114300" distR="114300" simplePos="0" relativeHeight="251657728" behindDoc="0" locked="0" layoutInCell="1" allowOverlap="1" wp14:anchorId="5375D149" wp14:editId="5375D14A">
            <wp:simplePos x="0" y="0"/>
            <wp:positionH relativeFrom="margin">
              <wp:posOffset>0</wp:posOffset>
            </wp:positionH>
            <wp:positionV relativeFrom="paragraph">
              <wp:posOffset>617220</wp:posOffset>
            </wp:positionV>
            <wp:extent cx="271147" cy="271147"/>
            <wp:effectExtent l="0" t="0" r="0" b="0"/>
            <wp:wrapThrough wrapText="bothSides">
              <wp:wrapPolygon edited="0">
                <wp:start x="3035" y="0"/>
                <wp:lineTo x="0" y="6070"/>
                <wp:lineTo x="0" y="12141"/>
                <wp:lineTo x="4553" y="19728"/>
                <wp:lineTo x="16693" y="19728"/>
                <wp:lineTo x="19728" y="12141"/>
                <wp:lineTo x="19728" y="6070"/>
                <wp:lineTo x="15176" y="0"/>
                <wp:lineTo x="3035" y="0"/>
              </wp:wrapPolygon>
            </wp:wrapThrough>
            <wp:docPr id="8" name="Graphic 5" descr="Bad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asvg="http://schemas.microsoft.com/office/drawing/2016/SVG/main" r:embed="rId37"/>
                        </a:ext>
                      </a:extLst>
                    </a:blip>
                    <a:stretch>
                      <a:fillRect/>
                    </a:stretch>
                  </pic:blipFill>
                  <pic:spPr>
                    <a:xfrm>
                      <a:off x="0" y="0"/>
                      <a:ext cx="271147" cy="271147"/>
                    </a:xfrm>
                    <a:prstGeom prst="rect">
                      <a:avLst/>
                    </a:prstGeom>
                    <a:noFill/>
                    <a:ln>
                      <a:noFill/>
                      <a:prstDash/>
                    </a:ln>
                  </pic:spPr>
                </pic:pic>
              </a:graphicData>
            </a:graphic>
          </wp:anchor>
        </w:drawing>
      </w:r>
      <w:r w:rsidRPr="002908F4">
        <w:rPr>
          <w:rFonts w:ascii="Calibri Light" w:hAnsi="Calibri Light" w:cs="Calibri Light"/>
          <w:color w:val="000000"/>
          <w:lang w:val="es-ES"/>
        </w:rPr>
        <w:t xml:space="preserve">Aunque la información disponible no es suficiente para determinar </w:t>
      </w:r>
      <w:r w:rsidR="00896710">
        <w:rPr>
          <w:rFonts w:ascii="Calibri Light" w:hAnsi="Calibri Light" w:cs="Calibri Light"/>
          <w:color w:val="000000"/>
          <w:lang w:val="es-ES"/>
        </w:rPr>
        <w:t>la responsabilidad</w:t>
      </w:r>
      <w:r w:rsidRPr="002908F4">
        <w:rPr>
          <w:rFonts w:ascii="Calibri Light" w:hAnsi="Calibri Light" w:cs="Calibri Light"/>
          <w:color w:val="000000"/>
          <w:lang w:val="es-ES"/>
        </w:rPr>
        <w:t xml:space="preserve"> del auditor </w:t>
      </w:r>
      <w:r w:rsidR="00896710">
        <w:rPr>
          <w:rFonts w:ascii="Calibri Light" w:hAnsi="Calibri Light" w:cs="Calibri Light"/>
          <w:color w:val="000000"/>
          <w:lang w:val="es-ES"/>
        </w:rPr>
        <w:t>durante</w:t>
      </w:r>
      <w:r w:rsidR="00896710" w:rsidRPr="002908F4">
        <w:rPr>
          <w:rFonts w:ascii="Calibri Light" w:hAnsi="Calibri Light" w:cs="Calibri Light"/>
          <w:color w:val="000000"/>
          <w:lang w:val="es-ES"/>
        </w:rPr>
        <w:t xml:space="preserve"> </w:t>
      </w:r>
      <w:r w:rsidRPr="002908F4">
        <w:rPr>
          <w:rFonts w:ascii="Calibri Light" w:hAnsi="Calibri Light" w:cs="Calibri Light"/>
          <w:color w:val="000000"/>
          <w:lang w:val="es-ES"/>
        </w:rPr>
        <w:t xml:space="preserve">12 años, </w:t>
      </w:r>
      <w:r w:rsidR="00896710" w:rsidRPr="002908F4">
        <w:rPr>
          <w:rFonts w:ascii="Calibri Light" w:hAnsi="Calibri Light" w:cs="Calibri Light"/>
          <w:color w:val="000000"/>
          <w:lang w:val="es-ES"/>
        </w:rPr>
        <w:t xml:space="preserve">BETTER FINANCE ha puesto de relieve desde 2012 </w:t>
      </w:r>
      <w:r w:rsidRPr="002908F4">
        <w:rPr>
          <w:rFonts w:ascii="Calibri Light" w:hAnsi="Calibri Light" w:cs="Calibri Light"/>
          <w:color w:val="000000"/>
          <w:lang w:val="es-ES"/>
        </w:rPr>
        <w:t xml:space="preserve">la </w:t>
      </w:r>
      <w:r w:rsidR="00896710">
        <w:rPr>
          <w:rFonts w:ascii="Calibri Light" w:hAnsi="Calibri Light" w:cs="Calibri Light"/>
          <w:color w:val="000000"/>
          <w:lang w:val="es-ES"/>
        </w:rPr>
        <w:t xml:space="preserve">necesidad de la </w:t>
      </w:r>
      <w:r w:rsidRPr="002908F4">
        <w:rPr>
          <w:rFonts w:ascii="Calibri Light" w:hAnsi="Calibri Light" w:cs="Calibri Light"/>
          <w:color w:val="000000"/>
          <w:lang w:val="es-ES"/>
        </w:rPr>
        <w:t xml:space="preserve">reforma de la auditoría </w:t>
      </w:r>
      <w:r w:rsidR="00896710">
        <w:rPr>
          <w:rFonts w:ascii="Calibri Light" w:hAnsi="Calibri Light" w:cs="Calibri Light"/>
          <w:color w:val="000000"/>
          <w:lang w:val="es-ES"/>
        </w:rPr>
        <w:t>en</w:t>
      </w:r>
      <w:r w:rsidR="00896710" w:rsidRPr="002908F4">
        <w:rPr>
          <w:rFonts w:ascii="Calibri Light" w:hAnsi="Calibri Light" w:cs="Calibri Light"/>
          <w:color w:val="000000"/>
          <w:lang w:val="es-ES"/>
        </w:rPr>
        <w:t xml:space="preserve"> </w:t>
      </w:r>
      <w:r w:rsidRPr="002908F4">
        <w:rPr>
          <w:rFonts w:ascii="Calibri Light" w:hAnsi="Calibri Light" w:cs="Calibri Light"/>
          <w:color w:val="000000"/>
          <w:lang w:val="es-ES"/>
        </w:rPr>
        <w:t xml:space="preserve">la UE </w:t>
      </w:r>
      <w:r w:rsidR="00896710">
        <w:rPr>
          <w:rFonts w:ascii="Calibri Light" w:hAnsi="Calibri Light" w:cs="Calibri Light"/>
          <w:color w:val="000000"/>
          <w:lang w:val="es-ES"/>
        </w:rPr>
        <w:t>con el objetivo de</w:t>
      </w:r>
      <w:r w:rsidRPr="002908F4">
        <w:rPr>
          <w:rFonts w:ascii="Calibri Light" w:hAnsi="Calibri Light" w:cs="Calibri Light"/>
          <w:color w:val="000000"/>
          <w:lang w:val="es-ES"/>
        </w:rPr>
        <w:t xml:space="preserve"> garantizar que la auditoría, en particular la auditoría financiera, siga siendo verdaderamente imparcial e independiente de la empresa auditada.</w:t>
      </w:r>
    </w:p>
    <w:p w14:paraId="5375D15B" w14:textId="1F8AEAF0" w:rsidR="00830DF5" w:rsidRPr="002908F4" w:rsidRDefault="002908F4">
      <w:pPr>
        <w:shd w:val="clear" w:color="auto" w:fill="0070C0"/>
        <w:ind w:left="709"/>
        <w:jc w:val="both"/>
        <w:rPr>
          <w:rFonts w:ascii="Calibri Light" w:hAnsi="Calibri Light" w:cs="Calibri Light"/>
          <w:b/>
          <w:bCs/>
          <w:i/>
          <w:iCs/>
          <w:color w:val="FFFFFF"/>
          <w:lang w:val="es-ES"/>
        </w:rPr>
      </w:pPr>
      <w:r w:rsidRPr="002908F4">
        <w:rPr>
          <w:rFonts w:ascii="Calibri Light" w:hAnsi="Calibri Light" w:cs="Calibri Light"/>
          <w:b/>
          <w:bCs/>
          <w:i/>
          <w:iCs/>
          <w:color w:val="FFFFFF"/>
          <w:lang w:val="es-ES"/>
        </w:rPr>
        <w:t xml:space="preserve">EL FRACASO DE LA </w:t>
      </w:r>
      <w:r w:rsidR="00896710">
        <w:rPr>
          <w:rFonts w:ascii="Calibri Light" w:hAnsi="Calibri Light" w:cs="Calibri Light"/>
          <w:b/>
          <w:bCs/>
          <w:i/>
          <w:iCs/>
          <w:color w:val="FFFFFF"/>
          <w:lang w:val="es-ES"/>
        </w:rPr>
        <w:t>GOBERNABILIDAD CORPORATIVA</w:t>
      </w:r>
      <w:r w:rsidRPr="002908F4">
        <w:rPr>
          <w:rFonts w:ascii="Calibri Light" w:hAnsi="Calibri Light" w:cs="Calibri Light"/>
          <w:b/>
          <w:bCs/>
          <w:i/>
          <w:iCs/>
          <w:color w:val="FFFFFF"/>
          <w:lang w:val="es-ES"/>
        </w:rPr>
        <w:t xml:space="preserve">: REVISAR LAS NORMAS DE </w:t>
      </w:r>
      <w:r w:rsidR="00896710">
        <w:rPr>
          <w:rFonts w:ascii="Calibri Light" w:hAnsi="Calibri Light" w:cs="Calibri Light"/>
          <w:b/>
          <w:bCs/>
          <w:i/>
          <w:iCs/>
          <w:color w:val="FFFFFF"/>
          <w:lang w:val="es-ES"/>
        </w:rPr>
        <w:t>GOBERNABILIDAD CORPORATIVA</w:t>
      </w:r>
    </w:p>
    <w:p w14:paraId="5375D15C" w14:textId="76EBCECD" w:rsidR="00830DF5" w:rsidRPr="002908F4" w:rsidRDefault="002908F4">
      <w:pPr>
        <w:jc w:val="both"/>
        <w:rPr>
          <w:rFonts w:ascii="Calibri Light" w:hAnsi="Calibri Light" w:cs="Calibri Light"/>
          <w:color w:val="000000"/>
          <w:lang w:val="es-ES"/>
        </w:rPr>
      </w:pPr>
      <w:r w:rsidRPr="002908F4">
        <w:rPr>
          <w:rFonts w:ascii="Calibri Light" w:hAnsi="Calibri Light" w:cs="Calibri Light"/>
          <w:color w:val="000000"/>
          <w:lang w:val="es-ES"/>
        </w:rPr>
        <w:t xml:space="preserve">Aunque hasta la fecha no se ha demostrado la responsabilidad de los directivos de Wirecard AG, ni la información disponible es suficiente para deducirla razonablemente, el hecho de que casi una cuarta parte del total del balance de la empresa estuviera presuntamente depositada en cuentas de garantía bloqueadas opacas en la región de </w:t>
      </w:r>
      <w:r w:rsidR="00896710">
        <w:rPr>
          <w:rFonts w:ascii="Calibri Light" w:hAnsi="Calibri Light" w:cs="Calibri Light"/>
          <w:color w:val="000000"/>
          <w:lang w:val="es-ES"/>
        </w:rPr>
        <w:t>Asia-</w:t>
      </w:r>
      <w:r w:rsidRPr="002908F4">
        <w:rPr>
          <w:rFonts w:ascii="Calibri Light" w:hAnsi="Calibri Light" w:cs="Calibri Light"/>
          <w:color w:val="000000"/>
          <w:lang w:val="es-ES"/>
        </w:rPr>
        <w:t xml:space="preserve">Pacífico debería haber despertado sospechas al menos en el Consejo de Administración de dicha empresa, </w:t>
      </w:r>
      <w:r w:rsidR="00896710">
        <w:rPr>
          <w:rFonts w:ascii="Calibri Light" w:hAnsi="Calibri Light" w:cs="Calibri Light"/>
          <w:color w:val="000000"/>
          <w:lang w:val="es-ES"/>
        </w:rPr>
        <w:t>sobre todo teniendo en cuenta</w:t>
      </w:r>
      <w:r w:rsidRPr="002908F4">
        <w:rPr>
          <w:rFonts w:ascii="Calibri Light" w:hAnsi="Calibri Light" w:cs="Calibri Light"/>
          <w:color w:val="000000"/>
          <w:lang w:val="es-ES"/>
        </w:rPr>
        <w:t xml:space="preserve"> sus obligaciones en materia de gestión de riesgos.</w:t>
      </w:r>
    </w:p>
    <w:p w14:paraId="5375D15D" w14:textId="1C2C5BB5" w:rsidR="00830DF5" w:rsidRPr="002908F4" w:rsidRDefault="002908F4">
      <w:pPr>
        <w:jc w:val="both"/>
        <w:rPr>
          <w:lang w:val="es-ES"/>
        </w:rPr>
      </w:pPr>
      <w:r>
        <w:rPr>
          <w:rFonts w:ascii="Calibri Light" w:hAnsi="Calibri Light" w:cs="Calibri Light"/>
          <w:b/>
          <w:bCs/>
          <w:i/>
          <w:iCs/>
          <w:noProof/>
          <w:color w:val="FFFFFF"/>
          <w:lang w:val="ca-ES" w:eastAsia="ca-ES"/>
        </w:rPr>
        <w:drawing>
          <wp:anchor distT="0" distB="0" distL="114300" distR="114300" simplePos="0" relativeHeight="251658752" behindDoc="0" locked="0" layoutInCell="1" allowOverlap="1" wp14:anchorId="5375D14B" wp14:editId="5375D14C">
            <wp:simplePos x="0" y="0"/>
            <wp:positionH relativeFrom="margin">
              <wp:posOffset>-5715</wp:posOffset>
            </wp:positionH>
            <wp:positionV relativeFrom="paragraph">
              <wp:posOffset>6986</wp:posOffset>
            </wp:positionV>
            <wp:extent cx="271147" cy="271147"/>
            <wp:effectExtent l="0" t="0" r="0" b="0"/>
            <wp:wrapThrough wrapText="bothSides">
              <wp:wrapPolygon edited="0">
                <wp:start x="3035" y="0"/>
                <wp:lineTo x="0" y="6070"/>
                <wp:lineTo x="0" y="12141"/>
                <wp:lineTo x="4553" y="19728"/>
                <wp:lineTo x="16693" y="19728"/>
                <wp:lineTo x="19728" y="12141"/>
                <wp:lineTo x="19728" y="6070"/>
                <wp:lineTo x="15176" y="0"/>
                <wp:lineTo x="3035" y="0"/>
              </wp:wrapPolygon>
            </wp:wrapThrough>
            <wp:docPr id="9" name="Graphic 6" descr="Bad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asvg="http://schemas.microsoft.com/office/drawing/2016/SVG/main" r:embed="rId39"/>
                        </a:ext>
                      </a:extLst>
                    </a:blip>
                    <a:stretch>
                      <a:fillRect/>
                    </a:stretch>
                  </pic:blipFill>
                  <pic:spPr>
                    <a:xfrm>
                      <a:off x="0" y="0"/>
                      <a:ext cx="271147" cy="271147"/>
                    </a:xfrm>
                    <a:prstGeom prst="rect">
                      <a:avLst/>
                    </a:prstGeom>
                    <a:noFill/>
                    <a:ln>
                      <a:noFill/>
                      <a:prstDash/>
                    </a:ln>
                  </pic:spPr>
                </pic:pic>
              </a:graphicData>
            </a:graphic>
          </wp:anchor>
        </w:drawing>
      </w:r>
      <w:r w:rsidRPr="002908F4">
        <w:rPr>
          <w:rFonts w:ascii="Calibri Light" w:eastAsia="Times New Roman" w:hAnsi="Calibri Light" w:cs="Calibri Light"/>
          <w:b/>
          <w:bCs/>
          <w:i/>
          <w:iCs/>
          <w:color w:val="FFFFFF"/>
          <w:shd w:val="clear" w:color="auto" w:fill="0070C0"/>
          <w:lang w:val="es-ES"/>
        </w:rPr>
        <w:t xml:space="preserve">INDEMNIZACIÓN DE LAS VÍCTIMAS: DEJAR DE DISCRIMINAR A LOS INVERSORES </w:t>
      </w:r>
      <w:r w:rsidR="00896710">
        <w:rPr>
          <w:rFonts w:ascii="Calibri Light" w:eastAsia="Times New Roman" w:hAnsi="Calibri Light" w:cs="Calibri Light"/>
          <w:b/>
          <w:bCs/>
          <w:i/>
          <w:iCs/>
          <w:color w:val="FFFFFF"/>
          <w:shd w:val="clear" w:color="auto" w:fill="0070C0"/>
          <w:lang w:val="es-ES"/>
        </w:rPr>
        <w:t>PRIVADOS</w:t>
      </w:r>
      <w:r w:rsidR="00896710" w:rsidRPr="002908F4">
        <w:rPr>
          <w:rFonts w:ascii="Calibri Light" w:eastAsia="Times New Roman" w:hAnsi="Calibri Light" w:cs="Calibri Light"/>
          <w:b/>
          <w:bCs/>
          <w:i/>
          <w:iCs/>
          <w:color w:val="FFFFFF"/>
          <w:shd w:val="clear" w:color="auto" w:fill="0070C0"/>
          <w:lang w:val="es-ES"/>
        </w:rPr>
        <w:t xml:space="preserve"> </w:t>
      </w:r>
      <w:r w:rsidRPr="002908F4">
        <w:rPr>
          <w:rFonts w:ascii="Calibri Light" w:eastAsia="Times New Roman" w:hAnsi="Calibri Light" w:cs="Calibri Light"/>
          <w:b/>
          <w:bCs/>
          <w:i/>
          <w:iCs/>
          <w:color w:val="FFFFFF"/>
          <w:shd w:val="clear" w:color="auto" w:fill="0070C0"/>
          <w:lang w:val="es-ES"/>
        </w:rPr>
        <w:t xml:space="preserve">EN EL PROYECTO DE NORMAS DE LA UE SOBRE </w:t>
      </w:r>
      <w:r w:rsidR="00896710">
        <w:rPr>
          <w:rFonts w:ascii="Calibri Light" w:eastAsia="Times New Roman" w:hAnsi="Calibri Light" w:cs="Calibri Light"/>
          <w:b/>
          <w:bCs/>
          <w:i/>
          <w:iCs/>
          <w:color w:val="FFFFFF"/>
          <w:shd w:val="clear" w:color="auto" w:fill="0070C0"/>
          <w:lang w:val="es-ES"/>
        </w:rPr>
        <w:t xml:space="preserve"> EL RECURSO COLECTIVO</w:t>
      </w:r>
    </w:p>
    <w:p w14:paraId="5375D15E" w14:textId="27DEE91A" w:rsidR="00830DF5" w:rsidRPr="002908F4" w:rsidRDefault="002908F4">
      <w:pPr>
        <w:jc w:val="both"/>
        <w:rPr>
          <w:lang w:val="es-ES"/>
        </w:rPr>
      </w:pPr>
      <w:r>
        <w:rPr>
          <w:rFonts w:ascii="Calibri Light" w:hAnsi="Calibri Light" w:cs="Calibri Light"/>
          <w:b/>
          <w:bCs/>
          <w:i/>
          <w:iCs/>
          <w:noProof/>
          <w:color w:val="FFFFFF"/>
          <w:lang w:val="ca-ES" w:eastAsia="ca-ES"/>
        </w:rPr>
        <w:drawing>
          <wp:anchor distT="0" distB="0" distL="114300" distR="114300" simplePos="0" relativeHeight="251659776" behindDoc="0" locked="0" layoutInCell="1" allowOverlap="1" wp14:anchorId="5375D14D" wp14:editId="5375D14E">
            <wp:simplePos x="0" y="0"/>
            <wp:positionH relativeFrom="margin">
              <wp:posOffset>0</wp:posOffset>
            </wp:positionH>
            <wp:positionV relativeFrom="paragraph">
              <wp:posOffset>1508760</wp:posOffset>
            </wp:positionV>
            <wp:extent cx="295278" cy="295278"/>
            <wp:effectExtent l="0" t="0" r="9522" b="9522"/>
            <wp:wrapSquare wrapText="bothSides"/>
            <wp:docPr id="10" name="Graphic 9" descr="Bad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asvg="http://schemas.microsoft.com/office/drawing/2016/SVG/main" r:embed="rId41"/>
                        </a:ext>
                      </a:extLst>
                    </a:blip>
                    <a:stretch>
                      <a:fillRect/>
                    </a:stretch>
                  </pic:blipFill>
                  <pic:spPr>
                    <a:xfrm>
                      <a:off x="0" y="0"/>
                      <a:ext cx="295278" cy="295278"/>
                    </a:xfrm>
                    <a:prstGeom prst="rect">
                      <a:avLst/>
                    </a:prstGeom>
                    <a:noFill/>
                    <a:ln>
                      <a:noFill/>
                      <a:prstDash/>
                    </a:ln>
                  </pic:spPr>
                </pic:pic>
              </a:graphicData>
            </a:graphic>
          </wp:anchor>
        </w:drawing>
      </w:r>
      <w:r w:rsidRPr="002908F4">
        <w:rPr>
          <w:rFonts w:ascii="Calibri Light" w:eastAsia="Times New Roman" w:hAnsi="Calibri Light" w:cs="Calibri Light"/>
          <w:lang w:val="es-ES"/>
        </w:rPr>
        <w:t xml:space="preserve">Salvo en los Países Bajos, </w:t>
      </w:r>
      <w:r w:rsidRPr="002908F4">
        <w:rPr>
          <w:rFonts w:ascii="Calibri Light" w:hAnsi="Calibri Light" w:cs="Calibri Light"/>
          <w:color w:val="000000"/>
          <w:lang w:val="es-ES"/>
        </w:rPr>
        <w:t xml:space="preserve">Europa siempre ha mostrado una negligencia </w:t>
      </w:r>
      <w:r w:rsidRPr="002908F4">
        <w:rPr>
          <w:rFonts w:ascii="Calibri Light" w:eastAsia="Times New Roman" w:hAnsi="Calibri Light" w:cs="Calibri Light"/>
          <w:lang w:val="es-ES"/>
        </w:rPr>
        <w:t xml:space="preserve">benigna hacia las víctimas de tales abusos: los inversores y los ahorradores de pensiones que dependen de ellos, mientras que al mismo tiempo se pregunta por qué no confían en los mercados financieros. </w:t>
      </w:r>
      <w:r w:rsidRPr="002908F4">
        <w:rPr>
          <w:rFonts w:ascii="Calibri Light" w:hAnsi="Calibri Light" w:cs="Calibri Light"/>
          <w:color w:val="000000"/>
          <w:lang w:val="es-ES"/>
        </w:rPr>
        <w:t xml:space="preserve">El actual proyecto de </w:t>
      </w:r>
      <w:r w:rsidRPr="002908F4">
        <w:rPr>
          <w:rFonts w:ascii="Calibri Light" w:hAnsi="Calibri Light" w:cs="Calibri Light"/>
          <w:lang w:val="es-ES"/>
        </w:rPr>
        <w:t>"</w:t>
      </w:r>
      <w:r w:rsidRPr="002908F4">
        <w:rPr>
          <w:rFonts w:ascii="Calibri Light" w:hAnsi="Calibri Light" w:cs="Calibri Light"/>
          <w:i/>
          <w:iCs/>
          <w:lang w:val="es-ES"/>
        </w:rPr>
        <w:t>Directiva sobre acciones representativas para la protección de los intereses colectivos de los consumidores</w:t>
      </w:r>
      <w:r w:rsidRPr="002908F4">
        <w:rPr>
          <w:rFonts w:ascii="Calibri Light" w:hAnsi="Calibri Light" w:cs="Calibri Light"/>
          <w:lang w:val="es-ES"/>
        </w:rPr>
        <w:t xml:space="preserve">" </w:t>
      </w:r>
      <w:r w:rsidRPr="002908F4">
        <w:rPr>
          <w:rFonts w:ascii="Calibri Light" w:hAnsi="Calibri Light" w:cs="Calibri Light"/>
          <w:color w:val="000000"/>
          <w:lang w:val="es-ES"/>
        </w:rPr>
        <w:t xml:space="preserve">excluye de nuevo de su ámbito de aplicación a los inversores </w:t>
      </w:r>
      <w:r w:rsidR="00896710">
        <w:rPr>
          <w:rFonts w:ascii="Calibri Light" w:hAnsi="Calibri Light" w:cs="Calibri Light"/>
          <w:color w:val="000000"/>
          <w:lang w:val="es-ES"/>
        </w:rPr>
        <w:t>privados</w:t>
      </w:r>
      <w:r w:rsidR="00896710" w:rsidRPr="002908F4">
        <w:rPr>
          <w:rFonts w:ascii="Calibri Light" w:hAnsi="Calibri Light" w:cs="Calibri Light"/>
          <w:color w:val="000000"/>
          <w:lang w:val="es-ES"/>
        </w:rPr>
        <w:t xml:space="preserve"> </w:t>
      </w:r>
      <w:r w:rsidRPr="002908F4">
        <w:rPr>
          <w:rFonts w:ascii="Calibri Light" w:hAnsi="Calibri Light" w:cs="Calibri Light"/>
          <w:color w:val="000000"/>
          <w:lang w:val="es-ES"/>
        </w:rPr>
        <w:t xml:space="preserve">no profesionales en </w:t>
      </w:r>
      <w:r w:rsidR="00896710">
        <w:rPr>
          <w:rFonts w:ascii="Calibri Light" w:hAnsi="Calibri Light" w:cs="Calibri Light"/>
          <w:color w:val="000000"/>
          <w:lang w:val="es-ES"/>
        </w:rPr>
        <w:t>valores</w:t>
      </w:r>
      <w:r w:rsidRPr="002908F4">
        <w:rPr>
          <w:rFonts w:ascii="Calibri Light" w:hAnsi="Calibri Light" w:cs="Calibri Light"/>
          <w:color w:val="000000"/>
          <w:lang w:val="es-ES"/>
        </w:rPr>
        <w:t xml:space="preserve">, discriminándolos frente a los que invierten en productos de inversión empaquetados intermediados, como los fondos y los seguros de vida. El Foro de Alto Nivel de la Unión de Mercados de Capitales acaba de recomendar que se vuelva a incluir en su ámbito a los inversores en </w:t>
      </w:r>
      <w:r w:rsidR="00896710">
        <w:rPr>
          <w:rFonts w:ascii="Calibri Light" w:hAnsi="Calibri Light" w:cs="Calibri Light"/>
          <w:color w:val="000000"/>
          <w:lang w:val="es-ES"/>
        </w:rPr>
        <w:t>valores</w:t>
      </w:r>
      <w:r w:rsidRPr="002908F4">
        <w:rPr>
          <w:rFonts w:ascii="Calibri Light" w:hAnsi="Calibri Light" w:cs="Calibri Light"/>
          <w:color w:val="000000"/>
          <w:lang w:val="es-ES"/>
        </w:rPr>
        <w:t xml:space="preserve">. ¿Es el caso Wirecard otro recordatorio suficiente de que sería bastante </w:t>
      </w:r>
      <w:r w:rsidR="00896710">
        <w:rPr>
          <w:rFonts w:ascii="Calibri Light" w:hAnsi="Calibri Light" w:cs="Calibri Light"/>
          <w:color w:val="000000"/>
          <w:lang w:val="es-ES"/>
        </w:rPr>
        <w:t>conveniente</w:t>
      </w:r>
      <w:r w:rsidR="00896710" w:rsidRPr="002908F4">
        <w:rPr>
          <w:rFonts w:ascii="Calibri Light" w:hAnsi="Calibri Light" w:cs="Calibri Light"/>
          <w:color w:val="000000"/>
          <w:lang w:val="es-ES"/>
        </w:rPr>
        <w:t xml:space="preserve"> </w:t>
      </w:r>
      <w:r w:rsidRPr="002908F4">
        <w:rPr>
          <w:rFonts w:ascii="Calibri Light" w:hAnsi="Calibri Light" w:cs="Calibri Light"/>
          <w:color w:val="000000"/>
          <w:lang w:val="es-ES"/>
        </w:rPr>
        <w:t>que las autoridades de la Unión Europea siguieran su ejemplo?</w:t>
      </w:r>
    </w:p>
    <w:p w14:paraId="5375D15F" w14:textId="2DA151DA" w:rsidR="00830DF5" w:rsidRPr="002908F4" w:rsidRDefault="002908F4">
      <w:pPr>
        <w:shd w:val="clear" w:color="auto" w:fill="0070C0"/>
        <w:jc w:val="both"/>
        <w:rPr>
          <w:rFonts w:ascii="Calibri Light" w:hAnsi="Calibri Light" w:cs="Calibri Light"/>
          <w:b/>
          <w:bCs/>
          <w:i/>
          <w:iCs/>
          <w:color w:val="FFFFFF"/>
          <w:lang w:val="es-ES"/>
        </w:rPr>
      </w:pPr>
      <w:r w:rsidRPr="002908F4">
        <w:rPr>
          <w:rFonts w:ascii="Calibri Light" w:hAnsi="Calibri Light" w:cs="Calibri Light"/>
          <w:b/>
          <w:bCs/>
          <w:i/>
          <w:iCs/>
          <w:color w:val="FFFFFF"/>
          <w:lang w:val="es-ES"/>
        </w:rPr>
        <w:t xml:space="preserve">LOS ÍNDICES DE LAS BOLSAS DE VALORES DEBEN SER MÁS FLEXIBLES EN LA INCLUSIÓN Y EXCLUSIÓN DE </w:t>
      </w:r>
      <w:r w:rsidR="00896710">
        <w:rPr>
          <w:rFonts w:ascii="Calibri Light" w:hAnsi="Calibri Light" w:cs="Calibri Light"/>
          <w:b/>
          <w:bCs/>
          <w:i/>
          <w:iCs/>
          <w:color w:val="FFFFFF"/>
          <w:lang w:val="es-ES"/>
        </w:rPr>
        <w:t>LA COTIZACIÓN</w:t>
      </w:r>
    </w:p>
    <w:p w14:paraId="5375D160" w14:textId="77777777" w:rsidR="00830DF5" w:rsidRPr="002908F4" w:rsidRDefault="002908F4">
      <w:pPr>
        <w:spacing w:after="120"/>
        <w:jc w:val="both"/>
        <w:rPr>
          <w:rFonts w:ascii="Calibri Light" w:hAnsi="Calibri Light" w:cs="Calibri Light"/>
          <w:color w:val="000000"/>
          <w:lang w:val="es-ES"/>
        </w:rPr>
      </w:pPr>
      <w:r w:rsidRPr="002908F4">
        <w:rPr>
          <w:rFonts w:ascii="Calibri Light" w:hAnsi="Calibri Light" w:cs="Calibri Light"/>
          <w:color w:val="000000"/>
          <w:lang w:val="es-ES"/>
        </w:rPr>
        <w:t>Wirecard AG desplazó a otra gran empresa del índice de valores alemanes (DAX 30) cuando alcanzó una capitalización bursátil de 22.500 millones de euros en 2018. Sin embargo, hoy en día, Wirecard AG sigue formando parte de ese índice, al menos hasta la revisión de septiembre de 2020.</w:t>
      </w:r>
    </w:p>
    <w:p w14:paraId="5375D161" w14:textId="18636E17" w:rsidR="00830DF5" w:rsidRPr="002908F4" w:rsidRDefault="002908F4">
      <w:pPr>
        <w:spacing w:after="120"/>
        <w:jc w:val="both"/>
        <w:rPr>
          <w:rFonts w:ascii="Calibri Light" w:hAnsi="Calibri Light" w:cs="Calibri Light"/>
          <w:color w:val="000000"/>
          <w:lang w:val="es-ES"/>
        </w:rPr>
      </w:pPr>
      <w:r w:rsidRPr="002908F4">
        <w:rPr>
          <w:rFonts w:ascii="Calibri Light" w:hAnsi="Calibri Light" w:cs="Calibri Light"/>
          <w:color w:val="000000"/>
          <w:lang w:val="es-ES"/>
        </w:rPr>
        <w:t xml:space="preserve">Esto es de gran importancia para los inversores </w:t>
      </w:r>
      <w:r w:rsidR="00896710">
        <w:rPr>
          <w:rFonts w:ascii="Calibri Light" w:hAnsi="Calibri Light" w:cs="Calibri Light"/>
          <w:color w:val="000000"/>
          <w:lang w:val="es-ES"/>
        </w:rPr>
        <w:t>privados</w:t>
      </w:r>
      <w:r w:rsidR="00896710" w:rsidRPr="002908F4">
        <w:rPr>
          <w:rFonts w:ascii="Calibri Light" w:hAnsi="Calibri Light" w:cs="Calibri Light"/>
          <w:color w:val="000000"/>
          <w:lang w:val="es-ES"/>
        </w:rPr>
        <w:t xml:space="preserve"> </w:t>
      </w:r>
      <w:r w:rsidRPr="002908F4">
        <w:rPr>
          <w:rFonts w:ascii="Calibri Light" w:hAnsi="Calibri Light" w:cs="Calibri Light"/>
          <w:color w:val="000000"/>
          <w:lang w:val="es-ES"/>
        </w:rPr>
        <w:t xml:space="preserve">no profesionales, ya que muchos productos financieros "minoristas", como los OICVM, los ETF de los OICVM, los fondos de pensiones o los productos de seguros de vida multiopcionales (IBIP), siguen y pretenden replicar los componentes de los índices </w:t>
      </w:r>
      <w:r w:rsidR="00896710">
        <w:rPr>
          <w:rFonts w:ascii="Calibri Light" w:hAnsi="Calibri Light" w:cs="Calibri Light"/>
          <w:color w:val="000000"/>
          <w:lang w:val="es-ES"/>
        </w:rPr>
        <w:t>blue chip</w:t>
      </w:r>
      <w:r w:rsidRPr="002908F4">
        <w:rPr>
          <w:rFonts w:ascii="Calibri Light" w:hAnsi="Calibri Light" w:cs="Calibri Light"/>
          <w:color w:val="000000"/>
          <w:lang w:val="es-ES"/>
        </w:rPr>
        <w:t>, dejándolos por el momento con pérdidas considerables.</w:t>
      </w:r>
    </w:p>
    <w:p w14:paraId="5375D162" w14:textId="39832725" w:rsidR="00830DF5" w:rsidRPr="002908F4" w:rsidRDefault="002908F4">
      <w:pPr>
        <w:jc w:val="both"/>
        <w:rPr>
          <w:rFonts w:ascii="Calibri Light" w:hAnsi="Calibri Light" w:cs="Calibri Light"/>
          <w:color w:val="000000"/>
          <w:lang w:val="es-ES"/>
        </w:rPr>
      </w:pPr>
      <w:r w:rsidRPr="002908F4">
        <w:rPr>
          <w:rFonts w:ascii="Calibri Light" w:hAnsi="Calibri Light" w:cs="Calibri Light"/>
          <w:color w:val="000000"/>
          <w:lang w:val="es-ES"/>
        </w:rPr>
        <w:t xml:space="preserve">Aunque no todos los grupos de intercambio de valores tienen las mismas normas, la reglamentación financiera de la Unión Europea debería armonizar la obligación de los operadores de </w:t>
      </w:r>
      <w:r w:rsidR="00896710">
        <w:rPr>
          <w:rFonts w:ascii="Calibri Light" w:hAnsi="Calibri Light" w:cs="Calibri Light"/>
          <w:color w:val="000000"/>
          <w:lang w:val="es-ES"/>
        </w:rPr>
        <w:t xml:space="preserve">sistemas de </w:t>
      </w:r>
      <w:r w:rsidR="00896710">
        <w:rPr>
          <w:rFonts w:ascii="Calibri Light" w:hAnsi="Calibri Light" w:cs="Calibri Light"/>
          <w:color w:val="000000"/>
          <w:lang w:val="es-ES"/>
        </w:rPr>
        <w:lastRenderedPageBreak/>
        <w:t>negociación</w:t>
      </w:r>
      <w:r w:rsidRPr="002908F4">
        <w:rPr>
          <w:rFonts w:ascii="Calibri Light" w:hAnsi="Calibri Light" w:cs="Calibri Light"/>
          <w:color w:val="000000"/>
          <w:lang w:val="es-ES"/>
        </w:rPr>
        <w:t xml:space="preserve"> de permitir la exclusión inmediata de las empresas en los casos en que, por diversas razones, se produzca una caída significativa del precio de las acciones.</w:t>
      </w:r>
    </w:p>
    <w:p w14:paraId="5375D163" w14:textId="77777777" w:rsidR="00830DF5" w:rsidRPr="002908F4" w:rsidRDefault="00830DF5">
      <w:pPr>
        <w:jc w:val="both"/>
        <w:rPr>
          <w:rFonts w:ascii="Calibri Light" w:hAnsi="Calibri Light" w:cs="Calibri Light"/>
          <w:color w:val="000000"/>
          <w:lang w:val="es-ES"/>
        </w:rPr>
      </w:pPr>
    </w:p>
    <w:p w14:paraId="5375D164" w14:textId="420D7D61" w:rsidR="00830DF5" w:rsidRPr="002908F4" w:rsidRDefault="002908F4">
      <w:pPr>
        <w:jc w:val="both"/>
        <w:rPr>
          <w:lang w:val="es-ES"/>
        </w:rPr>
      </w:pPr>
      <w:r w:rsidRPr="002908F4">
        <w:rPr>
          <w:rFonts w:ascii="Calibri Light" w:hAnsi="Calibri Light" w:cs="Calibri Light"/>
          <w:color w:val="000000"/>
          <w:lang w:val="es-ES"/>
        </w:rPr>
        <w:t>Guillaume Prache, Director General de BETTER FINANCE, advirtió que "</w:t>
      </w:r>
      <w:r w:rsidRPr="002908F4">
        <w:rPr>
          <w:rFonts w:ascii="Calibri Light" w:hAnsi="Calibri Light" w:cs="Calibri Light"/>
          <w:i/>
          <w:iCs/>
          <w:color w:val="000000"/>
          <w:lang w:val="es-ES"/>
        </w:rPr>
        <w:t xml:space="preserve">Wirecard es un caso terrible de fallos acumulados por los supervisores, auditores y órganos </w:t>
      </w:r>
      <w:r w:rsidR="00D06452">
        <w:rPr>
          <w:rFonts w:ascii="Calibri Light" w:hAnsi="Calibri Light" w:cs="Calibri Light"/>
          <w:i/>
          <w:iCs/>
          <w:color w:val="000000"/>
          <w:lang w:val="es-ES"/>
        </w:rPr>
        <w:t>rectores</w:t>
      </w:r>
      <w:r w:rsidRPr="002908F4">
        <w:rPr>
          <w:rFonts w:ascii="Calibri Light" w:hAnsi="Calibri Light" w:cs="Calibri Light"/>
          <w:i/>
          <w:iCs/>
          <w:color w:val="000000"/>
          <w:lang w:val="es-ES"/>
        </w:rPr>
        <w:t xml:space="preserve"> de las empresas, lo que resulta en un enorme perjuicio para los inversores no informados y los ahorradores de pensiones". Los responsables políticos de la UE deben sacar </w:t>
      </w:r>
      <w:r w:rsidR="00D06452">
        <w:rPr>
          <w:rFonts w:ascii="Calibri Light" w:hAnsi="Calibri Light" w:cs="Calibri Light"/>
          <w:i/>
          <w:iCs/>
          <w:color w:val="000000"/>
          <w:lang w:val="es-ES"/>
        </w:rPr>
        <w:t>lección de ello</w:t>
      </w:r>
      <w:r w:rsidRPr="002908F4">
        <w:rPr>
          <w:rFonts w:ascii="Calibri Light" w:hAnsi="Calibri Light" w:cs="Calibri Light"/>
          <w:i/>
          <w:iCs/>
          <w:color w:val="000000"/>
          <w:lang w:val="es-ES"/>
        </w:rPr>
        <w:t xml:space="preserve"> y actuar con rapidez. De lo contrario, sus objetivos declarados de lograr una Unión de Mercados de Capitales que "trabaje para la</w:t>
      </w:r>
      <w:r w:rsidR="00D06452">
        <w:rPr>
          <w:rFonts w:ascii="Calibri Light" w:hAnsi="Calibri Light" w:cs="Calibri Light"/>
          <w:i/>
          <w:iCs/>
          <w:color w:val="000000"/>
          <w:lang w:val="es-ES"/>
        </w:rPr>
        <w:t>s</w:t>
      </w:r>
      <w:r w:rsidRPr="002908F4">
        <w:rPr>
          <w:rFonts w:ascii="Calibri Light" w:hAnsi="Calibri Light" w:cs="Calibri Light"/>
          <w:i/>
          <w:iCs/>
          <w:color w:val="000000"/>
          <w:lang w:val="es-ES"/>
        </w:rPr>
        <w:t xml:space="preserve"> </w:t>
      </w:r>
      <w:r w:rsidR="00D06452">
        <w:rPr>
          <w:rFonts w:ascii="Calibri Light" w:hAnsi="Calibri Light" w:cs="Calibri Light"/>
          <w:i/>
          <w:iCs/>
          <w:color w:val="000000"/>
          <w:lang w:val="es-ES"/>
        </w:rPr>
        <w:t>personas</w:t>
      </w:r>
      <w:r w:rsidRPr="002908F4">
        <w:rPr>
          <w:rFonts w:ascii="Calibri Light" w:hAnsi="Calibri Light" w:cs="Calibri Light"/>
          <w:i/>
          <w:iCs/>
          <w:color w:val="000000"/>
          <w:lang w:val="es-ES"/>
        </w:rPr>
        <w:t xml:space="preserve">" y de restablecer la confianza de los inversores seguirán siendo </w:t>
      </w:r>
      <w:r w:rsidR="00D06452">
        <w:rPr>
          <w:rFonts w:ascii="Calibri Light" w:hAnsi="Calibri Light" w:cs="Calibri Light"/>
          <w:i/>
          <w:iCs/>
          <w:color w:val="000000"/>
          <w:lang w:val="es-ES"/>
        </w:rPr>
        <w:t xml:space="preserve">meras </w:t>
      </w:r>
      <w:r w:rsidRPr="002908F4">
        <w:rPr>
          <w:rFonts w:ascii="Calibri Light" w:hAnsi="Calibri Light" w:cs="Calibri Light"/>
          <w:i/>
          <w:iCs/>
          <w:color w:val="000000"/>
          <w:lang w:val="es-ES"/>
        </w:rPr>
        <w:t>ilusiones</w:t>
      </w:r>
      <w:r w:rsidRPr="002908F4">
        <w:rPr>
          <w:rFonts w:ascii="Calibri Light" w:hAnsi="Calibri Light" w:cs="Calibri Light"/>
          <w:color w:val="000000"/>
          <w:lang w:val="es-ES"/>
        </w:rPr>
        <w:t>".</w:t>
      </w:r>
    </w:p>
    <w:p w14:paraId="5375D165" w14:textId="77777777" w:rsidR="00830DF5" w:rsidRPr="002908F4" w:rsidRDefault="00830DF5">
      <w:pPr>
        <w:jc w:val="both"/>
        <w:rPr>
          <w:rFonts w:ascii="Calibri Light" w:hAnsi="Calibri Light" w:cs="Calibri Light"/>
          <w:color w:val="000000"/>
          <w:lang w:val="es-ES"/>
        </w:rPr>
      </w:pPr>
    </w:p>
    <w:p w14:paraId="5375D166" w14:textId="77777777" w:rsidR="00830DF5" w:rsidRPr="002908F4" w:rsidRDefault="002908F4">
      <w:pPr>
        <w:spacing w:after="0" w:line="240" w:lineRule="auto"/>
        <w:jc w:val="center"/>
        <w:rPr>
          <w:rFonts w:ascii="Calibri Light" w:hAnsi="Calibri Light" w:cs="Calibri Light"/>
          <w:lang w:val="es-ES"/>
        </w:rPr>
      </w:pPr>
      <w:r w:rsidRPr="002908F4">
        <w:rPr>
          <w:rFonts w:ascii="Calibri Light" w:hAnsi="Calibri Light" w:cs="Calibri Light"/>
          <w:lang w:val="es-ES"/>
        </w:rPr>
        <w:t>***</w:t>
      </w:r>
    </w:p>
    <w:p w14:paraId="5375D167" w14:textId="1A8FC350" w:rsidR="00830DF5" w:rsidRPr="002908F4" w:rsidRDefault="002908F4">
      <w:pPr>
        <w:pStyle w:val="Textoindependiente"/>
        <w:spacing w:before="120" w:after="0" w:line="240" w:lineRule="auto"/>
        <w:jc w:val="center"/>
        <w:rPr>
          <w:lang w:val="es-ES"/>
        </w:rPr>
      </w:pPr>
      <w:r w:rsidRPr="002908F4">
        <w:rPr>
          <w:rFonts w:ascii="Calibri Light" w:hAnsi="Calibri Light" w:cs="Calibri Light"/>
          <w:sz w:val="20"/>
          <w:u w:val="single"/>
          <w:lang w:val="es-ES"/>
        </w:rPr>
        <w:t>Contacto</w:t>
      </w:r>
      <w:r w:rsidRPr="002908F4">
        <w:rPr>
          <w:rFonts w:ascii="Calibri Light" w:hAnsi="Calibri Light" w:cs="Calibri Light"/>
          <w:sz w:val="20"/>
          <w:lang w:val="es-ES"/>
        </w:rPr>
        <w:t xml:space="preserve">: </w:t>
      </w:r>
      <w:r w:rsidR="00D06452">
        <w:rPr>
          <w:rFonts w:ascii="Calibri Light" w:hAnsi="Calibri Light" w:cs="Calibri Light"/>
          <w:sz w:val="20"/>
          <w:lang w:val="es-ES"/>
        </w:rPr>
        <w:t>Director de Comunicación</w:t>
      </w:r>
      <w:r w:rsidRPr="002908F4">
        <w:rPr>
          <w:rFonts w:ascii="Calibri Light" w:hAnsi="Calibri Light" w:cs="Calibri Light"/>
          <w:sz w:val="20"/>
          <w:lang w:val="es-ES"/>
        </w:rPr>
        <w:t xml:space="preserve"> ǀ Arnaud Houdmont ǀ +32 (0)2 514 37 77 ǀ </w:t>
      </w:r>
      <w:hyperlink r:id="rId42" w:history="1">
        <w:r w:rsidRPr="002908F4">
          <w:rPr>
            <w:rStyle w:val="Hipervnculo"/>
            <w:rFonts w:ascii="Calibri Light" w:hAnsi="Calibri Light" w:cs="Calibri Light"/>
            <w:sz w:val="20"/>
            <w:lang w:val="es-ES"/>
          </w:rPr>
          <w:t>houdmont@betterfinance.eu</w:t>
        </w:r>
      </w:hyperlink>
    </w:p>
    <w:p w14:paraId="5375D168" w14:textId="77777777" w:rsidR="00830DF5" w:rsidRPr="002908F4" w:rsidRDefault="00830DF5">
      <w:pPr>
        <w:jc w:val="both"/>
        <w:rPr>
          <w:rFonts w:ascii="Calibri Light" w:hAnsi="Calibri Light" w:cs="Calibri Light"/>
          <w:color w:val="000000"/>
          <w:lang w:val="es-ES"/>
        </w:rPr>
      </w:pPr>
    </w:p>
    <w:sectPr w:rsidR="00830DF5" w:rsidRPr="002908F4">
      <w:headerReference w:type="default" r:id="rId43"/>
      <w:footerReference w:type="default" r:id="rId44"/>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A4159" w14:textId="77777777" w:rsidR="008B3329" w:rsidRDefault="008B3329">
      <w:pPr>
        <w:spacing w:after="0" w:line="240" w:lineRule="auto"/>
      </w:pPr>
      <w:r>
        <w:separator/>
      </w:r>
    </w:p>
  </w:endnote>
  <w:endnote w:type="continuationSeparator" w:id="0">
    <w:p w14:paraId="237375E9" w14:textId="77777777" w:rsidR="008B3329" w:rsidRDefault="008B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D15B" w14:textId="77777777" w:rsidR="00A326F8" w:rsidRPr="002908F4" w:rsidRDefault="002908F4">
    <w:pPr>
      <w:spacing w:before="120" w:after="0" w:line="240" w:lineRule="auto"/>
      <w:ind w:left="-567"/>
      <w:jc w:val="center"/>
      <w:rPr>
        <w:b/>
        <w:color w:val="006FB4"/>
        <w:sz w:val="16"/>
        <w:szCs w:val="16"/>
        <w:lang w:val="es-ES"/>
      </w:rPr>
    </w:pPr>
    <w:r w:rsidRPr="002908F4">
      <w:rPr>
        <w:b/>
        <w:color w:val="006FB4"/>
        <w:sz w:val="16"/>
        <w:szCs w:val="16"/>
        <w:lang w:val="es-ES"/>
      </w:rPr>
      <w:t>La Federación Europea de Inversores y Usuarios de Servicios Financieros</w:t>
    </w:r>
  </w:p>
  <w:p w14:paraId="5375D15C" w14:textId="77777777" w:rsidR="00A326F8" w:rsidRDefault="002908F4">
    <w:pPr>
      <w:spacing w:after="0" w:line="240" w:lineRule="auto"/>
      <w:ind w:left="-567"/>
      <w:jc w:val="center"/>
      <w:rPr>
        <w:color w:val="006FB4"/>
        <w:sz w:val="16"/>
        <w:szCs w:val="16"/>
        <w:lang w:val="de-DE"/>
      </w:rPr>
    </w:pPr>
    <w:r>
      <w:rPr>
        <w:color w:val="006FB4"/>
        <w:sz w:val="16"/>
        <w:szCs w:val="16"/>
        <w:lang w:val="de-DE"/>
      </w:rPr>
      <w:t>44, Rue d'Arenberg, 1000 Bruselas - Bélgica</w:t>
    </w:r>
  </w:p>
  <w:p w14:paraId="5375D15D" w14:textId="77777777" w:rsidR="00A326F8" w:rsidRPr="002908F4" w:rsidRDefault="002908F4">
    <w:pPr>
      <w:spacing w:after="0" w:line="240" w:lineRule="auto"/>
      <w:ind w:left="-567"/>
      <w:jc w:val="center"/>
      <w:rPr>
        <w:lang w:val="es-ES"/>
      </w:rPr>
    </w:pPr>
    <w:r>
      <w:rPr>
        <w:color w:val="006FB4"/>
        <w:sz w:val="16"/>
        <w:szCs w:val="16"/>
        <w:lang w:val="de-DE"/>
      </w:rPr>
      <w:t xml:space="preserve">Tel. (+32) 02 514 37 77 - Fax. </w:t>
    </w:r>
    <w:r>
      <w:rPr>
        <w:color w:val="006FB4"/>
        <w:sz w:val="16"/>
        <w:szCs w:val="16"/>
        <w:lang w:val="pt-PT"/>
      </w:rPr>
      <w:t>(+32) 02 514 36 66</w:t>
    </w:r>
  </w:p>
  <w:p w14:paraId="5375D15E" w14:textId="77777777" w:rsidR="00A326F8" w:rsidRPr="002908F4" w:rsidRDefault="001958CF">
    <w:pPr>
      <w:spacing w:after="0" w:line="240" w:lineRule="auto"/>
      <w:ind w:left="-567"/>
      <w:jc w:val="center"/>
      <w:rPr>
        <w:lang w:val="es-ES"/>
      </w:rPr>
    </w:pPr>
    <w:hyperlink r:id="rId1" w:history="1">
      <w:r w:rsidR="002908F4">
        <w:rPr>
          <w:color w:val="006FB4"/>
          <w:sz w:val="16"/>
          <w:szCs w:val="16"/>
          <w:u w:val="single"/>
          <w:lang w:val="it-IT"/>
        </w:rPr>
        <w:t>Correo electrónico</w:t>
      </w:r>
    </w:hyperlink>
    <w:r w:rsidR="002908F4">
      <w:rPr>
        <w:color w:val="006FB4"/>
        <w:sz w:val="16"/>
        <w:szCs w:val="16"/>
        <w:lang w:val="pt-PT"/>
      </w:rPr>
      <w:t xml:space="preserve">: info@betterfinance.eu - </w:t>
    </w:r>
    <w:bookmarkStart w:id="1" w:name="_Hlk944867"/>
    <w:r w:rsidR="002908F4">
      <w:fldChar w:fldCharType="begin"/>
    </w:r>
    <w:r w:rsidR="002908F4" w:rsidRPr="002908F4">
      <w:rPr>
        <w:lang w:val="es-ES"/>
      </w:rPr>
      <w:instrText xml:space="preserve"> HYPERLINK  "http://www.eurofinuse.org" </w:instrText>
    </w:r>
    <w:r w:rsidR="002908F4">
      <w:fldChar w:fldCharType="separate"/>
    </w:r>
    <w:r w:rsidR="002908F4">
      <w:rPr>
        <w:color w:val="006FB4"/>
        <w:sz w:val="16"/>
        <w:szCs w:val="16"/>
        <w:u w:val="single"/>
        <w:lang w:val="it-IT"/>
      </w:rPr>
      <w:t xml:space="preserve">http://www.betterfinance.eu </w:t>
    </w:r>
    <w:r w:rsidR="002908F4">
      <w:rPr>
        <w:color w:val="006FB4"/>
        <w:sz w:val="16"/>
        <w:szCs w:val="16"/>
        <w:u w:val="single"/>
        <w:lang w:val="it-IT"/>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866D1" w14:textId="77777777" w:rsidR="008B3329" w:rsidRDefault="008B3329">
      <w:pPr>
        <w:spacing w:after="0" w:line="240" w:lineRule="auto"/>
      </w:pPr>
      <w:r>
        <w:rPr>
          <w:color w:val="000000"/>
        </w:rPr>
        <w:separator/>
      </w:r>
    </w:p>
  </w:footnote>
  <w:footnote w:type="continuationSeparator" w:id="0">
    <w:p w14:paraId="724C241E" w14:textId="77777777" w:rsidR="008B3329" w:rsidRDefault="008B3329">
      <w:pPr>
        <w:spacing w:after="0" w:line="240" w:lineRule="auto"/>
      </w:pPr>
      <w:r>
        <w:continuationSeparator/>
      </w:r>
    </w:p>
  </w:footnote>
  <w:footnote w:id="1">
    <w:p w14:paraId="5375D151" w14:textId="18449C12" w:rsidR="00830DF5" w:rsidRDefault="002908F4">
      <w:pPr>
        <w:pStyle w:val="Textonotapie"/>
        <w:jc w:val="both"/>
      </w:pPr>
      <w:r>
        <w:rPr>
          <w:rStyle w:val="Refdenotaalpie"/>
        </w:rPr>
        <w:footnoteRef/>
      </w:r>
      <w:hyperlink r:id="rId1" w:history="1">
        <w:r>
          <w:rPr>
            <w:rStyle w:val="Hipervnculo"/>
            <w:rFonts w:ascii="Calibri Light" w:hAnsi="Calibri Light" w:cs="Calibri Light"/>
            <w:sz w:val="16"/>
            <w:szCs w:val="16"/>
          </w:rPr>
          <w:t xml:space="preserve"> </w:t>
        </w:r>
      </w:hyperlink>
      <w:r>
        <w:rPr>
          <w:rFonts w:ascii="Calibri Light" w:hAnsi="Calibri Light" w:cs="Calibri Light"/>
          <w:sz w:val="16"/>
          <w:szCs w:val="16"/>
        </w:rPr>
        <w:t xml:space="preserve">Ver el artículo de FT: </w:t>
      </w:r>
      <w:hyperlink r:id="rId2" w:history="1">
        <w:r>
          <w:rPr>
            <w:rStyle w:val="Hipervnculo"/>
            <w:rFonts w:ascii="Calibri Light" w:hAnsi="Calibri Light" w:cs="Calibri Light"/>
            <w:sz w:val="16"/>
            <w:szCs w:val="16"/>
          </w:rPr>
          <w:t xml:space="preserve">https://ftalphaville.ft.com/2015/11/20/2145256/jcap-on-wirecard-a-search-for-the-asian-business/ </w:t>
        </w:r>
      </w:hyperlink>
      <w:r>
        <w:rPr>
          <w:rFonts w:ascii="Calibri Light" w:hAnsi="Calibri Light" w:cs="Calibri Light"/>
          <w:sz w:val="16"/>
          <w:szCs w:val="16"/>
        </w:rPr>
        <w:t>(de Dan McCrum, 'JCap on Wirecard: A Search for the Asian Business' 20/11/2015).</w:t>
      </w:r>
    </w:p>
  </w:footnote>
  <w:footnote w:id="2">
    <w:p w14:paraId="5375D152" w14:textId="77777777" w:rsidR="00830DF5" w:rsidRDefault="002908F4">
      <w:pPr>
        <w:shd w:val="clear" w:color="auto" w:fill="FFFFFF"/>
        <w:spacing w:after="0"/>
      </w:pPr>
      <w:r>
        <w:rPr>
          <w:rStyle w:val="Refdenotaalpie"/>
        </w:rPr>
        <w:footnoteRef/>
      </w:r>
      <w:hyperlink r:id="rId3" w:history="1">
        <w:r>
          <w:rPr>
            <w:rStyle w:val="Hipervnculo"/>
            <w:rFonts w:ascii="Calibri Light" w:hAnsi="Calibri Light" w:cs="Calibri Light"/>
            <w:color w:val="0070C0"/>
            <w:sz w:val="16"/>
            <w:szCs w:val="16"/>
          </w:rPr>
          <w:t xml:space="preserve"> </w:t>
        </w:r>
      </w:hyperlink>
      <w:r>
        <w:rPr>
          <w:rFonts w:ascii="Calibri Light" w:hAnsi="Calibri Light" w:cs="Calibri Light"/>
          <w:color w:val="000000"/>
          <w:sz w:val="16"/>
          <w:szCs w:val="16"/>
        </w:rPr>
        <w:t xml:space="preserve">Véase el artículo de REUTERS: </w:t>
      </w:r>
      <w:hyperlink r:id="rId4" w:history="1">
        <w:r>
          <w:rPr>
            <w:rStyle w:val="Hipervnculo"/>
            <w:rFonts w:ascii="Calibri Light" w:hAnsi="Calibri Light" w:cs="Calibri Light"/>
            <w:color w:val="0070C0"/>
            <w:sz w:val="16"/>
            <w:szCs w:val="16"/>
          </w:rPr>
          <w:t xml:space="preserve">https://uk.reuters.com/article/uk-wirecard-report/head-of-germanys-wirecard-rejects-fraud-allegations-by-short-seller-idUKKCN0WH1I4 </w:t>
        </w:r>
      </w:hyperlink>
      <w:r>
        <w:rPr>
          <w:rFonts w:ascii="Calibri Light" w:hAnsi="Calibri Light" w:cs="Calibri Light"/>
          <w:color w:val="000000"/>
          <w:sz w:val="16"/>
          <w:szCs w:val="16"/>
        </w:rPr>
        <w:t xml:space="preserve">(E. Auchard, J. Poltz, A. Pal, 'Head of Germany's Wirecard Rejects Fraud Allegations by Short-Seller' 15/03/2016). </w:t>
      </w:r>
    </w:p>
  </w:footnote>
  <w:footnote w:id="3">
    <w:p w14:paraId="5375D153" w14:textId="1B24275F" w:rsidR="00830DF5" w:rsidRDefault="002908F4">
      <w:pPr>
        <w:pStyle w:val="Textonotapie"/>
        <w:jc w:val="both"/>
      </w:pPr>
      <w:r>
        <w:rPr>
          <w:rStyle w:val="Refdenotaalpie"/>
        </w:rPr>
        <w:footnoteRef/>
      </w:r>
      <w:hyperlink r:id="rId5" w:history="1">
        <w:r>
          <w:rPr>
            <w:rStyle w:val="Hipervnculo"/>
            <w:rFonts w:ascii="Calibri Light" w:hAnsi="Calibri Light" w:cs="Calibri Light"/>
            <w:sz w:val="16"/>
            <w:szCs w:val="16"/>
          </w:rPr>
          <w:t xml:space="preserve"> </w:t>
        </w:r>
      </w:hyperlink>
      <w:r>
        <w:rPr>
          <w:rFonts w:ascii="Calibri Light" w:hAnsi="Calibri Light" w:cs="Calibri Light"/>
          <w:sz w:val="16"/>
          <w:szCs w:val="16"/>
        </w:rPr>
        <w:t xml:space="preserve">Véase el artículo de FT: </w:t>
      </w:r>
      <w:hyperlink r:id="rId6" w:history="1">
        <w:r>
          <w:rPr>
            <w:rStyle w:val="Hipervnculo"/>
            <w:rFonts w:ascii="Calibri Light" w:hAnsi="Calibri Light" w:cs="Calibri Light"/>
            <w:sz w:val="16"/>
            <w:szCs w:val="16"/>
          </w:rPr>
          <w:t xml:space="preserve">https://www.ft.com/content/79bd8da2-2830-11e9-a5ab-ff8ef2b976c7 </w:t>
        </w:r>
      </w:hyperlink>
      <w:r>
        <w:rPr>
          <w:rFonts w:ascii="Calibri Light" w:hAnsi="Calibri Light" w:cs="Calibri Light"/>
          <w:sz w:val="16"/>
          <w:szCs w:val="16"/>
        </w:rPr>
        <w:t>(Olaf Storbeck, Stephania Palma, 'Wirecard Discloses Investigation into Accounting Allegations' 04/02/2019).</w:t>
      </w:r>
    </w:p>
  </w:footnote>
  <w:footnote w:id="4">
    <w:p w14:paraId="5375D154" w14:textId="77777777" w:rsidR="00830DF5" w:rsidRDefault="002908F4">
      <w:pPr>
        <w:pStyle w:val="Textonotapie"/>
        <w:jc w:val="both"/>
      </w:pPr>
      <w:r>
        <w:rPr>
          <w:rStyle w:val="Refdenotaalpie"/>
        </w:rPr>
        <w:footnoteRef/>
      </w:r>
      <w:hyperlink r:id="rId7" w:history="1">
        <w:r>
          <w:rPr>
            <w:rStyle w:val="Hipervnculo"/>
            <w:rFonts w:ascii="Calibri Light" w:hAnsi="Calibri Light" w:cs="Calibri Light"/>
            <w:sz w:val="16"/>
            <w:szCs w:val="16"/>
          </w:rPr>
          <w:t xml:space="preserve"> </w:t>
        </w:r>
      </w:hyperlink>
      <w:r>
        <w:rPr>
          <w:rFonts w:ascii="Calibri Light" w:hAnsi="Calibri Light" w:cs="Calibri Light"/>
          <w:sz w:val="16"/>
          <w:szCs w:val="16"/>
        </w:rPr>
        <w:t xml:space="preserve">Véase el artículo de FT: </w:t>
      </w:r>
      <w:hyperlink r:id="rId8" w:history="1">
        <w:r>
          <w:rPr>
            <w:rStyle w:val="Hipervnculo"/>
            <w:rFonts w:ascii="Calibri Light" w:hAnsi="Calibri Light" w:cs="Calibri Light"/>
            <w:sz w:val="16"/>
            <w:szCs w:val="16"/>
          </w:rPr>
          <w:t xml:space="preserve">https://www.ft.com/content/2997a4b2-255f-11e9-8ce6-5db4543da632 </w:t>
        </w:r>
      </w:hyperlink>
      <w:r>
        <w:rPr>
          <w:rFonts w:ascii="Calibri Light" w:hAnsi="Calibri Light" w:cs="Calibri Light"/>
          <w:sz w:val="16"/>
          <w:szCs w:val="16"/>
        </w:rPr>
        <w:t xml:space="preserve">(Olaf Storbeck, 'German Regulators Probe Price Decline at Wirecard' 31/01/2019). </w:t>
      </w:r>
    </w:p>
  </w:footnote>
  <w:footnote w:id="5">
    <w:p w14:paraId="5375D155" w14:textId="77777777" w:rsidR="00830DF5" w:rsidRDefault="002908F4">
      <w:pPr>
        <w:pStyle w:val="Textonotapie"/>
        <w:jc w:val="both"/>
      </w:pPr>
      <w:r>
        <w:rPr>
          <w:rStyle w:val="Refdenotaalpie"/>
        </w:rPr>
        <w:footnoteRef/>
      </w:r>
      <w:hyperlink r:id="rId9" w:history="1">
        <w:r>
          <w:rPr>
            <w:rStyle w:val="Hipervnculo"/>
            <w:rFonts w:ascii="Calibri Light" w:hAnsi="Calibri Light" w:cs="Calibri Light"/>
            <w:sz w:val="16"/>
            <w:szCs w:val="16"/>
          </w:rPr>
          <w:t xml:space="preserve"> </w:t>
        </w:r>
      </w:hyperlink>
      <w:r>
        <w:rPr>
          <w:rFonts w:ascii="Calibri Light" w:hAnsi="Calibri Light" w:cs="Calibri Light"/>
          <w:sz w:val="16"/>
          <w:szCs w:val="16"/>
        </w:rPr>
        <w:t xml:space="preserve">Ver artículo del FT: </w:t>
      </w:r>
      <w:hyperlink r:id="rId10" w:history="1">
        <w:r>
          <w:rPr>
            <w:rStyle w:val="Hipervnculo"/>
            <w:rFonts w:ascii="Calibri Light" w:hAnsi="Calibri Light" w:cs="Calibri Light"/>
            <w:sz w:val="16"/>
            <w:szCs w:val="16"/>
          </w:rPr>
          <w:t xml:space="preserve">https://www.ft.com/content/4bed8775-01aa-457f-9dbb-1740e67a684d </w:t>
        </w:r>
      </w:hyperlink>
      <w:r>
        <w:rPr>
          <w:rFonts w:ascii="Calibri Light" w:hAnsi="Calibri Light" w:cs="Calibri Light"/>
          <w:sz w:val="16"/>
          <w:szCs w:val="16"/>
        </w:rPr>
        <w:t>(Dan McCrum, Olaf Storbeck, 'Wirecard: What KPMG's Report Found' 29/04/2020)</w:t>
      </w:r>
    </w:p>
  </w:footnote>
  <w:footnote w:id="6">
    <w:p w14:paraId="5375D156" w14:textId="77777777" w:rsidR="00830DF5" w:rsidRPr="002908F4" w:rsidRDefault="002908F4">
      <w:pPr>
        <w:pStyle w:val="Textonotapie"/>
        <w:jc w:val="both"/>
        <w:rPr>
          <w:lang w:val="es-ES"/>
        </w:rPr>
      </w:pPr>
      <w:r>
        <w:rPr>
          <w:rStyle w:val="Refdenotaalpie"/>
        </w:rPr>
        <w:footnoteRef/>
      </w:r>
      <w:r w:rsidRPr="002908F4">
        <w:rPr>
          <w:rFonts w:ascii="Calibri Light" w:hAnsi="Calibri Light"/>
          <w:sz w:val="16"/>
          <w:szCs w:val="16"/>
          <w:lang w:val="es-ES"/>
        </w:rPr>
        <w:t xml:space="preserve"> Véase el informe de </w:t>
      </w:r>
      <w:r w:rsidRPr="002908F4">
        <w:rPr>
          <w:rFonts w:ascii="Calibri Light" w:hAnsi="Calibri Light"/>
          <w:i/>
          <w:iCs/>
          <w:sz w:val="16"/>
          <w:szCs w:val="16"/>
          <w:lang w:val="es-ES"/>
        </w:rPr>
        <w:t xml:space="preserve">Robo-Asesoría </w:t>
      </w:r>
      <w:r w:rsidRPr="002908F4">
        <w:rPr>
          <w:rFonts w:ascii="Calibri Light" w:hAnsi="Calibri Light"/>
          <w:sz w:val="16"/>
          <w:szCs w:val="16"/>
          <w:lang w:val="es-ES"/>
        </w:rPr>
        <w:t xml:space="preserve">2019 de BETTER FINANCE, por ejemplo: </w:t>
      </w:r>
      <w:hyperlink r:id="rId11" w:history="1">
        <w:r w:rsidRPr="002908F4">
          <w:rPr>
            <w:rStyle w:val="Hipervnculo"/>
            <w:rFonts w:ascii="Calibri Light" w:hAnsi="Calibri Light"/>
            <w:sz w:val="16"/>
            <w:szCs w:val="16"/>
            <w:lang w:val="es-ES"/>
          </w:rPr>
          <w:t>https:</w:t>
        </w:r>
      </w:hyperlink>
      <w:r w:rsidRPr="002908F4">
        <w:rPr>
          <w:rFonts w:ascii="Calibri Light" w:hAnsi="Calibri Light"/>
          <w:sz w:val="16"/>
          <w:szCs w:val="16"/>
          <w:lang w:val="es-ES"/>
        </w:rPr>
        <w:t xml:space="preserve">//betterfinance.eu/wp-content/uploads/Robo-Advice-Report-2019-FINAL.pdf.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D157" w14:textId="77777777" w:rsidR="00A326F8" w:rsidRDefault="002908F4">
    <w:pPr>
      <w:pStyle w:val="Encabezado"/>
      <w:spacing w:after="120"/>
      <w:jc w:val="center"/>
    </w:pPr>
    <w:r>
      <w:rPr>
        <w:noProof/>
        <w:lang w:val="ca-ES" w:eastAsia="ca-ES"/>
      </w:rPr>
      <w:drawing>
        <wp:anchor distT="0" distB="0" distL="114300" distR="114300" simplePos="0" relativeHeight="251659264" behindDoc="0" locked="0" layoutInCell="1" allowOverlap="1" wp14:anchorId="5375D14F" wp14:editId="5375D150">
          <wp:simplePos x="0" y="0"/>
          <wp:positionH relativeFrom="margin">
            <wp:posOffset>2617470</wp:posOffset>
          </wp:positionH>
          <wp:positionV relativeFrom="paragraph">
            <wp:posOffset>-219712</wp:posOffset>
          </wp:positionV>
          <wp:extent cx="3138165" cy="645164"/>
          <wp:effectExtent l="0" t="0" r="5085" b="2536"/>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38165" cy="645164"/>
                  </a:xfrm>
                  <a:prstGeom prst="rect">
                    <a:avLst/>
                  </a:prstGeom>
                  <a:noFill/>
                  <a:ln>
                    <a:noFill/>
                    <a:prstDash/>
                  </a:ln>
                </pic:spPr>
              </pic:pic>
            </a:graphicData>
          </a:graphic>
        </wp:anchor>
      </w:drawing>
    </w:r>
  </w:p>
  <w:p w14:paraId="5375D158" w14:textId="77777777" w:rsidR="00A326F8" w:rsidRDefault="001958CF">
    <w:pPr>
      <w:pStyle w:val="Encabezado"/>
      <w:rPr>
        <w:sz w:val="20"/>
        <w:szCs w:val="20"/>
      </w:rPr>
    </w:pPr>
  </w:p>
  <w:p w14:paraId="5375D159" w14:textId="77777777" w:rsidR="00A326F8" w:rsidRDefault="001958CF">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46435"/>
    <w:multiLevelType w:val="multilevel"/>
    <w:tmpl w:val="136EE4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30DF5"/>
    <w:rsid w:val="001958CF"/>
    <w:rsid w:val="001A1DC2"/>
    <w:rsid w:val="002908F4"/>
    <w:rsid w:val="002A07C4"/>
    <w:rsid w:val="00356DE4"/>
    <w:rsid w:val="00562EFB"/>
    <w:rsid w:val="00830DF5"/>
    <w:rsid w:val="00896710"/>
    <w:rsid w:val="008B3329"/>
    <w:rsid w:val="009D0D33"/>
    <w:rsid w:val="00D06452"/>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D13C"/>
  <w15:docId w15:val="{1A7B9AFC-7E7C-476B-9EF3-C092B364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2">
    <w:name w:val="heading 2"/>
    <w:basedOn w:val="Normal"/>
    <w:next w:val="Normal"/>
    <w:uiPriority w:val="9"/>
    <w:unhideWhenUsed/>
    <w:qFormat/>
    <w:pPr>
      <w:keepNext/>
      <w:keepLines/>
      <w:spacing w:before="40" w:after="0" w:line="276" w:lineRule="auto"/>
      <w:outlineLvl w:val="1"/>
    </w:pPr>
    <w:rPr>
      <w:rFonts w:ascii="Calibri Light" w:eastAsia="Times New Roman" w:hAnsi="Calibri Light"/>
      <w:color w:val="2F5496"/>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HeaderChar">
    <w:name w:val="Header Char"/>
    <w:basedOn w:val="Fuentedeprrafopredeter"/>
  </w:style>
  <w:style w:type="paragraph" w:styleId="Piedepgina">
    <w:name w:val="footer"/>
    <w:basedOn w:val="Normal"/>
    <w:pPr>
      <w:tabs>
        <w:tab w:val="center" w:pos="4536"/>
        <w:tab w:val="right" w:pos="9072"/>
      </w:tabs>
      <w:spacing w:after="0" w:line="240" w:lineRule="auto"/>
    </w:pPr>
  </w:style>
  <w:style w:type="character" w:customStyle="1" w:styleId="FooterChar">
    <w:name w:val="Footer Char"/>
    <w:basedOn w:val="Fuentedeprrafopredeter"/>
  </w:style>
  <w:style w:type="paragraph" w:styleId="Textonotapie">
    <w:name w:val="footnote text"/>
    <w:basedOn w:val="Normal"/>
    <w:pPr>
      <w:spacing w:after="0" w:line="240" w:lineRule="auto"/>
    </w:pPr>
    <w:rPr>
      <w:sz w:val="20"/>
      <w:szCs w:val="20"/>
    </w:rPr>
  </w:style>
  <w:style w:type="character" w:customStyle="1" w:styleId="FootnoteTextChar">
    <w:name w:val="Footnote Text Char"/>
    <w:basedOn w:val="Fuentedeprrafopredeter"/>
    <w:rPr>
      <w:sz w:val="20"/>
      <w:szCs w:val="20"/>
    </w:rPr>
  </w:style>
  <w:style w:type="character" w:styleId="Refdenotaalpie">
    <w:name w:val="footnote reference"/>
    <w:basedOn w:val="Fuentedeprrafopredeter"/>
    <w:rPr>
      <w:position w:val="0"/>
      <w:vertAlign w:val="superscript"/>
    </w:rPr>
  </w:style>
  <w:style w:type="character" w:styleId="Hipervnculo">
    <w:name w:val="Hyperlink"/>
    <w:basedOn w:val="Fuentedeprrafopredeter"/>
    <w:rPr>
      <w:color w:val="0563C1"/>
      <w:u w:val="single"/>
    </w:rPr>
  </w:style>
  <w:style w:type="character" w:customStyle="1" w:styleId="Mencinsinresolver1">
    <w:name w:val="Mención sin resolver1"/>
    <w:basedOn w:val="Fuentedeprrafopredeter"/>
    <w:rPr>
      <w:color w:val="605E5C"/>
      <w:shd w:val="clear" w:color="auto" w:fill="E1DFDD"/>
    </w:rP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Fuentedeprrafopredeter"/>
    <w:rPr>
      <w:rFonts w:ascii="Segoe UI" w:hAnsi="Segoe UI" w:cs="Segoe UI"/>
      <w:sz w:val="18"/>
      <w:szCs w:val="18"/>
    </w:rPr>
  </w:style>
  <w:style w:type="paragraph" w:styleId="Prrafodelista">
    <w:name w:val="List Paragraph"/>
    <w:basedOn w:val="Normal"/>
    <w:pPr>
      <w:spacing w:after="0" w:line="240" w:lineRule="auto"/>
      <w:ind w:left="720"/>
    </w:pPr>
    <w:rPr>
      <w:rFonts w:cs="Calibri"/>
      <w:lang w:val="fr-BE"/>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CommentTextChar">
    <w:name w:val="Comment Text Char"/>
    <w:basedOn w:val="Fuentedeprrafopredeter"/>
    <w:rPr>
      <w:sz w:val="20"/>
      <w:szCs w:val="20"/>
    </w:rPr>
  </w:style>
  <w:style w:type="paragraph" w:styleId="Asuntodelcomentario">
    <w:name w:val="annotation subject"/>
    <w:basedOn w:val="Textocomentario"/>
    <w:next w:val="Textocomentario"/>
    <w:rPr>
      <w:b/>
      <w:bCs/>
    </w:rPr>
  </w:style>
  <w:style w:type="character" w:customStyle="1" w:styleId="CommentSubjectChar">
    <w:name w:val="Comment Subject Char"/>
    <w:basedOn w:val="CommentTextChar"/>
    <w:rPr>
      <w:b/>
      <w:bCs/>
      <w:sz w:val="20"/>
      <w:szCs w:val="20"/>
    </w:rPr>
  </w:style>
  <w:style w:type="paragraph" w:styleId="NormalWeb">
    <w:name w:val="Normal (Web)"/>
    <w:basedOn w:val="Normal"/>
    <w:pPr>
      <w:spacing w:before="100" w:after="100" w:line="240" w:lineRule="auto"/>
    </w:pPr>
    <w:rPr>
      <w:rFonts w:ascii="Times New Roman" w:eastAsia="Times New Roman" w:hAnsi="Times New Roman"/>
      <w:sz w:val="24"/>
      <w:szCs w:val="24"/>
      <w:lang w:val="fr-BE" w:eastAsia="fr-BE"/>
    </w:rPr>
  </w:style>
  <w:style w:type="paragraph" w:customStyle="1" w:styleId="bylinebarreading-time">
    <w:name w:val="bylinebar_reading-time"/>
    <w:basedOn w:val="Normal"/>
    <w:pPr>
      <w:spacing w:before="100" w:after="100" w:line="240" w:lineRule="auto"/>
    </w:pPr>
    <w:rPr>
      <w:rFonts w:ascii="Times New Roman" w:eastAsia="Times New Roman" w:hAnsi="Times New Roman"/>
      <w:sz w:val="24"/>
      <w:szCs w:val="24"/>
      <w:lang w:eastAsia="en-GB"/>
    </w:rPr>
  </w:style>
  <w:style w:type="character" w:customStyle="1" w:styleId="Heading2Char">
    <w:name w:val="Heading 2 Char"/>
    <w:basedOn w:val="Fuentedeprrafopredeter"/>
    <w:rPr>
      <w:rFonts w:ascii="Calibri Light" w:eastAsia="Times New Roman" w:hAnsi="Calibri Light" w:cs="Times New Roman"/>
      <w:color w:val="2F5496"/>
      <w:sz w:val="26"/>
      <w:szCs w:val="26"/>
    </w:rPr>
  </w:style>
  <w:style w:type="paragraph" w:styleId="Textoindependiente">
    <w:name w:val="Body Text"/>
    <w:basedOn w:val="Normal"/>
    <w:pPr>
      <w:spacing w:after="200" w:line="240" w:lineRule="exact"/>
    </w:pPr>
    <w:rPr>
      <w:rFonts w:ascii="Tahoma" w:eastAsia="Times New Roman" w:hAnsi="Tahoma"/>
      <w:spacing w:val="10"/>
      <w:sz w:val="17"/>
      <w:szCs w:val="20"/>
      <w:lang w:val="en-US"/>
    </w:rPr>
  </w:style>
  <w:style w:type="character" w:customStyle="1" w:styleId="BodyTextChar">
    <w:name w:val="Body Text Char"/>
    <w:basedOn w:val="Fuentedeprrafopredeter"/>
    <w:rPr>
      <w:rFonts w:ascii="Tahoma" w:eastAsia="Times New Roman" w:hAnsi="Tahoma" w:cs="Times New Roman"/>
      <w:spacing w:val="10"/>
      <w:sz w:val="17"/>
      <w:szCs w:val="20"/>
      <w:lang w:val="en-US"/>
    </w:rPr>
  </w:style>
  <w:style w:type="character" w:styleId="Textoennegrita">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ftalphaville.ft.com/2015/04/27/2126473/the-wirecard-documents/" TargetMode="External"/><Relationship Id="rId18" Type="http://schemas.openxmlformats.org/officeDocument/2006/relationships/hyperlink" Target="https://www.ft.com/content/d51a012e-1d6f-11e9-b126-46fc3ad87c65" TargetMode="External"/><Relationship Id="rId26" Type="http://schemas.openxmlformats.org/officeDocument/2006/relationships/hyperlink" Target="https://www.ft.com/content/56a2057c-b975-4965-b0cf-641b83ee0f82" TargetMode="External"/><Relationship Id="rId39" Type="http://schemas.openxmlformats.org/officeDocument/2006/relationships/image" Target="media/image10.svg"/><Relationship Id="rId21" Type="http://schemas.openxmlformats.org/officeDocument/2006/relationships/hyperlink" Target="https://www.ft.com/content/0026b76c-d062-44e4-85b8-23a454534170" TargetMode="External"/><Relationship Id="rId34" Type="http://schemas.openxmlformats.org/officeDocument/2006/relationships/image" Target="media/image5.png"/><Relationship Id="rId42" Type="http://schemas.openxmlformats.org/officeDocument/2006/relationships/hyperlink" Target="mailto:houdmont@betterfinance.e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ft.com/content/d51a012e-1d6f-11e9-b126-46fc3ad87c65" TargetMode="External"/><Relationship Id="rId29" Type="http://schemas.openxmlformats.org/officeDocument/2006/relationships/hyperlink" Target="https://ir.wirecard.com/websites/wirecard/English/5110/news-detail.html?newsID=1988247&amp;fromID=50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talphaville.ft.com/series/House%20of%20Wirecard" TargetMode="External"/><Relationship Id="rId24" Type="http://schemas.openxmlformats.org/officeDocument/2006/relationships/hyperlink" Target="https://www.nytimes.com/reuters/2020/06/29/business/29reuters-wirecard-accounts.html" TargetMode="External"/><Relationship Id="rId32" Type="http://schemas.openxmlformats.org/officeDocument/2006/relationships/image" Target="media/image3.png"/><Relationship Id="rId37" Type="http://schemas.openxmlformats.org/officeDocument/2006/relationships/image" Target="media/image8.svg"/><Relationship Id="rId40" Type="http://schemas.openxmlformats.org/officeDocument/2006/relationships/image" Target="media/image11.png"/><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ueddeutsche.de/wirtschaft/wirecard-angriff-aus-dem-hinterhalt-1.2878377" TargetMode="External"/><Relationship Id="rId23" Type="http://schemas.openxmlformats.org/officeDocument/2006/relationships/hyperlink" Target="https://www.reuters.com/article/us-wirecard-accounts/wirecard-collapse-leads-to-call-for-german-parliamentary-inquiry-idUSKBN2401Y7" TargetMode="External"/><Relationship Id="rId28" Type="http://schemas.openxmlformats.org/officeDocument/2006/relationships/hyperlink" Target="https://www.reuters.com/article/us-wirecard-accounts/wirecard-says-missing-2-1-billion-never-existed-rips-up-earlier-accounts-idUSKBN23T06V?il=0" TargetMode="External"/><Relationship Id="rId36" Type="http://schemas.openxmlformats.org/officeDocument/2006/relationships/image" Target="media/image7.png"/><Relationship Id="rId10" Type="http://schemas.openxmlformats.org/officeDocument/2006/relationships/hyperlink" Target="https://www.afr.com/companies/financial-services/aussie-researcher-questioned-embattled-german-fintech-wirecard-20200622-p554v7" TargetMode="External"/><Relationship Id="rId19" Type="http://schemas.openxmlformats.org/officeDocument/2006/relationships/hyperlink" Target="https://www.ft.com/content/8e1948be-6060-11e9-b285-3acd5d43599e" TargetMode="External"/><Relationship Id="rId31" Type="http://schemas.openxmlformats.org/officeDocument/2006/relationships/image" Target="media/image2.svg"/><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t.com/content/284fb1ad-ddc0-45df-a075-0709b36868db" TargetMode="External"/><Relationship Id="rId22" Type="http://schemas.openxmlformats.org/officeDocument/2006/relationships/hyperlink" Target="https://www.frep.info/" TargetMode="External"/><Relationship Id="rId27" Type="http://schemas.openxmlformats.org/officeDocument/2006/relationships/hyperlink" Target="https://www.ft.com/content/1e753e2b-f576-4f32-aa19-d240be26e773" TargetMode="External"/><Relationship Id="rId30" Type="http://schemas.openxmlformats.org/officeDocument/2006/relationships/image" Target="media/image1.png"/><Relationship Id="rId35" Type="http://schemas.openxmlformats.org/officeDocument/2006/relationships/image" Target="media/image6.svg"/><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ftalphaville.ft.com/2019/10/14/1571059326000/The-Wirecard-documents--explained/" TargetMode="External"/><Relationship Id="rId17" Type="http://schemas.openxmlformats.org/officeDocument/2006/relationships/hyperlink" Target="https://www.ft.com/content/03a5e318-2479-11e9-8ce6-5db4543da632" TargetMode="External"/><Relationship Id="rId25" Type="http://schemas.openxmlformats.org/officeDocument/2006/relationships/hyperlink" Target="https://www.ft.com/content/eeb18c70-f3ce-11e9-a79c-bc9acae3b654" TargetMode="External"/><Relationship Id="rId33" Type="http://schemas.openxmlformats.org/officeDocument/2006/relationships/image" Target="media/image4.svg"/><Relationship Id="rId38" Type="http://schemas.openxmlformats.org/officeDocument/2006/relationships/image" Target="media/image9.png"/><Relationship Id="rId46" Type="http://schemas.openxmlformats.org/officeDocument/2006/relationships/theme" Target="theme/theme1.xml"/><Relationship Id="rId20" Type="http://schemas.openxmlformats.org/officeDocument/2006/relationships/hyperlink" Target="https://www.reuters.com/article/us-wirecard-stocks-idUSKCN1Q70GZ" TargetMode="External"/><Relationship Id="rId41" Type="http://schemas.openxmlformats.org/officeDocument/2006/relationships/image" Target="media/image12.svg"/></Relationships>
</file>

<file path=word/_rels/footer1.xml.rels><?xml version="1.0" encoding="UTF-8" standalone="yes"?>
<Relationships xmlns="http://schemas.openxmlformats.org/package/2006/relationships"><Relationship Id="rId1" Type="http://schemas.openxmlformats.org/officeDocument/2006/relationships/hyperlink" Target="http://www.eurofinuse.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t.com/content/2997a4b2-255f-11e9-8ce6-5db4543da632" TargetMode="External"/><Relationship Id="rId3" Type="http://schemas.openxmlformats.org/officeDocument/2006/relationships/hyperlink" Target="https://uk.reuters.com/article/uk-wirecard-report/head-of-germanys-wirecard-rejects-fraud-allegations-by-short-seller-idUKKCN0WH1I4" TargetMode="External"/><Relationship Id="rId7" Type="http://schemas.openxmlformats.org/officeDocument/2006/relationships/hyperlink" Target="https://www.ft.com/content/2997a4b2-255f-11e9-8ce6-5db4543da632" TargetMode="External"/><Relationship Id="rId2" Type="http://schemas.openxmlformats.org/officeDocument/2006/relationships/hyperlink" Target="https://ftalphaville.ft.com/2015/11/20/2145256/jcap-on-wirecard-a-search-for-the-asian-business/" TargetMode="External"/><Relationship Id="rId1" Type="http://schemas.openxmlformats.org/officeDocument/2006/relationships/hyperlink" Target="https://ftalphaville.ft.com/2015/11/20/2145256/jcap-on-wirecard-a-search-for-the-asian-business/" TargetMode="External"/><Relationship Id="rId6" Type="http://schemas.openxmlformats.org/officeDocument/2006/relationships/hyperlink" Target="https://www.ft.com/content/79bd8da2-2830-11e9-a5ab-ff8ef2b976c7" TargetMode="External"/><Relationship Id="rId11" Type="http://schemas.openxmlformats.org/officeDocument/2006/relationships/hyperlink" Target="https://betterfinance.eu/wp-content/uploads/Robo-Advice-Report-2019-FINAL.pdf" TargetMode="External"/><Relationship Id="rId5" Type="http://schemas.openxmlformats.org/officeDocument/2006/relationships/hyperlink" Target="https://www.ft.com/content/79bd8da2-2830-11e9-a5ab-ff8ef2b976c7" TargetMode="External"/><Relationship Id="rId10" Type="http://schemas.openxmlformats.org/officeDocument/2006/relationships/hyperlink" Target="https://www.ft.com/content/4bed8775-01aa-457f-9dbb-1740e67a684d" TargetMode="External"/><Relationship Id="rId4" Type="http://schemas.openxmlformats.org/officeDocument/2006/relationships/hyperlink" Target="https://uk.reuters.com/article/uk-wirecard-report/head-of-germanys-wirecard-rejects-fraud-allegations-by-short-seller-idUKKCN0WH1I4" TargetMode="External"/><Relationship Id="rId9" Type="http://schemas.openxmlformats.org/officeDocument/2006/relationships/hyperlink" Target="https://www.ft.com/content/4bed8775-01aa-457f-9dbb-1740e67a684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098B8-A964-467F-82B6-EDF11F072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60c09-1844-45b0-b4f1-cf53e6c3c76a"/>
    <ds:schemaRef ds:uri="8e72f4a7-cae9-4e97-b541-2580a12d1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562C1-6549-4416-8FC6-C332B71DC286}">
  <ds:schemaRefs>
    <ds:schemaRef ds:uri="http://schemas.microsoft.com/sharepoint/v3/contenttype/forms"/>
  </ds:schemaRefs>
</ds:datastoreItem>
</file>

<file path=customXml/itemProps3.xml><?xml version="1.0" encoding="utf-8"?>
<ds:datastoreItem xmlns:ds="http://schemas.openxmlformats.org/officeDocument/2006/customXml" ds:itemID="{2BF543A3-69AC-41A4-8CFB-5C6DE6750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1833</Words>
  <Characters>10083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Voicu</dc:creator>
  <cp:lastModifiedBy>Usuario</cp:lastModifiedBy>
  <cp:revision>4</cp:revision>
  <dcterms:created xsi:type="dcterms:W3CDTF">2020-12-11T12:52:00Z</dcterms:created>
  <dcterms:modified xsi:type="dcterms:W3CDTF">2020-12-21T20:32:00Z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0x010100B5308A9776426D41840A8C2CCB15B3F3</vt:lpwstr>
  </property>
</Properties>
</file>