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46CC" w14:textId="256E9AA5" w:rsidR="00AB1AE0" w:rsidRDefault="00AB1AE0"/>
    <w:p w14:paraId="4A0646CD" w14:textId="77777777" w:rsidR="00AB1AE0" w:rsidRPr="00746F89" w:rsidRDefault="00746F89">
      <w:pPr>
        <w:pStyle w:val="Ttulo2"/>
        <w:spacing w:after="80"/>
        <w:jc w:val="both"/>
        <w:rPr>
          <w:rFonts w:ascii="Calibri Light" w:eastAsia="Times New Roman" w:hAnsi="Calibri Light" w:cs="Calibri Light"/>
          <w:b/>
          <w:bCs/>
          <w:color w:val="auto"/>
          <w:sz w:val="24"/>
          <w:szCs w:val="24"/>
          <w:lang w:val="es-ES"/>
        </w:rPr>
      </w:pPr>
      <w:bookmarkStart w:id="0" w:name="_Hlk4143464"/>
      <w:r w:rsidRPr="00746F89">
        <w:rPr>
          <w:rFonts w:ascii="Calibri Light" w:eastAsia="Times New Roman" w:hAnsi="Calibri Light" w:cs="Calibri Light"/>
          <w:b/>
          <w:bCs/>
          <w:color w:val="auto"/>
          <w:sz w:val="24"/>
          <w:szCs w:val="24"/>
          <w:lang w:val="es-ES"/>
        </w:rPr>
        <w:t>COMUNICADO DE PRENSA</w:t>
      </w:r>
    </w:p>
    <w:p w14:paraId="4A0646CE" w14:textId="55110868" w:rsidR="00AB1AE0" w:rsidRPr="00746F89" w:rsidRDefault="00746F89">
      <w:pPr>
        <w:pStyle w:val="Ttulo2"/>
        <w:spacing w:after="240"/>
        <w:jc w:val="both"/>
        <w:rPr>
          <w:rFonts w:ascii="Calibri Light" w:eastAsia="Calibri" w:hAnsi="Calibri Light" w:cs="Calibri Light"/>
          <w:b/>
          <w:spacing w:val="20"/>
          <w:kern w:val="3"/>
          <w:sz w:val="28"/>
          <w:szCs w:val="28"/>
          <w:lang w:val="es-ES"/>
        </w:rPr>
      </w:pPr>
      <w:r w:rsidRPr="00746F89">
        <w:rPr>
          <w:rFonts w:ascii="Calibri Light" w:eastAsia="Calibri" w:hAnsi="Calibri Light" w:cs="Calibri Light"/>
          <w:b/>
          <w:spacing w:val="20"/>
          <w:kern w:val="3"/>
          <w:sz w:val="28"/>
          <w:szCs w:val="28"/>
          <w:lang w:val="es-ES"/>
        </w:rPr>
        <w:t xml:space="preserve">El paquete de recuperación de los mercados de capital de la UE debería tener en cuenta a los inversores </w:t>
      </w:r>
      <w:r w:rsidR="00141FD7">
        <w:rPr>
          <w:rFonts w:ascii="Calibri Light" w:eastAsia="Calibri" w:hAnsi="Calibri Light" w:cs="Calibri Light"/>
          <w:b/>
          <w:spacing w:val="20"/>
          <w:kern w:val="3"/>
          <w:sz w:val="28"/>
          <w:szCs w:val="28"/>
          <w:lang w:val="es-ES"/>
        </w:rPr>
        <w:t>privados</w:t>
      </w:r>
      <w:r w:rsidR="00141FD7" w:rsidRPr="00746F89">
        <w:rPr>
          <w:rFonts w:ascii="Calibri Light" w:eastAsia="Calibri" w:hAnsi="Calibri Light" w:cs="Calibri Light"/>
          <w:b/>
          <w:spacing w:val="20"/>
          <w:kern w:val="3"/>
          <w:sz w:val="28"/>
          <w:szCs w:val="28"/>
          <w:lang w:val="es-ES"/>
        </w:rPr>
        <w:t xml:space="preserve"> </w:t>
      </w:r>
      <w:r w:rsidRPr="00746F89">
        <w:rPr>
          <w:rFonts w:ascii="Calibri Light" w:eastAsia="Calibri" w:hAnsi="Calibri Light" w:cs="Calibri Light"/>
          <w:b/>
          <w:spacing w:val="20"/>
          <w:kern w:val="3"/>
          <w:sz w:val="28"/>
          <w:szCs w:val="28"/>
          <w:lang w:val="es-ES"/>
        </w:rPr>
        <w:t>y el caso Wirecard</w:t>
      </w:r>
    </w:p>
    <w:p w14:paraId="4A0646CF" w14:textId="0C3253FC" w:rsidR="00AB1AE0" w:rsidRPr="00746F89" w:rsidRDefault="00746F89">
      <w:pPr>
        <w:jc w:val="both"/>
        <w:rPr>
          <w:lang w:val="es-ES"/>
        </w:rPr>
      </w:pPr>
      <w:r w:rsidRPr="00746F89">
        <w:rPr>
          <w:rFonts w:ascii="Calibri Light" w:eastAsia="Times New Roman" w:hAnsi="Calibri Light" w:cs="Calibri Light"/>
          <w:b/>
          <w:bCs/>
          <w:lang w:val="es-ES"/>
        </w:rPr>
        <w:t xml:space="preserve">Bruselas, 31 de julio de 2020 </w:t>
      </w:r>
      <w:bookmarkEnd w:id="0"/>
      <w:r w:rsidRPr="00746F89">
        <w:rPr>
          <w:rFonts w:ascii="Calibri Light" w:eastAsia="Times New Roman" w:hAnsi="Calibri Light" w:cs="Calibri Light"/>
          <w:lang w:val="es-ES"/>
        </w:rPr>
        <w:t xml:space="preserve">- </w:t>
      </w:r>
      <w:r w:rsidRPr="00746F89">
        <w:rPr>
          <w:rFonts w:ascii="Calibri Light" w:hAnsi="Calibri Light" w:cs="Calibri Light"/>
          <w:lang w:val="es-ES"/>
        </w:rPr>
        <w:t xml:space="preserve">El 24 de julio de 2020, la Comisión Europea (CE) anunció el " </w:t>
      </w:r>
      <w:hyperlink r:id="rId9" w:history="1">
        <w:r w:rsidR="00141FD7" w:rsidRPr="00670C72">
          <w:rPr>
            <w:rStyle w:val="Hipervnculo"/>
            <w:rFonts w:ascii="Calibri Light" w:hAnsi="Calibri Light" w:cs="Calibri Light"/>
            <w:lang w:val="es-ES"/>
          </w:rPr>
          <w:t>Paq</w:t>
        </w:r>
        <w:r w:rsidR="00141FD7" w:rsidRPr="00670C72">
          <w:rPr>
            <w:rStyle w:val="Hipervnculo"/>
          </w:rPr>
          <w:t>uete de Recuperación de</w:t>
        </w:r>
        <w:r w:rsidR="00141FD7" w:rsidRPr="00746F89">
          <w:rPr>
            <w:rStyle w:val="Hipervnculo"/>
            <w:rFonts w:ascii="Calibri Light" w:hAnsi="Calibri Light" w:cs="Calibri Light"/>
            <w:lang w:val="es-ES"/>
          </w:rPr>
          <w:t xml:space="preserve"> </w:t>
        </w:r>
        <w:r w:rsidR="00141FD7">
          <w:rPr>
            <w:rStyle w:val="Hipervnculo"/>
            <w:rFonts w:ascii="Calibri Light" w:hAnsi="Calibri Light" w:cs="Calibri Light"/>
            <w:lang w:val="es-ES"/>
          </w:rPr>
          <w:t xml:space="preserve">los </w:t>
        </w:r>
        <w:r w:rsidRPr="00746F89">
          <w:rPr>
            <w:rStyle w:val="Hipervnculo"/>
            <w:rFonts w:ascii="Calibri Light" w:hAnsi="Calibri Light" w:cs="Calibri Light"/>
            <w:lang w:val="es-ES"/>
          </w:rPr>
          <w:t>Mercados de Capital</w:t>
        </w:r>
      </w:hyperlink>
      <w:r w:rsidRPr="00746F89">
        <w:rPr>
          <w:rFonts w:ascii="Calibri Light" w:hAnsi="Calibri Light" w:cs="Calibri Light"/>
          <w:lang w:val="es-ES"/>
        </w:rPr>
        <w:t xml:space="preserve">", como parte de su estrategia general de recuperación </w:t>
      </w:r>
      <w:r w:rsidR="0078385F">
        <w:rPr>
          <w:rFonts w:ascii="Calibri Light" w:hAnsi="Calibri Light" w:cs="Calibri Light"/>
          <w:lang w:val="es-ES"/>
        </w:rPr>
        <w:t>de la crisis del</w:t>
      </w:r>
      <w:r w:rsidR="0078385F" w:rsidRPr="00746F89">
        <w:rPr>
          <w:rFonts w:ascii="Calibri Light" w:hAnsi="Calibri Light" w:cs="Calibri Light"/>
          <w:lang w:val="es-ES"/>
        </w:rPr>
        <w:t xml:space="preserve"> </w:t>
      </w:r>
      <w:r w:rsidRPr="00746F89">
        <w:rPr>
          <w:rFonts w:ascii="Calibri Light" w:hAnsi="Calibri Light" w:cs="Calibri Light"/>
          <w:lang w:val="es-ES"/>
        </w:rPr>
        <w:t xml:space="preserve">coronavirus, destinado a facilitar </w:t>
      </w:r>
      <w:r w:rsidR="00141FD7">
        <w:rPr>
          <w:rFonts w:ascii="Calibri Light" w:hAnsi="Calibri Light" w:cs="Calibri Light"/>
          <w:lang w:val="es-ES"/>
        </w:rPr>
        <w:t>el apoyo de</w:t>
      </w:r>
      <w:r w:rsidR="00141FD7" w:rsidRPr="00746F89">
        <w:rPr>
          <w:rFonts w:ascii="Calibri Light" w:hAnsi="Calibri Light" w:cs="Calibri Light"/>
          <w:lang w:val="es-ES"/>
        </w:rPr>
        <w:t xml:space="preserve"> </w:t>
      </w:r>
      <w:r w:rsidRPr="00746F89">
        <w:rPr>
          <w:rFonts w:ascii="Calibri Light" w:hAnsi="Calibri Light" w:cs="Calibri Light"/>
          <w:lang w:val="es-ES"/>
        </w:rPr>
        <w:t xml:space="preserve">los mercados de capital a las empresas europeas en su recuperación de las consecuencias de la actual crisis de </w:t>
      </w:r>
      <w:r w:rsidR="00141FD7">
        <w:rPr>
          <w:rFonts w:ascii="Calibri Light" w:hAnsi="Calibri Light" w:cs="Calibri Light"/>
          <w:lang w:val="es-ES"/>
        </w:rPr>
        <w:t xml:space="preserve">la </w:t>
      </w:r>
      <w:r w:rsidRPr="00746F89">
        <w:rPr>
          <w:rFonts w:ascii="Calibri Light" w:hAnsi="Calibri Light" w:cs="Calibri Light"/>
          <w:lang w:val="es-ES"/>
        </w:rPr>
        <w:t xml:space="preserve">Covid-19. </w:t>
      </w:r>
      <w:r w:rsidR="0078385F">
        <w:rPr>
          <w:rFonts w:ascii="Calibri Light" w:hAnsi="Calibri Light" w:cs="Calibri Light"/>
          <w:lang w:val="es-ES"/>
        </w:rPr>
        <w:t>E</w:t>
      </w:r>
      <w:r w:rsidR="00141FD7">
        <w:rPr>
          <w:rFonts w:ascii="Calibri Light" w:hAnsi="Calibri Light" w:cs="Calibri Light"/>
          <w:lang w:val="es-ES"/>
        </w:rPr>
        <w:t>n este sentido</w:t>
      </w:r>
      <w:r w:rsidRPr="00746F89">
        <w:rPr>
          <w:rFonts w:ascii="Calibri Light" w:hAnsi="Calibri Light" w:cs="Calibri Light"/>
          <w:lang w:val="es-ES"/>
        </w:rPr>
        <w:t xml:space="preserve">, la CE propone cambios en las normas del mercado de capitales, incluida una reducción de los niveles de protección de los inversores. </w:t>
      </w:r>
    </w:p>
    <w:p w14:paraId="4A0646D0" w14:textId="6F5BE3B7" w:rsidR="00AB1AE0" w:rsidRPr="00746F89" w:rsidRDefault="00746F89">
      <w:pPr>
        <w:jc w:val="both"/>
        <w:rPr>
          <w:lang w:val="es-ES"/>
        </w:rPr>
      </w:pPr>
      <w:r w:rsidRPr="00746F89">
        <w:rPr>
          <w:rFonts w:ascii="Calibri Light" w:hAnsi="Calibri Light" w:cs="Calibri Light"/>
          <w:lang w:val="es-ES"/>
        </w:rPr>
        <w:t>BETTER FINANCE, como representante de los ciudadanos de la UE usuarios de los servicios financieros, simpatiza con la necesidad de es</w:t>
      </w:r>
      <w:r w:rsidR="00141FD7">
        <w:rPr>
          <w:rFonts w:ascii="Calibri Light" w:hAnsi="Calibri Light" w:cs="Calibri Light"/>
          <w:lang w:val="es-ES"/>
        </w:rPr>
        <w:t>t</w:t>
      </w:r>
      <w:r w:rsidRPr="00746F89">
        <w:rPr>
          <w:rFonts w:ascii="Calibri Light" w:hAnsi="Calibri Light" w:cs="Calibri Light"/>
          <w:lang w:val="es-ES"/>
        </w:rPr>
        <w:t xml:space="preserve">as medidas </w:t>
      </w:r>
      <w:r w:rsidR="00141FD7">
        <w:rPr>
          <w:rFonts w:ascii="Calibri Light" w:hAnsi="Calibri Light" w:cs="Calibri Light"/>
          <w:lang w:val="es-ES"/>
        </w:rPr>
        <w:t>provisionales</w:t>
      </w:r>
      <w:r w:rsidR="00141FD7" w:rsidRPr="00746F89">
        <w:rPr>
          <w:rFonts w:ascii="Calibri Light" w:hAnsi="Calibri Light" w:cs="Calibri Light"/>
          <w:lang w:val="es-ES"/>
        </w:rPr>
        <w:t xml:space="preserve"> </w:t>
      </w:r>
      <w:r w:rsidRPr="00746F89">
        <w:rPr>
          <w:rFonts w:ascii="Calibri Light" w:hAnsi="Calibri Light" w:cs="Calibri Light"/>
          <w:lang w:val="es-ES"/>
        </w:rPr>
        <w:t xml:space="preserve">y comprende la prioridad </w:t>
      </w:r>
      <w:r w:rsidR="00141FD7">
        <w:rPr>
          <w:rFonts w:ascii="Calibri Light" w:hAnsi="Calibri Light" w:cs="Calibri Light"/>
          <w:lang w:val="es-ES"/>
        </w:rPr>
        <w:t>de</w:t>
      </w:r>
      <w:r w:rsidRPr="00746F89">
        <w:rPr>
          <w:rFonts w:ascii="Calibri Light" w:hAnsi="Calibri Light" w:cs="Calibri Light"/>
          <w:lang w:val="es-ES"/>
        </w:rPr>
        <w:t xml:space="preserve"> la aceleración de la financiación de la economía real. No obstante, estas medidas necesarias podrían poner en mayor peligro a los inversores </w:t>
      </w:r>
      <w:r w:rsidR="00141FD7">
        <w:rPr>
          <w:rFonts w:ascii="Calibri Light" w:hAnsi="Calibri Light" w:cs="Calibri Light"/>
          <w:lang w:val="es-ES"/>
        </w:rPr>
        <w:t>privado</w:t>
      </w:r>
      <w:r w:rsidR="00141FD7" w:rsidRPr="00746F89">
        <w:rPr>
          <w:rFonts w:ascii="Calibri Light" w:hAnsi="Calibri Light" w:cs="Calibri Light"/>
          <w:lang w:val="es-ES"/>
        </w:rPr>
        <w:t xml:space="preserve">s </w:t>
      </w:r>
      <w:r w:rsidRPr="00746F89">
        <w:rPr>
          <w:rFonts w:ascii="Calibri Light" w:hAnsi="Calibri Light" w:cs="Calibri Light"/>
          <w:lang w:val="es-ES"/>
        </w:rPr>
        <w:t xml:space="preserve">y erosionar una vez más su confianza en los mercados de capitales. Por esta razón, BETTER FINANCE se siente decepcionado por el hecho de que el paquete de recuperación no contenga nada que contrarreste esta reducción de la protección de los inversores, haciendo caso omiso de las muy recientes recomendaciones del propio </w:t>
      </w:r>
      <w:hyperlink r:id="rId10" w:history="1">
        <w:r w:rsidRPr="00746F89">
          <w:rPr>
            <w:rStyle w:val="Hipervnculo"/>
            <w:rFonts w:ascii="Calibri Light" w:hAnsi="Calibri Light" w:cs="Calibri Light"/>
            <w:lang w:val="es-ES"/>
          </w:rPr>
          <w:t xml:space="preserve">Foro de Alto Nivel de la </w:t>
        </w:r>
      </w:hyperlink>
      <w:r w:rsidRPr="00670C72">
        <w:rPr>
          <w:rStyle w:val="Hipervnculo"/>
        </w:rPr>
        <w:t xml:space="preserve">Comisión Europea </w:t>
      </w:r>
      <w:hyperlink r:id="rId11" w:history="1">
        <w:r w:rsidRPr="00746F89">
          <w:rPr>
            <w:rStyle w:val="Hipervnculo"/>
            <w:rFonts w:ascii="Calibri Light" w:hAnsi="Calibri Light" w:cs="Calibri Light"/>
            <w:lang w:val="es-ES"/>
          </w:rPr>
          <w:t xml:space="preserve">sobre la Unión de Mercados de Capitales, </w:t>
        </w:r>
      </w:hyperlink>
      <w:r w:rsidRPr="00746F89">
        <w:rPr>
          <w:rFonts w:ascii="Calibri Light" w:hAnsi="Calibri Light" w:cs="Calibri Light"/>
          <w:lang w:val="es-ES"/>
        </w:rPr>
        <w:t xml:space="preserve">que podría finalmente proporcionar a los ciudadanos de la UE, </w:t>
      </w:r>
      <w:r w:rsidR="00141FD7">
        <w:rPr>
          <w:rFonts w:ascii="Calibri Light" w:hAnsi="Calibri Light" w:cs="Calibri Light"/>
          <w:lang w:val="es-ES"/>
        </w:rPr>
        <w:t>en su condición de</w:t>
      </w:r>
      <w:r w:rsidR="00141FD7" w:rsidRPr="00746F89">
        <w:rPr>
          <w:rFonts w:ascii="Calibri Light" w:hAnsi="Calibri Light" w:cs="Calibri Light"/>
          <w:lang w:val="es-ES"/>
        </w:rPr>
        <w:t xml:space="preserve"> </w:t>
      </w:r>
      <w:r w:rsidRPr="00746F89">
        <w:rPr>
          <w:rFonts w:ascii="Calibri Light" w:hAnsi="Calibri Light" w:cs="Calibri Light"/>
          <w:lang w:val="es-ES"/>
        </w:rPr>
        <w:t>inversores en los mercados de capitales, la posibilidad de recurrir en caso de que sufran abusos.</w:t>
      </w:r>
    </w:p>
    <w:p w14:paraId="4A0646D1" w14:textId="28320A5C" w:rsidR="00AB1AE0" w:rsidRPr="00746F89" w:rsidRDefault="00746F89">
      <w:pPr>
        <w:jc w:val="both"/>
        <w:rPr>
          <w:lang w:val="es-ES"/>
        </w:rPr>
      </w:pPr>
      <w:r w:rsidRPr="00746F89">
        <w:rPr>
          <w:rFonts w:ascii="Calibri Light" w:hAnsi="Calibri Light" w:cs="Calibri Light"/>
          <w:lang w:val="es-ES"/>
        </w:rPr>
        <w:t xml:space="preserve">Concretamente, BETTER FINANCE pide a la Comisión Europea que siga la </w:t>
      </w:r>
      <w:bookmarkStart w:id="1" w:name="_GoBack"/>
      <w:r w:rsidR="00670C72" w:rsidRPr="00670C72">
        <w:rPr>
          <w:rStyle w:val="Hipervnculo"/>
          <w:rFonts w:ascii="Calibri Light" w:hAnsi="Calibri Light" w:cs="Calibri Light"/>
          <w:lang w:val="es-ES"/>
        </w:rPr>
        <w:fldChar w:fldCharType="begin"/>
      </w:r>
      <w:r w:rsidR="00670C72" w:rsidRPr="00670C72">
        <w:rPr>
          <w:rStyle w:val="Hipervnculo"/>
          <w:rFonts w:ascii="Calibri Light" w:hAnsi="Calibri Light" w:cs="Calibri Light"/>
        </w:rPr>
        <w:instrText xml:space="preserve"> HYPERLINK "https://ec.europa.eu/info/sites/info/files/business_economy_euro/growth_and_investment/documents/200610-cmu-high-level-forum-final-report_en.pdf" </w:instrText>
      </w:r>
      <w:r w:rsidR="00670C72" w:rsidRPr="00670C72">
        <w:rPr>
          <w:rStyle w:val="Hipervnculo"/>
          <w:rFonts w:ascii="Calibri Light" w:hAnsi="Calibri Light" w:cs="Calibri Light"/>
          <w:lang w:val="es-ES"/>
        </w:rPr>
        <w:fldChar w:fldCharType="separate"/>
      </w:r>
      <w:r w:rsidRPr="00746F89">
        <w:rPr>
          <w:rStyle w:val="Hipervnculo"/>
          <w:rFonts w:ascii="Calibri Light" w:hAnsi="Calibri Light" w:cs="Calibri Light"/>
          <w:lang w:val="es-ES"/>
        </w:rPr>
        <w:t xml:space="preserve">recomendación del Foro de Alto Nivel sobre la unión de los mercados </w:t>
      </w:r>
      <w:r w:rsidR="00670C72">
        <w:rPr>
          <w:rStyle w:val="Hipervnculo"/>
          <w:rFonts w:ascii="Calibri Light" w:hAnsi="Calibri Light" w:cs="Calibri Light"/>
          <w:lang w:val="es-ES"/>
        </w:rPr>
        <w:fldChar w:fldCharType="end"/>
      </w:r>
      <w:r w:rsidRPr="00670C72">
        <w:rPr>
          <w:rStyle w:val="Hipervnculo"/>
        </w:rPr>
        <w:t xml:space="preserve">de capitales </w:t>
      </w:r>
      <w:r w:rsidRPr="00746F89">
        <w:rPr>
          <w:rStyle w:val="Hipervnculo"/>
          <w:rFonts w:ascii="Calibri Light" w:hAnsi="Calibri Light" w:cs="Calibri Light"/>
          <w:lang w:val="es-ES"/>
        </w:rPr>
        <w:t xml:space="preserve">(HLF </w:t>
      </w:r>
      <w:bookmarkEnd w:id="1"/>
      <w:r w:rsidR="0078385F">
        <w:rPr>
          <w:rStyle w:val="Hipervnculo"/>
          <w:rFonts w:ascii="Calibri Light" w:hAnsi="Calibri Light" w:cs="Calibri Light"/>
          <w:lang w:val="es-ES"/>
        </w:rPr>
        <w:t>UCM</w:t>
      </w:r>
      <w:r w:rsidRPr="00746F89">
        <w:rPr>
          <w:rStyle w:val="Hipervnculo"/>
          <w:rFonts w:ascii="Calibri Light" w:hAnsi="Calibri Light" w:cs="Calibri Light"/>
          <w:lang w:val="es-ES"/>
        </w:rPr>
        <w:t xml:space="preserve">) </w:t>
      </w:r>
      <w:r w:rsidRPr="00746F89">
        <w:rPr>
          <w:rFonts w:ascii="Calibri Light" w:hAnsi="Calibri Light" w:cs="Calibri Light"/>
          <w:lang w:val="es-ES"/>
        </w:rPr>
        <w:t xml:space="preserve">y permita por fin </w:t>
      </w:r>
      <w:r w:rsidR="00141FD7">
        <w:rPr>
          <w:rFonts w:ascii="Calibri Light" w:hAnsi="Calibri Light" w:cs="Calibri Light"/>
          <w:lang w:val="es-ES"/>
        </w:rPr>
        <w:t xml:space="preserve">la inclusión de </w:t>
      </w:r>
      <w:r w:rsidRPr="00746F89">
        <w:rPr>
          <w:rFonts w:ascii="Calibri Light" w:hAnsi="Calibri Light" w:cs="Calibri Light"/>
          <w:lang w:val="es-ES"/>
        </w:rPr>
        <w:t xml:space="preserve">los inversores </w:t>
      </w:r>
      <w:r w:rsidR="00141FD7">
        <w:rPr>
          <w:rFonts w:ascii="Calibri Light" w:hAnsi="Calibri Light" w:cs="Calibri Light"/>
          <w:lang w:val="es-ES"/>
        </w:rPr>
        <w:t>privados</w:t>
      </w:r>
      <w:r w:rsidR="00141FD7" w:rsidRPr="00746F89">
        <w:rPr>
          <w:rFonts w:ascii="Calibri Light" w:hAnsi="Calibri Light" w:cs="Calibri Light"/>
          <w:lang w:val="es-ES"/>
        </w:rPr>
        <w:t xml:space="preserve"> </w:t>
      </w:r>
      <w:r w:rsidRPr="00746F89">
        <w:rPr>
          <w:rFonts w:ascii="Calibri Light" w:hAnsi="Calibri Light" w:cs="Calibri Light"/>
          <w:lang w:val="es-ES"/>
        </w:rPr>
        <w:t xml:space="preserve">no profesionales en instrumentos del mercado de capitales en el proyecto de directiva sobre el recurso </w:t>
      </w:r>
      <w:hyperlink r:id="rId12" w:history="1">
        <w:r w:rsidRPr="00746F89">
          <w:rPr>
            <w:rStyle w:val="Hipervnculo"/>
            <w:rFonts w:ascii="Calibri Light" w:hAnsi="Calibri Light" w:cs="Calibri Light"/>
            <w:lang w:val="es-ES"/>
          </w:rPr>
          <w:t>colectivo en toda la UE</w:t>
        </w:r>
        <w:r w:rsidRPr="00DA0B82">
          <w:rPr>
            <w:rStyle w:val="Hipervnculo"/>
            <w:rFonts w:ascii="Calibri Light" w:hAnsi="Calibri Light" w:cs="Calibri Light"/>
            <w:color w:val="auto"/>
            <w:u w:val="none"/>
            <w:lang w:val="es-ES"/>
          </w:rPr>
          <w:t xml:space="preserve"> que está actualmente</w:t>
        </w:r>
        <w:r w:rsidRPr="00746F89">
          <w:rPr>
            <w:rStyle w:val="Hipervnculo"/>
            <w:rFonts w:ascii="Calibri Light" w:hAnsi="Calibri Light" w:cs="Calibri Light"/>
            <w:lang w:val="es-ES"/>
          </w:rPr>
          <w:t xml:space="preserve"> </w:t>
        </w:r>
        <w:r w:rsidRPr="00DA0B82">
          <w:rPr>
            <w:rStyle w:val="Hipervnculo"/>
            <w:rFonts w:ascii="Calibri Light" w:hAnsi="Calibri Light" w:cs="Calibri Light"/>
            <w:color w:val="auto"/>
            <w:u w:val="none"/>
            <w:lang w:val="es-ES"/>
          </w:rPr>
          <w:t>sobre la mesa de</w:t>
        </w:r>
        <w:r w:rsidRPr="00746F89">
          <w:rPr>
            <w:rStyle w:val="Hipervnculo"/>
            <w:rFonts w:ascii="Calibri Light" w:hAnsi="Calibri Light" w:cs="Calibri Light"/>
            <w:lang w:val="es-ES"/>
          </w:rPr>
          <w:t xml:space="preserve"> </w:t>
        </w:r>
      </w:hyperlink>
      <w:r w:rsidRPr="00746F89">
        <w:rPr>
          <w:rFonts w:ascii="Calibri Light" w:hAnsi="Calibri Light" w:cs="Calibri Light"/>
          <w:lang w:val="es-ES"/>
        </w:rPr>
        <w:t xml:space="preserve">los colegisladores europeos y garantice </w:t>
      </w:r>
      <w:r w:rsidR="00141FD7">
        <w:rPr>
          <w:rFonts w:ascii="Calibri Light" w:hAnsi="Calibri Light" w:cs="Calibri Light"/>
          <w:lang w:val="es-ES"/>
        </w:rPr>
        <w:t>su</w:t>
      </w:r>
      <w:r w:rsidRPr="00746F89">
        <w:rPr>
          <w:rFonts w:ascii="Calibri Light" w:hAnsi="Calibri Light" w:cs="Calibri Light"/>
          <w:lang w:val="es-ES"/>
        </w:rPr>
        <w:t xml:space="preserve"> acceso a un recurso en caso de abusos del mercado.</w:t>
      </w:r>
    </w:p>
    <w:p w14:paraId="4A0646D2" w14:textId="46C74A2F" w:rsidR="00AB1AE0" w:rsidRPr="00746F89" w:rsidRDefault="00746F89">
      <w:pPr>
        <w:jc w:val="both"/>
        <w:rPr>
          <w:rFonts w:ascii="Calibri Light" w:hAnsi="Calibri Light" w:cs="Calibri Light"/>
          <w:lang w:val="es-ES"/>
        </w:rPr>
      </w:pPr>
      <w:r w:rsidRPr="00746F89">
        <w:rPr>
          <w:rFonts w:ascii="Calibri Light" w:hAnsi="Calibri Light" w:cs="Calibri Light"/>
          <w:lang w:val="es-ES"/>
        </w:rPr>
        <w:t>El informe del HLF</w:t>
      </w:r>
      <w:r w:rsidR="00141FD7">
        <w:rPr>
          <w:rFonts w:ascii="Calibri Light" w:hAnsi="Calibri Light" w:cs="Calibri Light"/>
          <w:lang w:val="es-ES"/>
        </w:rPr>
        <w:t xml:space="preserve"> CMU</w:t>
      </w:r>
      <w:r w:rsidRPr="00746F89">
        <w:rPr>
          <w:rFonts w:ascii="Calibri Light" w:hAnsi="Calibri Light" w:cs="Calibri Light"/>
          <w:lang w:val="es-ES"/>
        </w:rPr>
        <w:t xml:space="preserve"> incluye </w:t>
      </w:r>
      <w:r w:rsidR="00141FD7">
        <w:rPr>
          <w:rFonts w:ascii="Calibri Light" w:hAnsi="Calibri Light" w:cs="Calibri Light"/>
          <w:lang w:val="es-ES"/>
        </w:rPr>
        <w:t>el recurso</w:t>
      </w:r>
      <w:r w:rsidRPr="00746F89">
        <w:rPr>
          <w:rFonts w:ascii="Calibri Light" w:hAnsi="Calibri Light" w:cs="Calibri Light"/>
          <w:lang w:val="es-ES"/>
        </w:rPr>
        <w:t xml:space="preserve"> </w:t>
      </w:r>
      <w:r w:rsidR="00141FD7" w:rsidRPr="00746F89">
        <w:rPr>
          <w:rFonts w:ascii="Calibri Light" w:hAnsi="Calibri Light" w:cs="Calibri Light"/>
          <w:lang w:val="es-ES"/>
        </w:rPr>
        <w:t>colectiv</w:t>
      </w:r>
      <w:r w:rsidR="00141FD7">
        <w:rPr>
          <w:rFonts w:ascii="Calibri Light" w:hAnsi="Calibri Light" w:cs="Calibri Light"/>
          <w:lang w:val="es-ES"/>
        </w:rPr>
        <w:t>o</w:t>
      </w:r>
      <w:r w:rsidR="00141FD7" w:rsidRPr="00746F89">
        <w:rPr>
          <w:rFonts w:ascii="Calibri Light" w:hAnsi="Calibri Light" w:cs="Calibri Light"/>
          <w:lang w:val="es-ES"/>
        </w:rPr>
        <w:t xml:space="preserve"> </w:t>
      </w:r>
      <w:r w:rsidRPr="00746F89">
        <w:rPr>
          <w:rFonts w:ascii="Calibri Light" w:hAnsi="Calibri Light" w:cs="Calibri Light"/>
          <w:lang w:val="es-ES"/>
        </w:rPr>
        <w:t xml:space="preserve">como una recomendación clave para restablecer la confianza de los consumidores financieros y atraer </w:t>
      </w:r>
      <w:r w:rsidR="00141FD7">
        <w:rPr>
          <w:rFonts w:ascii="Calibri Light" w:hAnsi="Calibri Light" w:cs="Calibri Light"/>
          <w:lang w:val="es-ES"/>
        </w:rPr>
        <w:t>un mayor número de</w:t>
      </w:r>
      <w:r w:rsidR="00141FD7" w:rsidRPr="00746F89">
        <w:rPr>
          <w:rFonts w:ascii="Calibri Light" w:hAnsi="Calibri Light" w:cs="Calibri Light"/>
          <w:lang w:val="es-ES"/>
        </w:rPr>
        <w:t xml:space="preserve"> </w:t>
      </w:r>
      <w:r w:rsidRPr="00746F89">
        <w:rPr>
          <w:rFonts w:ascii="Calibri Light" w:hAnsi="Calibri Light" w:cs="Calibri Light"/>
          <w:lang w:val="es-ES"/>
        </w:rPr>
        <w:t>inversiones de los hogares de la UE en la economía real a través de los mercados de capital.</w:t>
      </w:r>
    </w:p>
    <w:p w14:paraId="4A0646D3" w14:textId="55BB9412" w:rsidR="00AB1AE0" w:rsidRPr="00746F89" w:rsidRDefault="00746F89">
      <w:pPr>
        <w:jc w:val="both"/>
        <w:rPr>
          <w:lang w:val="es-ES"/>
        </w:rPr>
      </w:pPr>
      <w:r w:rsidRPr="00746F89">
        <w:rPr>
          <w:rFonts w:ascii="Calibri Light" w:hAnsi="Calibri Light" w:cs="Calibri Light"/>
          <w:lang w:val="es-ES"/>
        </w:rPr>
        <w:t>Guillaume Prache, Director General de BETTER FINANCE, señaló que "</w:t>
      </w:r>
      <w:r w:rsidRPr="00746F89">
        <w:rPr>
          <w:rFonts w:ascii="Calibri Light" w:hAnsi="Calibri Light" w:cs="Calibri Light"/>
          <w:i/>
          <w:iCs/>
          <w:lang w:val="es-ES"/>
        </w:rPr>
        <w:t xml:space="preserve">los recientes e indignantes fallos de </w:t>
      </w:r>
      <w:r w:rsidR="00141FD7">
        <w:rPr>
          <w:rFonts w:ascii="Calibri Light" w:hAnsi="Calibri Light" w:cs="Calibri Light"/>
          <w:i/>
          <w:iCs/>
          <w:lang w:val="es-ES"/>
        </w:rPr>
        <w:t>gobernabilidad corporativa</w:t>
      </w:r>
      <w:r w:rsidR="00670C72">
        <w:rPr>
          <w:rFonts w:ascii="Calibri Light" w:hAnsi="Calibri Light" w:cs="Calibri Light"/>
          <w:i/>
          <w:iCs/>
          <w:lang w:val="es-ES"/>
        </w:rPr>
        <w:t xml:space="preserve">, </w:t>
      </w:r>
      <w:hyperlink r:id="rId13" w:history="1">
        <w:r w:rsidRPr="00746F89">
          <w:rPr>
            <w:rStyle w:val="Hipervnculo"/>
            <w:rFonts w:ascii="Calibri Light" w:hAnsi="Calibri Light" w:cs="Calibri Light"/>
            <w:i/>
            <w:iCs/>
            <w:lang w:val="es-ES"/>
          </w:rPr>
          <w:t>auditoría externa y supervisión en el repentino colapso de</w:t>
        </w:r>
        <w:r w:rsidR="00141FD7">
          <w:rPr>
            <w:rStyle w:val="Hipervnculo"/>
            <w:rFonts w:ascii="Calibri Light" w:hAnsi="Calibri Light" w:cs="Calibri Light"/>
            <w:i/>
            <w:iCs/>
            <w:lang w:val="es-ES"/>
          </w:rPr>
          <w:t xml:space="preserve"> </w:t>
        </w:r>
        <w:r w:rsidRPr="00746F89">
          <w:rPr>
            <w:rStyle w:val="Hipervnculo"/>
            <w:rFonts w:ascii="Calibri Light" w:hAnsi="Calibri Light" w:cs="Calibri Light"/>
            <w:i/>
            <w:iCs/>
            <w:lang w:val="es-ES"/>
          </w:rPr>
          <w:t xml:space="preserve">WirecardAG </w:t>
        </w:r>
      </w:hyperlink>
      <w:r w:rsidRPr="00746F89">
        <w:rPr>
          <w:rFonts w:ascii="Calibri Light" w:hAnsi="Calibri Light" w:cs="Calibri Light"/>
          <w:i/>
          <w:iCs/>
          <w:lang w:val="es-ES"/>
        </w:rPr>
        <w:t xml:space="preserve">-que acabó con unos 20.000 millones de euros de ahorros de los ciudadanos de la UE en materia de pensiones- muestran claramente que los reguladores de la UE deben mejorar, empezando por la aplicación de un plan de recuperación de la </w:t>
      </w:r>
      <w:r w:rsidR="0078385F">
        <w:rPr>
          <w:rFonts w:ascii="Calibri Light" w:hAnsi="Calibri Light" w:cs="Calibri Light"/>
          <w:i/>
          <w:iCs/>
          <w:lang w:val="es-ES"/>
        </w:rPr>
        <w:t>UCM</w:t>
      </w:r>
      <w:r w:rsidR="0078385F" w:rsidRPr="00746F89">
        <w:rPr>
          <w:rFonts w:ascii="Calibri Light" w:hAnsi="Calibri Light" w:cs="Calibri Light"/>
          <w:i/>
          <w:iCs/>
          <w:lang w:val="es-ES"/>
        </w:rPr>
        <w:t xml:space="preserve"> </w:t>
      </w:r>
      <w:r w:rsidRPr="00746F89">
        <w:rPr>
          <w:rFonts w:ascii="Calibri Light" w:hAnsi="Calibri Light" w:cs="Calibri Light"/>
          <w:i/>
          <w:iCs/>
          <w:lang w:val="es-ES"/>
        </w:rPr>
        <w:t xml:space="preserve">más equilibrado en el que no se olvide a los ciudadanos de la UE </w:t>
      </w:r>
      <w:r w:rsidR="0078385F">
        <w:rPr>
          <w:rFonts w:ascii="Calibri Light" w:hAnsi="Calibri Light" w:cs="Calibri Light"/>
          <w:i/>
          <w:iCs/>
          <w:lang w:val="es-ES"/>
        </w:rPr>
        <w:t>en su condición de</w:t>
      </w:r>
      <w:r w:rsidR="0078385F" w:rsidRPr="00746F89">
        <w:rPr>
          <w:rFonts w:ascii="Calibri Light" w:hAnsi="Calibri Light" w:cs="Calibri Light"/>
          <w:i/>
          <w:iCs/>
          <w:lang w:val="es-ES"/>
        </w:rPr>
        <w:t xml:space="preserve"> </w:t>
      </w:r>
      <w:r w:rsidRPr="00746F89">
        <w:rPr>
          <w:rFonts w:ascii="Calibri Light" w:hAnsi="Calibri Light" w:cs="Calibri Light"/>
          <w:i/>
          <w:iCs/>
          <w:lang w:val="es-ES"/>
        </w:rPr>
        <w:t xml:space="preserve">inversores </w:t>
      </w:r>
      <w:r w:rsidR="0078385F">
        <w:rPr>
          <w:rFonts w:ascii="Calibri Light" w:hAnsi="Calibri Light" w:cs="Calibri Light"/>
          <w:i/>
          <w:iCs/>
          <w:lang w:val="es-ES"/>
        </w:rPr>
        <w:t>privados</w:t>
      </w:r>
      <w:r w:rsidR="0078385F" w:rsidRPr="00746F89">
        <w:rPr>
          <w:rFonts w:ascii="Calibri Light" w:hAnsi="Calibri Light" w:cs="Calibri Light"/>
          <w:i/>
          <w:iCs/>
          <w:lang w:val="es-ES"/>
        </w:rPr>
        <w:t xml:space="preserve"> </w:t>
      </w:r>
      <w:r w:rsidRPr="00746F89">
        <w:rPr>
          <w:rFonts w:ascii="Calibri Light" w:hAnsi="Calibri Light" w:cs="Calibri Light"/>
          <w:i/>
          <w:iCs/>
          <w:lang w:val="es-ES"/>
        </w:rPr>
        <w:t>y ahorradores de pensiones</w:t>
      </w:r>
      <w:r w:rsidRPr="00746F89">
        <w:rPr>
          <w:rFonts w:ascii="Calibri Light" w:hAnsi="Calibri Light" w:cs="Calibri Light"/>
          <w:lang w:val="es-ES"/>
        </w:rPr>
        <w:t xml:space="preserve">". </w:t>
      </w:r>
    </w:p>
    <w:p w14:paraId="4A0646D4" w14:textId="77777777" w:rsidR="00AB1AE0" w:rsidRPr="00746F89" w:rsidRDefault="00746F89">
      <w:pPr>
        <w:spacing w:after="0" w:line="240" w:lineRule="auto"/>
        <w:jc w:val="center"/>
        <w:rPr>
          <w:rFonts w:ascii="Calibri Light" w:hAnsi="Calibri Light" w:cs="Calibri Light"/>
          <w:lang w:val="es-ES"/>
        </w:rPr>
      </w:pPr>
      <w:r w:rsidRPr="00746F89">
        <w:rPr>
          <w:rFonts w:ascii="Calibri Light" w:hAnsi="Calibri Light" w:cs="Calibri Light"/>
          <w:lang w:val="es-ES"/>
        </w:rPr>
        <w:t>***</w:t>
      </w:r>
    </w:p>
    <w:p w14:paraId="4A0646D5" w14:textId="4CAC2C44" w:rsidR="00AB1AE0" w:rsidRPr="00746F89" w:rsidRDefault="00746F89">
      <w:pPr>
        <w:pStyle w:val="Textoindependiente"/>
        <w:spacing w:after="0" w:line="240" w:lineRule="auto"/>
        <w:jc w:val="center"/>
        <w:rPr>
          <w:lang w:val="es-ES"/>
        </w:rPr>
      </w:pPr>
      <w:r w:rsidRPr="00746F89">
        <w:rPr>
          <w:rFonts w:ascii="Calibri Light" w:hAnsi="Calibri Light" w:cs="Calibri Light"/>
          <w:sz w:val="20"/>
          <w:u w:val="single"/>
          <w:lang w:val="es-ES"/>
        </w:rPr>
        <w:t>Contacto</w:t>
      </w:r>
      <w:r w:rsidRPr="00746F89">
        <w:rPr>
          <w:rFonts w:ascii="Calibri Light" w:hAnsi="Calibri Light" w:cs="Calibri Light"/>
          <w:sz w:val="20"/>
          <w:lang w:val="es-ES"/>
        </w:rPr>
        <w:t xml:space="preserve">: </w:t>
      </w:r>
      <w:r w:rsidR="0078385F">
        <w:rPr>
          <w:rFonts w:ascii="Calibri Light" w:hAnsi="Calibri Light" w:cs="Calibri Light"/>
          <w:sz w:val="20"/>
          <w:lang w:val="es-ES"/>
        </w:rPr>
        <w:t>Director de Comunicación</w:t>
      </w:r>
      <w:r w:rsidRPr="00746F89">
        <w:rPr>
          <w:rFonts w:ascii="Calibri Light" w:hAnsi="Calibri Light" w:cs="Calibri Light"/>
          <w:sz w:val="20"/>
          <w:lang w:val="es-ES"/>
        </w:rPr>
        <w:t xml:space="preserve"> ǀ Arnaud Houdmont ǀ +32 (0)2 514 37 77 ǀ </w:t>
      </w:r>
      <w:hyperlink r:id="rId14" w:history="1">
        <w:r w:rsidRPr="00746F89">
          <w:rPr>
            <w:rStyle w:val="Hipervnculo"/>
            <w:rFonts w:ascii="Calibri Light" w:hAnsi="Calibri Light" w:cs="Calibri Light"/>
            <w:sz w:val="20"/>
            <w:lang w:val="es-ES"/>
          </w:rPr>
          <w:t>houdmont@betterfinance.eu</w:t>
        </w:r>
      </w:hyperlink>
    </w:p>
    <w:p w14:paraId="4A0646D6" w14:textId="77777777" w:rsidR="00320B1F" w:rsidRPr="00746F89" w:rsidRDefault="00320B1F">
      <w:pPr>
        <w:rPr>
          <w:lang w:val="es-ES"/>
        </w:rPr>
        <w:sectPr w:rsidR="00320B1F" w:rsidRPr="00746F89">
          <w:headerReference w:type="default" r:id="rId15"/>
          <w:footerReference w:type="default" r:id="rId16"/>
          <w:pgSz w:w="11906" w:h="16838"/>
          <w:pgMar w:top="1440" w:right="1440" w:bottom="1440" w:left="1440" w:header="708" w:footer="708" w:gutter="0"/>
          <w:cols w:space="720"/>
        </w:sectPr>
      </w:pPr>
    </w:p>
    <w:p w14:paraId="4A0646D7" w14:textId="77777777" w:rsidR="00AB1AE0" w:rsidRPr="00746F89" w:rsidRDefault="00AB1AE0">
      <w:pPr>
        <w:pStyle w:val="Ttulo2"/>
        <w:spacing w:after="80"/>
        <w:ind w:left="567"/>
        <w:rPr>
          <w:lang w:val="es-ES"/>
        </w:rPr>
      </w:pPr>
    </w:p>
    <w:p w14:paraId="4A0646D8" w14:textId="77777777" w:rsidR="00AB1AE0" w:rsidRPr="00746F89" w:rsidRDefault="00AB1AE0">
      <w:pPr>
        <w:ind w:left="567" w:right="827"/>
        <w:rPr>
          <w:rFonts w:ascii="Calibri Light" w:hAnsi="Calibri Light" w:cs="Calibri Light"/>
          <w:lang w:val="es-ES"/>
        </w:rPr>
      </w:pPr>
    </w:p>
    <w:sectPr w:rsidR="00AB1AE0" w:rsidRPr="00746F89">
      <w:type w:val="continuous"/>
      <w:pgSz w:w="11906" w:h="16838"/>
      <w:pgMar w:top="1440" w:right="720"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4CD0" w14:textId="77777777" w:rsidR="009002EE" w:rsidRDefault="009002EE">
      <w:pPr>
        <w:spacing w:after="0" w:line="240" w:lineRule="auto"/>
      </w:pPr>
      <w:r>
        <w:separator/>
      </w:r>
    </w:p>
  </w:endnote>
  <w:endnote w:type="continuationSeparator" w:id="0">
    <w:p w14:paraId="7EE3A766" w14:textId="77777777" w:rsidR="009002EE" w:rsidRDefault="0090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46E1" w14:textId="77777777" w:rsidR="001D651D" w:rsidRPr="00746F89" w:rsidRDefault="00746F89">
    <w:pPr>
      <w:spacing w:before="120" w:after="0" w:line="240" w:lineRule="auto"/>
      <w:ind w:left="-567"/>
      <w:jc w:val="center"/>
      <w:rPr>
        <w:b/>
        <w:color w:val="006FB4"/>
        <w:sz w:val="16"/>
        <w:szCs w:val="16"/>
        <w:lang w:val="es-ES"/>
      </w:rPr>
    </w:pPr>
    <w:r w:rsidRPr="00746F89">
      <w:rPr>
        <w:b/>
        <w:color w:val="006FB4"/>
        <w:sz w:val="16"/>
        <w:szCs w:val="16"/>
        <w:lang w:val="es-ES"/>
      </w:rPr>
      <w:t>La Federación Europea de Inversores y Usuarios de Servicios Financieros</w:t>
    </w:r>
  </w:p>
  <w:p w14:paraId="4A0646E2" w14:textId="77777777" w:rsidR="001D651D" w:rsidRDefault="00746F89">
    <w:pPr>
      <w:spacing w:after="0" w:line="240" w:lineRule="auto"/>
      <w:ind w:left="-567"/>
      <w:jc w:val="center"/>
      <w:rPr>
        <w:color w:val="006FB4"/>
        <w:sz w:val="16"/>
        <w:szCs w:val="16"/>
        <w:lang w:val="de-DE"/>
      </w:rPr>
    </w:pPr>
    <w:r>
      <w:rPr>
        <w:color w:val="006FB4"/>
        <w:sz w:val="16"/>
        <w:szCs w:val="16"/>
        <w:lang w:val="de-DE"/>
      </w:rPr>
      <w:t>44, Rue d'Arenberg, 1000 Bruselas - Bélgica</w:t>
    </w:r>
  </w:p>
  <w:p w14:paraId="4A0646E3" w14:textId="77777777" w:rsidR="001D651D" w:rsidRPr="00746F89" w:rsidRDefault="00746F89">
    <w:pPr>
      <w:spacing w:after="0" w:line="240" w:lineRule="auto"/>
      <w:ind w:left="-567"/>
      <w:jc w:val="center"/>
      <w:rPr>
        <w:lang w:val="es-ES"/>
      </w:rPr>
    </w:pPr>
    <w:r>
      <w:rPr>
        <w:color w:val="006FB4"/>
        <w:sz w:val="16"/>
        <w:szCs w:val="16"/>
        <w:lang w:val="de-DE"/>
      </w:rPr>
      <w:t xml:space="preserve">Tel. (+32) 02 514 37 77 - Fax. </w:t>
    </w:r>
    <w:r>
      <w:rPr>
        <w:color w:val="006FB4"/>
        <w:sz w:val="16"/>
        <w:szCs w:val="16"/>
        <w:lang w:val="pt-PT"/>
      </w:rPr>
      <w:t>(+32) 02 514 36 66</w:t>
    </w:r>
  </w:p>
  <w:p w14:paraId="4A0646E4" w14:textId="77777777" w:rsidR="001D651D" w:rsidRPr="00746F89" w:rsidRDefault="00670C72">
    <w:pPr>
      <w:spacing w:after="0" w:line="240" w:lineRule="auto"/>
      <w:ind w:left="-567"/>
      <w:jc w:val="center"/>
      <w:rPr>
        <w:lang w:val="es-ES"/>
      </w:rPr>
    </w:pPr>
    <w:hyperlink r:id="rId1" w:history="1">
      <w:r w:rsidR="00746F89">
        <w:rPr>
          <w:color w:val="006FB4"/>
          <w:sz w:val="16"/>
          <w:szCs w:val="16"/>
          <w:u w:val="single"/>
          <w:lang w:val="it-IT"/>
        </w:rPr>
        <w:t>Correo electrónico</w:t>
      </w:r>
    </w:hyperlink>
    <w:r w:rsidR="00746F89">
      <w:rPr>
        <w:color w:val="006FB4"/>
        <w:sz w:val="16"/>
        <w:szCs w:val="16"/>
        <w:lang w:val="pt-PT"/>
      </w:rPr>
      <w:t xml:space="preserve">: info@betterfinance.eu - </w:t>
    </w:r>
    <w:bookmarkStart w:id="2" w:name="_Hlk944867"/>
    <w:r w:rsidR="00746F89">
      <w:fldChar w:fldCharType="begin"/>
    </w:r>
    <w:r w:rsidR="00746F89" w:rsidRPr="00746F89">
      <w:rPr>
        <w:lang w:val="es-ES"/>
      </w:rPr>
      <w:instrText xml:space="preserve"> HYPERLINK  "http://www.eurofinuse.org" </w:instrText>
    </w:r>
    <w:r w:rsidR="00746F89">
      <w:fldChar w:fldCharType="separate"/>
    </w:r>
    <w:r w:rsidR="00746F89">
      <w:rPr>
        <w:color w:val="006FB4"/>
        <w:sz w:val="16"/>
        <w:szCs w:val="16"/>
        <w:u w:val="single"/>
        <w:lang w:val="it-IT"/>
      </w:rPr>
      <w:t xml:space="preserve">http://www.betterfinance.eu </w:t>
    </w:r>
    <w:r w:rsidR="00746F89">
      <w:rPr>
        <w:color w:val="006FB4"/>
        <w:sz w:val="16"/>
        <w:szCs w:val="16"/>
        <w:u w:val="single"/>
        <w:lang w:val="it-IT"/>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B8B6" w14:textId="77777777" w:rsidR="009002EE" w:rsidRDefault="009002EE">
      <w:pPr>
        <w:spacing w:after="0" w:line="240" w:lineRule="auto"/>
      </w:pPr>
      <w:r>
        <w:rPr>
          <w:color w:val="000000"/>
        </w:rPr>
        <w:separator/>
      </w:r>
    </w:p>
  </w:footnote>
  <w:footnote w:type="continuationSeparator" w:id="0">
    <w:p w14:paraId="5550E050" w14:textId="77777777" w:rsidR="009002EE" w:rsidRDefault="0090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46DB" w14:textId="77777777" w:rsidR="001D651D" w:rsidRDefault="00746F89">
    <w:pPr>
      <w:pStyle w:val="Encabezado"/>
    </w:pPr>
    <w:r>
      <w:rPr>
        <w:noProof/>
        <w:lang w:val="ca-ES" w:eastAsia="ca-ES"/>
      </w:rPr>
      <w:drawing>
        <wp:anchor distT="0" distB="0" distL="114300" distR="114300" simplePos="0" relativeHeight="251659264" behindDoc="0" locked="0" layoutInCell="1" allowOverlap="1" wp14:anchorId="4A0646D3" wp14:editId="4A0646D4">
          <wp:simplePos x="0" y="0"/>
          <wp:positionH relativeFrom="margin">
            <wp:posOffset>2564133</wp:posOffset>
          </wp:positionH>
          <wp:positionV relativeFrom="paragraph">
            <wp:posOffset>-189225</wp:posOffset>
          </wp:positionV>
          <wp:extent cx="3138165" cy="645164"/>
          <wp:effectExtent l="0" t="0" r="5085" b="2536"/>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4A0646DC" w14:textId="77777777" w:rsidR="001D651D" w:rsidRDefault="00670C72">
    <w:pPr>
      <w:pStyle w:val="Encabezado"/>
    </w:pPr>
  </w:p>
  <w:p w14:paraId="4A0646DD" w14:textId="77777777" w:rsidR="001D651D" w:rsidRDefault="00670C72">
    <w:pPr>
      <w:pStyle w:val="Encabezado"/>
      <w:rPr>
        <w:sz w:val="12"/>
        <w:szCs w:val="12"/>
      </w:rPr>
    </w:pPr>
  </w:p>
  <w:p w14:paraId="4A0646DE" w14:textId="77777777" w:rsidR="001D651D" w:rsidRDefault="00670C72">
    <w:pPr>
      <w:pStyle w:val="Encabezado"/>
      <w:rPr>
        <w:sz w:val="12"/>
        <w:szCs w:val="12"/>
      </w:rPr>
    </w:pPr>
  </w:p>
  <w:p w14:paraId="4A0646DF" w14:textId="77777777" w:rsidR="001D651D" w:rsidRDefault="00670C72">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B1AE0"/>
    <w:rsid w:val="00141FD7"/>
    <w:rsid w:val="00320B1F"/>
    <w:rsid w:val="00670C72"/>
    <w:rsid w:val="00746F89"/>
    <w:rsid w:val="0078385F"/>
    <w:rsid w:val="009002EE"/>
    <w:rsid w:val="00AB1AE0"/>
    <w:rsid w:val="00DA0B82"/>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46CC"/>
  <w15:docId w15:val="{E49C414F-D0EB-4F39-963F-5EF5737A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240" w:after="0"/>
      <w:outlineLvl w:val="0"/>
    </w:pPr>
    <w:rPr>
      <w:rFonts w:ascii="Cambria" w:eastAsia="SimSun" w:hAnsi="Cambria" w:cs="Times New Roman"/>
      <w:color w:val="365F91"/>
      <w:sz w:val="32"/>
      <w:szCs w:val="32"/>
    </w:rPr>
  </w:style>
  <w:style w:type="paragraph" w:styleId="Ttulo2">
    <w:name w:val="heading 2"/>
    <w:basedOn w:val="Normal"/>
    <w:next w:val="Normal"/>
    <w:uiPriority w:val="9"/>
    <w:unhideWhenUsed/>
    <w:qFormat/>
    <w:pPr>
      <w:keepNext/>
      <w:keepLines/>
      <w:spacing w:before="40" w:after="0"/>
      <w:outlineLvl w:val="1"/>
    </w:pPr>
    <w:rPr>
      <w:rFonts w:ascii="Cambria" w:eastAsia="SimSu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HeaderChar">
    <w:name w:val="Header Char"/>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ooterChar">
    <w:name w:val="Footer Char"/>
    <w:basedOn w:val="Fuentedeprrafopredeter"/>
  </w:style>
  <w:style w:type="paragraph" w:styleId="Textoindependiente">
    <w:name w:val="Body Text"/>
    <w:basedOn w:val="Normal"/>
    <w:pPr>
      <w:spacing w:line="240" w:lineRule="exact"/>
    </w:pPr>
    <w:rPr>
      <w:rFonts w:ascii="Tahoma" w:eastAsia="Times New Roman" w:hAnsi="Tahoma" w:cs="Times New Roman"/>
      <w:spacing w:val="10"/>
      <w:sz w:val="17"/>
      <w:szCs w:val="20"/>
      <w:lang w:val="en-US"/>
    </w:rPr>
  </w:style>
  <w:style w:type="character" w:customStyle="1" w:styleId="BodyTextChar">
    <w:name w:val="Body Text Char"/>
    <w:basedOn w:val="Fuentedeprrafopredeter"/>
    <w:rPr>
      <w:rFonts w:ascii="Tahoma" w:eastAsia="Times New Roman" w:hAnsi="Tahoma" w:cs="Times New Roman"/>
      <w:spacing w:val="10"/>
      <w:sz w:val="17"/>
      <w:szCs w:val="20"/>
      <w:lang w:val="en-US"/>
    </w:rPr>
  </w:style>
  <w:style w:type="paragraph" w:styleId="Ttulo">
    <w:name w:val="Title"/>
    <w:basedOn w:val="Normal"/>
    <w:next w:val="Normal"/>
    <w:uiPriority w:val="10"/>
    <w:qFormat/>
    <w:pPr>
      <w:spacing w:after="0" w:line="240" w:lineRule="auto"/>
    </w:pPr>
    <w:rPr>
      <w:rFonts w:ascii="Cambria" w:eastAsia="SimSun" w:hAnsi="Cambria" w:cs="Times New Roman"/>
      <w:spacing w:val="-10"/>
      <w:kern w:val="3"/>
      <w:sz w:val="56"/>
      <w:szCs w:val="56"/>
    </w:rPr>
  </w:style>
  <w:style w:type="character" w:customStyle="1" w:styleId="TitleChar">
    <w:name w:val="Title Char"/>
    <w:basedOn w:val="Fuentedeprrafopredeter"/>
    <w:rPr>
      <w:rFonts w:ascii="Cambria" w:eastAsia="SimSun" w:hAnsi="Cambria" w:cs="Times New Roman"/>
      <w:spacing w:val="-10"/>
      <w:kern w:val="3"/>
      <w:sz w:val="56"/>
      <w:szCs w:val="56"/>
    </w:rPr>
  </w:style>
  <w:style w:type="paragraph" w:styleId="Textodeglobo">
    <w:name w:val="Balloon Text"/>
    <w:basedOn w:val="Normal"/>
    <w:pPr>
      <w:spacing w:after="0" w:line="240" w:lineRule="auto"/>
    </w:pPr>
    <w:rPr>
      <w:rFonts w:ascii="Times New Roman" w:hAnsi="Times New Roman" w:cs="Times New Roman"/>
      <w:sz w:val="18"/>
      <w:szCs w:val="18"/>
    </w:rPr>
  </w:style>
  <w:style w:type="character" w:customStyle="1" w:styleId="BalloonTextChar">
    <w:name w:val="Balloon Text Char"/>
    <w:basedOn w:val="Fuentedeprrafopredeter"/>
    <w:rPr>
      <w:rFonts w:ascii="Times New Roman" w:hAnsi="Times New Roman" w:cs="Times New Roman"/>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CommentTextChar">
    <w:name w:val="Comment Text Ch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CommentSubjectChar">
    <w:name w:val="Comment Subject Char"/>
    <w:basedOn w:val="CommentTextChar"/>
    <w:rPr>
      <w:b/>
      <w:bCs/>
      <w:sz w:val="20"/>
      <w:szCs w:val="20"/>
    </w:rPr>
  </w:style>
  <w:style w:type="paragraph" w:styleId="Textonotapie">
    <w:name w:val="footnote text"/>
    <w:basedOn w:val="Normal"/>
    <w:pPr>
      <w:spacing w:after="0" w:line="240" w:lineRule="auto"/>
    </w:pPr>
    <w:rPr>
      <w:sz w:val="20"/>
      <w:szCs w:val="20"/>
    </w:rPr>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position w:val="0"/>
      <w:vertAlign w:val="superscript"/>
    </w:rPr>
  </w:style>
  <w:style w:type="character" w:styleId="Textoennegrita">
    <w:name w:val="Strong"/>
    <w:rPr>
      <w:b/>
      <w:bCs/>
    </w:rPr>
  </w:style>
  <w:style w:type="character" w:styleId="Hipervnculo">
    <w:name w:val="Hyperlink"/>
    <w:basedOn w:val="Fuentedeprrafopredeter"/>
    <w:rPr>
      <w:color w:val="0000FF"/>
      <w:u w:val="single"/>
    </w:rPr>
  </w:style>
  <w:style w:type="character" w:customStyle="1" w:styleId="Mencinsinresolver1">
    <w:name w:val="Mención sin resolver1"/>
    <w:basedOn w:val="Fuentedeprrafopredeter"/>
    <w:rPr>
      <w:color w:val="605E5C"/>
      <w:shd w:val="clear" w:color="auto" w:fill="E1DFDD"/>
    </w:rPr>
  </w:style>
  <w:style w:type="character" w:styleId="Hipervnculovisitado">
    <w:name w:val="FollowedHyperlink"/>
    <w:basedOn w:val="Fuentedeprrafopredeter"/>
    <w:rPr>
      <w:color w:val="800080"/>
      <w:u w:val="single"/>
    </w:rPr>
  </w:style>
  <w:style w:type="character" w:customStyle="1" w:styleId="Heading2Char">
    <w:name w:val="Heading 2 Char"/>
    <w:basedOn w:val="Fuentedeprrafopredeter"/>
    <w:rPr>
      <w:rFonts w:ascii="Cambria" w:eastAsia="SimSun" w:hAnsi="Cambria" w:cs="Times New Roman"/>
      <w:color w:val="365F91"/>
      <w:sz w:val="26"/>
      <w:szCs w:val="26"/>
    </w:rPr>
  </w:style>
  <w:style w:type="paragraph" w:styleId="Prrafodelista">
    <w:name w:val="List Paragraph"/>
    <w:basedOn w:val="Normal"/>
    <w:pPr>
      <w:ind w:left="720"/>
    </w:pPr>
  </w:style>
  <w:style w:type="character" w:customStyle="1" w:styleId="Heading1Char">
    <w:name w:val="Heading 1 Char"/>
    <w:basedOn w:val="Fuentedeprrafopredeter"/>
    <w:rPr>
      <w:rFonts w:ascii="Cambria" w:eastAsia="SimSun" w:hAnsi="Cambria" w:cs="Times New Roman"/>
      <w:color w:val="365F91"/>
      <w:sz w:val="32"/>
      <w:szCs w:val="32"/>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terfinance.eu/publication/wirecard-ag-an-outrageous-case-of-corporate-governance-external-auditing-and-supervisory-failures-once-again-at-the-expense-of-investors-and-pension-sav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betterfinance.eu/wp-content/uploads/Joint-BF-BEUC-letter-on-Collective-Redress-HLF-CMU-10-June-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publications/cmu-high-level-forum_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c.europa.eu/info/publications/cmu-high-level-forum_en" TargetMode="External"/><Relationship Id="rId4" Type="http://schemas.openxmlformats.org/officeDocument/2006/relationships/styles" Target="styles.xml"/><Relationship Id="rId9" Type="http://schemas.openxmlformats.org/officeDocument/2006/relationships/hyperlink" Target="https://ec.europa.eu/info/publications/200722-proposal-capital-markets-recovery_en" TargetMode="External"/><Relationship Id="rId14" Type="http://schemas.openxmlformats.org/officeDocument/2006/relationships/hyperlink" Target="mailto:houdmont@betterfinance.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rofin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D4BD3-1E1C-4CC0-8BBA-ECD4EC448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7761E-20C3-47DB-8D17-894778888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5E769-E811-4FA7-8B22-2B5123F1C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Houdmont</dc:creator>
  <cp:lastModifiedBy>Usuario</cp:lastModifiedBy>
  <cp:revision>3</cp:revision>
  <cp:lastPrinted>2020-07-31T07:30:00Z</cp:lastPrinted>
  <dcterms:created xsi:type="dcterms:W3CDTF">2020-12-11T12:16:00Z</dcterms:created>
  <dcterms:modified xsi:type="dcterms:W3CDTF">2020-12-21T20:29:00Z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