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95DF0" w14:textId="30F77A96" w:rsidR="00C64109" w:rsidRPr="001D4D7A" w:rsidRDefault="00C64109">
      <w:pPr>
        <w:rPr>
          <w:lang w:val="es-ES"/>
        </w:rPr>
      </w:pPr>
    </w:p>
    <w:p w14:paraId="19895DF1" w14:textId="77777777" w:rsidR="00C64109" w:rsidRPr="001D4D7A" w:rsidRDefault="00026E19">
      <w:pPr>
        <w:pStyle w:val="Textoindependiente"/>
        <w:spacing w:after="120" w:line="240" w:lineRule="auto"/>
        <w:jc w:val="both"/>
        <w:rPr>
          <w:lang w:val="es-ES"/>
        </w:rPr>
      </w:pPr>
      <w:r w:rsidRPr="001D4D7A">
        <w:rPr>
          <w:rStyle w:val="Textoennegrita"/>
          <w:rFonts w:ascii="Calibri Light" w:hAnsi="Calibri Light" w:cs="Calibri Light"/>
          <w:sz w:val="22"/>
          <w:szCs w:val="24"/>
          <w:lang w:val="es-ES"/>
        </w:rPr>
        <w:t>COMUNICADO DE PRENSA</w:t>
      </w:r>
    </w:p>
    <w:p w14:paraId="19895DF2" w14:textId="77045CCF" w:rsidR="00C64109" w:rsidRPr="001D4D7A" w:rsidRDefault="00026E19">
      <w:pPr>
        <w:pStyle w:val="Ttulo2"/>
        <w:jc w:val="both"/>
        <w:rPr>
          <w:rFonts w:eastAsia="Calibri" w:cs="Calibri Light"/>
          <w:b/>
          <w:color w:val="365F91"/>
          <w:spacing w:val="20"/>
          <w:kern w:val="3"/>
          <w:sz w:val="28"/>
          <w:szCs w:val="28"/>
          <w:lang w:val="es-ES"/>
        </w:rPr>
      </w:pPr>
      <w:r w:rsidRPr="001D4D7A">
        <w:rPr>
          <w:rFonts w:eastAsia="Calibri" w:cs="Calibri Light"/>
          <w:b/>
          <w:color w:val="365F91"/>
          <w:spacing w:val="20"/>
          <w:kern w:val="3"/>
          <w:sz w:val="28"/>
          <w:szCs w:val="28"/>
          <w:lang w:val="es-ES"/>
        </w:rPr>
        <w:t xml:space="preserve">El advenimiento de </w:t>
      </w:r>
      <w:r w:rsidR="00014332" w:rsidRPr="001D4D7A">
        <w:rPr>
          <w:rFonts w:eastAsia="Calibri" w:cs="Calibri Light"/>
          <w:b/>
          <w:color w:val="365F91"/>
          <w:spacing w:val="20"/>
          <w:kern w:val="3"/>
          <w:sz w:val="28"/>
          <w:szCs w:val="28"/>
          <w:lang w:val="es-ES"/>
        </w:rPr>
        <w:t xml:space="preserve">las </w:t>
      </w:r>
      <w:r w:rsidRPr="001D4D7A">
        <w:rPr>
          <w:rFonts w:eastAsia="Calibri" w:cs="Calibri Light"/>
          <w:b/>
          <w:color w:val="365F91"/>
          <w:spacing w:val="20"/>
          <w:kern w:val="3"/>
          <w:sz w:val="28"/>
          <w:szCs w:val="28"/>
          <w:lang w:val="es-ES"/>
        </w:rPr>
        <w:t>Pensiones Corona</w:t>
      </w:r>
      <w:r w:rsidR="00014332" w:rsidRPr="001D4D7A">
        <w:rPr>
          <w:rFonts w:eastAsia="Calibri" w:cs="Calibri Light"/>
          <w:b/>
          <w:color w:val="365F91"/>
          <w:spacing w:val="20"/>
          <w:kern w:val="3"/>
          <w:sz w:val="28"/>
          <w:szCs w:val="28"/>
          <w:lang w:val="es-ES"/>
        </w:rPr>
        <w:t>virus</w:t>
      </w:r>
      <w:r w:rsidRPr="001D4D7A">
        <w:rPr>
          <w:rFonts w:eastAsia="Calibri" w:cs="Calibri Light"/>
          <w:b/>
          <w:color w:val="365F91"/>
          <w:spacing w:val="20"/>
          <w:kern w:val="3"/>
          <w:sz w:val="28"/>
          <w:szCs w:val="28"/>
          <w:lang w:val="es-ES"/>
        </w:rPr>
        <w:t xml:space="preserve"> - 2020 es el punto de inflexión para las políticas de pensiones</w:t>
      </w:r>
    </w:p>
    <w:p w14:paraId="19895DF3" w14:textId="74CDB6F0" w:rsidR="00C64109" w:rsidRPr="001D4D7A" w:rsidRDefault="00026E19">
      <w:pPr>
        <w:spacing w:before="120" w:after="120" w:line="240" w:lineRule="auto"/>
        <w:jc w:val="both"/>
        <w:rPr>
          <w:lang w:val="es-ES"/>
        </w:rPr>
      </w:pPr>
      <w:r w:rsidRPr="001D4D7A">
        <w:rPr>
          <w:rFonts w:ascii="Calibri Light" w:hAnsi="Calibri Light" w:cs="Calibri Light"/>
          <w:b/>
          <w:bCs/>
          <w:color w:val="000000"/>
          <w:lang w:val="es-ES"/>
        </w:rPr>
        <w:t xml:space="preserve">25 de septiembre de 2020 </w:t>
      </w:r>
      <w:r w:rsidRPr="001D4D7A">
        <w:rPr>
          <w:rFonts w:ascii="Calibri Light" w:hAnsi="Calibri Light" w:cs="Calibri Light"/>
          <w:color w:val="000000"/>
          <w:lang w:val="es-ES"/>
        </w:rPr>
        <w:t xml:space="preserve">- BETTER FINANCE publica la octava edición de su informe sobre </w:t>
      </w:r>
      <w:r w:rsidR="00014332" w:rsidRPr="001D4D7A">
        <w:rPr>
          <w:rFonts w:ascii="Calibri Light" w:hAnsi="Calibri Light" w:cs="Calibri Light"/>
          <w:color w:val="000000"/>
          <w:lang w:val="es-ES"/>
        </w:rPr>
        <w:t>el</w:t>
      </w:r>
      <w:r w:rsidRPr="001D4D7A">
        <w:rPr>
          <w:rFonts w:ascii="Calibri Light" w:hAnsi="Calibri Light" w:cs="Calibri Light"/>
          <w:color w:val="000000"/>
          <w:lang w:val="es-ES"/>
        </w:rPr>
        <w:t xml:space="preserve"> </w:t>
      </w:r>
      <w:hyperlink r:id="rId10" w:history="1">
        <w:r w:rsidR="00014332" w:rsidRPr="001D4D7A">
          <w:rPr>
            <w:rStyle w:val="Hipervnculo"/>
            <w:rFonts w:ascii="Calibri Light" w:hAnsi="Calibri Light" w:cs="Calibri Light"/>
            <w:b/>
            <w:bCs/>
            <w:i/>
            <w:iCs/>
            <w:lang w:val="es-ES"/>
          </w:rPr>
          <w:t>Rendimiento real de los ahorros para pensiones a largo plazo</w:t>
        </w:r>
      </w:hyperlink>
      <w:r w:rsidRPr="001D4D7A">
        <w:rPr>
          <w:rFonts w:ascii="Calibri Light" w:hAnsi="Calibri Light" w:cs="Calibri Light"/>
          <w:color w:val="000000"/>
          <w:lang w:val="es-ES"/>
        </w:rPr>
        <w:t xml:space="preserve">, que marca un nuevo hito en la serie, ya que es el primero que abarca 20 años de trayectoria histórica de los </w:t>
      </w:r>
      <w:r w:rsidR="00014332" w:rsidRPr="001D4D7A">
        <w:rPr>
          <w:rFonts w:ascii="Calibri Light" w:hAnsi="Calibri Light" w:cs="Calibri Light"/>
          <w:color w:val="000000"/>
          <w:lang w:val="es-ES"/>
        </w:rPr>
        <w:t>medios de provisión</w:t>
      </w:r>
      <w:r w:rsidRPr="001D4D7A">
        <w:rPr>
          <w:rFonts w:ascii="Calibri Light" w:hAnsi="Calibri Light" w:cs="Calibri Light"/>
          <w:color w:val="000000"/>
          <w:lang w:val="es-ES"/>
        </w:rPr>
        <w:t xml:space="preserve"> para la jubilación. Al mismo tiempo, el informe se sitúa en el contexto de una pandemia que también está afectando a las pensiones. Lo que ocurra ahora dictará las perspectivas de las pensiones en las próximas décadas.</w:t>
      </w:r>
    </w:p>
    <w:p w14:paraId="19895DF4" w14:textId="402C4C7A" w:rsidR="00C64109" w:rsidRPr="001D4D7A" w:rsidRDefault="00026E19">
      <w:pPr>
        <w:spacing w:before="120" w:after="120" w:line="240" w:lineRule="auto"/>
        <w:jc w:val="both"/>
        <w:rPr>
          <w:rFonts w:ascii="Calibri Light" w:hAnsi="Calibri Light" w:cs="Calibri Light"/>
          <w:color w:val="000000"/>
          <w:lang w:val="es-ES"/>
        </w:rPr>
      </w:pPr>
      <w:r w:rsidRPr="001D4D7A">
        <w:rPr>
          <w:rFonts w:ascii="Calibri Light" w:hAnsi="Calibri Light" w:cs="Calibri Light"/>
          <w:color w:val="000000"/>
          <w:lang w:val="es-ES"/>
        </w:rPr>
        <w:t xml:space="preserve">Aunque todos los rendimientos mejoraron en 2019 gracias a los buenos resultados de los mercados de </w:t>
      </w:r>
      <w:r w:rsidR="00014332" w:rsidRPr="001D4D7A">
        <w:rPr>
          <w:rFonts w:ascii="Calibri Light" w:hAnsi="Calibri Light" w:cs="Calibri Light"/>
          <w:color w:val="000000"/>
          <w:lang w:val="es-ES"/>
        </w:rPr>
        <w:t xml:space="preserve">valores </w:t>
      </w:r>
      <w:r w:rsidRPr="001D4D7A">
        <w:rPr>
          <w:rFonts w:ascii="Calibri Light" w:hAnsi="Calibri Light" w:cs="Calibri Light"/>
          <w:color w:val="000000"/>
          <w:lang w:val="es-ES"/>
        </w:rPr>
        <w:t xml:space="preserve">y </w:t>
      </w:r>
      <w:r w:rsidR="00014332" w:rsidRPr="001D4D7A">
        <w:rPr>
          <w:rFonts w:ascii="Calibri Light" w:hAnsi="Calibri Light" w:cs="Calibri Light"/>
          <w:color w:val="000000"/>
          <w:lang w:val="es-ES"/>
        </w:rPr>
        <w:t xml:space="preserve">de </w:t>
      </w:r>
      <w:r w:rsidRPr="001D4D7A">
        <w:rPr>
          <w:rFonts w:ascii="Calibri Light" w:hAnsi="Calibri Light" w:cs="Calibri Light"/>
          <w:color w:val="000000"/>
          <w:lang w:val="es-ES"/>
        </w:rPr>
        <w:t xml:space="preserve">bonos, </w:t>
      </w:r>
      <w:r w:rsidR="00014332" w:rsidRPr="001D4D7A">
        <w:rPr>
          <w:rFonts w:ascii="Calibri Light" w:hAnsi="Calibri Light" w:cs="Calibri Light"/>
          <w:color w:val="000000"/>
          <w:lang w:val="es-ES"/>
        </w:rPr>
        <w:t xml:space="preserve">todavía son </w:t>
      </w:r>
      <w:r w:rsidRPr="001D4D7A">
        <w:rPr>
          <w:rFonts w:ascii="Calibri Light" w:hAnsi="Calibri Light" w:cs="Calibri Light"/>
          <w:color w:val="000000"/>
          <w:lang w:val="es-ES"/>
        </w:rPr>
        <w:t xml:space="preserve">demasiados </w:t>
      </w:r>
      <w:r w:rsidR="00014332" w:rsidRPr="001D4D7A">
        <w:rPr>
          <w:rFonts w:ascii="Calibri Light" w:hAnsi="Calibri Light" w:cs="Calibri Light"/>
          <w:color w:val="000000"/>
          <w:lang w:val="es-ES"/>
        </w:rPr>
        <w:t xml:space="preserve">los </w:t>
      </w:r>
      <w:r w:rsidRPr="001D4D7A">
        <w:rPr>
          <w:rFonts w:ascii="Calibri Light" w:hAnsi="Calibri Light" w:cs="Calibri Light"/>
          <w:color w:val="000000"/>
          <w:lang w:val="es-ES"/>
        </w:rPr>
        <w:t xml:space="preserve">planes de pensiones incluidos en el informe </w:t>
      </w:r>
      <w:r w:rsidR="00014332" w:rsidRPr="001D4D7A">
        <w:rPr>
          <w:rFonts w:ascii="Calibri Light" w:hAnsi="Calibri Light" w:cs="Calibri Light"/>
          <w:color w:val="000000"/>
          <w:lang w:val="es-ES"/>
        </w:rPr>
        <w:t xml:space="preserve">que </w:t>
      </w:r>
      <w:r w:rsidRPr="001D4D7A">
        <w:rPr>
          <w:rFonts w:ascii="Calibri Light" w:hAnsi="Calibri Light" w:cs="Calibri Light"/>
          <w:color w:val="000000"/>
          <w:lang w:val="es-ES"/>
        </w:rPr>
        <w:t xml:space="preserve">siguen revelando rendimientos negativos o muy bajos a largo plazo una vez </w:t>
      </w:r>
      <w:r w:rsidR="00014332" w:rsidRPr="001D4D7A">
        <w:rPr>
          <w:rFonts w:ascii="Calibri Light" w:hAnsi="Calibri Light" w:cs="Calibri Light"/>
          <w:color w:val="000000"/>
          <w:lang w:val="es-ES"/>
        </w:rPr>
        <w:t>deducidas</w:t>
      </w:r>
      <w:r w:rsidRPr="001D4D7A">
        <w:rPr>
          <w:rFonts w:ascii="Calibri Light" w:hAnsi="Calibri Light" w:cs="Calibri Light"/>
          <w:color w:val="000000"/>
          <w:lang w:val="es-ES"/>
        </w:rPr>
        <w:t xml:space="preserve"> </w:t>
      </w:r>
      <w:r w:rsidR="00014332" w:rsidRPr="001D4D7A">
        <w:rPr>
          <w:rFonts w:ascii="Calibri Light" w:hAnsi="Calibri Light" w:cs="Calibri Light"/>
          <w:color w:val="000000"/>
          <w:lang w:val="es-ES"/>
        </w:rPr>
        <w:t xml:space="preserve">las cargas </w:t>
      </w:r>
      <w:r w:rsidRPr="001D4D7A">
        <w:rPr>
          <w:rFonts w:ascii="Calibri Light" w:hAnsi="Calibri Light" w:cs="Calibri Light"/>
          <w:color w:val="000000"/>
          <w:lang w:val="es-ES"/>
        </w:rPr>
        <w:t xml:space="preserve">y la inflación. Además, desde finales de 2019, el valor de estos activos ha disminuido, </w:t>
      </w:r>
      <w:r w:rsidR="00014332" w:rsidRPr="001D4D7A">
        <w:rPr>
          <w:rFonts w:ascii="Calibri Light" w:hAnsi="Calibri Light" w:cs="Calibri Light"/>
          <w:color w:val="000000"/>
          <w:lang w:val="es-ES"/>
        </w:rPr>
        <w:t xml:space="preserve">y </w:t>
      </w:r>
      <w:r w:rsidRPr="001D4D7A">
        <w:rPr>
          <w:rFonts w:ascii="Calibri Light" w:hAnsi="Calibri Light" w:cs="Calibri Light"/>
          <w:color w:val="000000"/>
          <w:lang w:val="es-ES"/>
        </w:rPr>
        <w:t xml:space="preserve">muy probablemente </w:t>
      </w:r>
      <w:r w:rsidR="00014332" w:rsidRPr="001D4D7A">
        <w:rPr>
          <w:rFonts w:ascii="Calibri Light" w:hAnsi="Calibri Light" w:cs="Calibri Light"/>
          <w:color w:val="000000"/>
          <w:lang w:val="es-ES"/>
        </w:rPr>
        <w:t xml:space="preserve">ha anulado una </w:t>
      </w:r>
      <w:r w:rsidRPr="001D4D7A">
        <w:rPr>
          <w:rFonts w:ascii="Calibri Light" w:hAnsi="Calibri Light" w:cs="Calibri Light"/>
          <w:color w:val="000000"/>
          <w:lang w:val="es-ES"/>
        </w:rPr>
        <w:t xml:space="preserve">gran parte de las ganancias del año </w:t>
      </w:r>
      <w:r w:rsidR="00014332" w:rsidRPr="001D4D7A">
        <w:rPr>
          <w:rFonts w:ascii="Calibri Light" w:hAnsi="Calibri Light" w:cs="Calibri Light"/>
          <w:color w:val="000000"/>
          <w:lang w:val="es-ES"/>
        </w:rPr>
        <w:t>anterior</w:t>
      </w:r>
      <w:r w:rsidRPr="001D4D7A">
        <w:rPr>
          <w:rFonts w:ascii="Calibri Light" w:hAnsi="Calibri Light" w:cs="Calibri Light"/>
          <w:color w:val="000000"/>
          <w:lang w:val="es-ES"/>
        </w:rPr>
        <w:t xml:space="preserve">. La grave recesión </w:t>
      </w:r>
      <w:r w:rsidR="00014332" w:rsidRPr="001D4D7A">
        <w:rPr>
          <w:rFonts w:ascii="Calibri Light" w:hAnsi="Calibri Light" w:cs="Calibri Light"/>
          <w:color w:val="000000"/>
          <w:lang w:val="es-ES"/>
        </w:rPr>
        <w:t>actual</w:t>
      </w:r>
      <w:r w:rsidRPr="001D4D7A">
        <w:rPr>
          <w:rFonts w:ascii="Calibri Light" w:hAnsi="Calibri Light" w:cs="Calibri Light"/>
          <w:color w:val="000000"/>
          <w:lang w:val="es-ES"/>
        </w:rPr>
        <w:t xml:space="preserve"> genera </w:t>
      </w:r>
      <w:r w:rsidR="00014332" w:rsidRPr="001D4D7A">
        <w:rPr>
          <w:rFonts w:ascii="Calibri Light" w:hAnsi="Calibri Light" w:cs="Calibri Light"/>
          <w:color w:val="000000"/>
          <w:lang w:val="es-ES"/>
        </w:rPr>
        <w:t xml:space="preserve">también </w:t>
      </w:r>
      <w:r w:rsidRPr="001D4D7A">
        <w:rPr>
          <w:rFonts w:ascii="Calibri Light" w:hAnsi="Calibri Light" w:cs="Calibri Light"/>
          <w:color w:val="000000"/>
          <w:lang w:val="es-ES"/>
        </w:rPr>
        <w:t xml:space="preserve">una desaceleración en las contribuciones a las pensiones. </w:t>
      </w:r>
    </w:p>
    <w:p w14:paraId="19895DF5" w14:textId="6A7BC461" w:rsidR="00C64109" w:rsidRPr="001D4D7A" w:rsidRDefault="00026E19">
      <w:pPr>
        <w:spacing w:before="120" w:after="120" w:line="240" w:lineRule="auto"/>
        <w:jc w:val="both"/>
        <w:rPr>
          <w:rFonts w:ascii="Calibri Light" w:hAnsi="Calibri Light" w:cs="Calibri Light"/>
          <w:color w:val="000000"/>
          <w:lang w:val="es-ES"/>
        </w:rPr>
      </w:pPr>
      <w:r w:rsidRPr="001D4D7A">
        <w:rPr>
          <w:rFonts w:ascii="Calibri Light" w:hAnsi="Calibri Light" w:cs="Calibri Light"/>
          <w:color w:val="000000"/>
          <w:lang w:val="es-ES"/>
        </w:rPr>
        <w:t xml:space="preserve">Con hasta dos décadas de datos de rendimiento, </w:t>
      </w:r>
      <w:r w:rsidR="00014332" w:rsidRPr="001D4D7A">
        <w:rPr>
          <w:rFonts w:ascii="Calibri Light" w:hAnsi="Calibri Light" w:cs="Calibri Light"/>
          <w:color w:val="000000"/>
          <w:lang w:val="es-ES"/>
        </w:rPr>
        <w:t xml:space="preserve">cargas </w:t>
      </w:r>
      <w:r w:rsidRPr="001D4D7A">
        <w:rPr>
          <w:rFonts w:ascii="Calibri Light" w:hAnsi="Calibri Light" w:cs="Calibri Light"/>
          <w:color w:val="000000"/>
          <w:lang w:val="es-ES"/>
        </w:rPr>
        <w:t xml:space="preserve">y asignación de activos, BETTER FINANCE vuelve a </w:t>
      </w:r>
      <w:r w:rsidR="00014332" w:rsidRPr="001D4D7A">
        <w:rPr>
          <w:rFonts w:ascii="Calibri Light" w:hAnsi="Calibri Light" w:cs="Calibri Light"/>
          <w:color w:val="000000"/>
          <w:lang w:val="es-ES"/>
        </w:rPr>
        <w:t xml:space="preserve">disparar </w:t>
      </w:r>
      <w:r w:rsidRPr="001D4D7A">
        <w:rPr>
          <w:rFonts w:ascii="Calibri Light" w:hAnsi="Calibri Light" w:cs="Calibri Light"/>
          <w:color w:val="000000"/>
          <w:lang w:val="es-ES"/>
        </w:rPr>
        <w:t xml:space="preserve">la alarma y subraya </w:t>
      </w:r>
      <w:r w:rsidR="00014332" w:rsidRPr="001D4D7A">
        <w:rPr>
          <w:rFonts w:ascii="Calibri Light" w:hAnsi="Calibri Light" w:cs="Calibri Light"/>
          <w:color w:val="000000"/>
          <w:lang w:val="es-ES"/>
        </w:rPr>
        <w:t>la necesaria</w:t>
      </w:r>
      <w:r w:rsidRPr="001D4D7A">
        <w:rPr>
          <w:rFonts w:ascii="Calibri Light" w:hAnsi="Calibri Light" w:cs="Calibri Light"/>
          <w:color w:val="000000"/>
          <w:lang w:val="es-ES"/>
        </w:rPr>
        <w:t xml:space="preserve"> reforma</w:t>
      </w:r>
      <w:r w:rsidR="00014332" w:rsidRPr="001D4D7A">
        <w:rPr>
          <w:rFonts w:ascii="Calibri Light" w:hAnsi="Calibri Light" w:cs="Calibri Light"/>
          <w:color w:val="000000"/>
          <w:lang w:val="es-ES"/>
        </w:rPr>
        <w:t xml:space="preserve"> de</w:t>
      </w:r>
      <w:r w:rsidRPr="001D4D7A">
        <w:rPr>
          <w:rFonts w:ascii="Calibri Light" w:hAnsi="Calibri Light" w:cs="Calibri Light"/>
          <w:color w:val="000000"/>
          <w:lang w:val="es-ES"/>
        </w:rPr>
        <w:t xml:space="preserve"> las políticas de pensiones y del mercado de capitales para mitigar los efectos de la crisis sanitaria en la adecuación de las pensiones.</w:t>
      </w:r>
    </w:p>
    <w:p w14:paraId="19895DF6" w14:textId="77777777" w:rsidR="00C64109" w:rsidRPr="001D4D7A" w:rsidRDefault="00026E19">
      <w:pPr>
        <w:spacing w:before="120" w:after="0" w:line="240" w:lineRule="auto"/>
        <w:jc w:val="both"/>
        <w:rPr>
          <w:lang w:val="es-ES"/>
        </w:rPr>
      </w:pPr>
      <w:r w:rsidRPr="001D4D7A">
        <w:rPr>
          <w:rFonts w:ascii="Calibri Light" w:hAnsi="Calibri Light" w:cs="Calibri Light"/>
          <w:color w:val="000000"/>
          <w:lang w:val="es-ES"/>
        </w:rPr>
        <w:t>Algunas cuestiones clave que seguimos observando</w:t>
      </w:r>
      <w:r w:rsidRPr="001D4D7A">
        <w:rPr>
          <w:rStyle w:val="Refdenotaalpie"/>
          <w:rFonts w:ascii="Calibri Light" w:hAnsi="Calibri Light" w:cs="Calibri Light"/>
          <w:color w:val="000000"/>
          <w:lang w:val="es-ES"/>
        </w:rPr>
        <w:footnoteReference w:id="1"/>
      </w:r>
      <w:r w:rsidRPr="001D4D7A">
        <w:rPr>
          <w:rFonts w:ascii="Calibri Light" w:hAnsi="Calibri Light" w:cs="Calibri Light"/>
          <w:color w:val="000000"/>
          <w:lang w:val="es-ES"/>
        </w:rPr>
        <w:t>:</w:t>
      </w:r>
    </w:p>
    <w:p w14:paraId="19895DF7" w14:textId="77777777" w:rsidR="00C64109" w:rsidRPr="001D4D7A" w:rsidRDefault="00C64109">
      <w:pPr>
        <w:spacing w:after="0" w:line="240" w:lineRule="auto"/>
        <w:jc w:val="both"/>
        <w:rPr>
          <w:rFonts w:ascii="Calibri Light" w:hAnsi="Calibri Light" w:cs="Calibri Light"/>
          <w:color w:val="000000"/>
          <w:lang w:val="es-ES"/>
        </w:rPr>
      </w:pPr>
    </w:p>
    <w:p w14:paraId="19895DF8" w14:textId="2929A28B" w:rsidR="00C64109" w:rsidRPr="001D4D7A" w:rsidRDefault="00026E19">
      <w:pPr>
        <w:pStyle w:val="Prrafodelista"/>
        <w:numPr>
          <w:ilvl w:val="0"/>
          <w:numId w:val="1"/>
        </w:numPr>
        <w:ind w:left="426" w:hanging="284"/>
        <w:jc w:val="both"/>
        <w:rPr>
          <w:rFonts w:ascii="Calibri Light" w:hAnsi="Calibri Light" w:cs="Calibri Light"/>
          <w:color w:val="000000"/>
          <w:lang w:val="es-ES"/>
        </w:rPr>
      </w:pPr>
      <w:r w:rsidRPr="001D4D7A">
        <w:rPr>
          <w:rFonts w:ascii="Calibri Light" w:hAnsi="Calibri Light" w:cs="Calibri Light"/>
          <w:color w:val="000000"/>
          <w:lang w:val="es-ES"/>
        </w:rPr>
        <w:t xml:space="preserve">Los planes de pensiones complementarios - en su mayoría individuales (pilar III) - tienen un rendimiento inferior </w:t>
      </w:r>
      <w:r w:rsidR="00014332" w:rsidRPr="001D4D7A">
        <w:rPr>
          <w:rFonts w:ascii="Calibri Light" w:hAnsi="Calibri Light" w:cs="Calibri Light"/>
          <w:color w:val="000000"/>
          <w:lang w:val="es-ES"/>
        </w:rPr>
        <w:t>a la media</w:t>
      </w:r>
      <w:r w:rsidRPr="001D4D7A">
        <w:rPr>
          <w:rFonts w:ascii="Calibri Light" w:hAnsi="Calibri Light" w:cs="Calibri Light"/>
          <w:color w:val="000000"/>
          <w:lang w:val="es-ES"/>
        </w:rPr>
        <w:t xml:space="preserve"> de los planes de pensiones ocupacionales - colectivos (pilar II);</w:t>
      </w:r>
    </w:p>
    <w:p w14:paraId="19895DF9" w14:textId="39B2697C" w:rsidR="00C64109" w:rsidRPr="001D4D7A" w:rsidRDefault="00026E19">
      <w:pPr>
        <w:pStyle w:val="Prrafodelista"/>
        <w:numPr>
          <w:ilvl w:val="0"/>
          <w:numId w:val="1"/>
        </w:numPr>
        <w:ind w:left="426" w:hanging="284"/>
        <w:jc w:val="both"/>
        <w:rPr>
          <w:lang w:val="es-ES"/>
        </w:rPr>
      </w:pPr>
      <w:r w:rsidRPr="001D4D7A">
        <w:rPr>
          <w:rFonts w:ascii="Calibri Light" w:hAnsi="Calibri Light" w:cs="Calibri Light"/>
          <w:color w:val="000000"/>
          <w:lang w:val="es-ES"/>
        </w:rPr>
        <w:t>La gran mayoría de los productos de pensiones</w:t>
      </w:r>
      <w:r w:rsidR="008302A3" w:rsidRPr="001D4D7A">
        <w:rPr>
          <w:rStyle w:val="Refdenotaalpie"/>
          <w:rFonts w:ascii="Calibri Light" w:hAnsi="Calibri Light" w:cs="Calibri Light"/>
          <w:color w:val="000000"/>
          <w:lang w:val="es-ES"/>
        </w:rPr>
        <w:footnoteReference w:id="2"/>
      </w:r>
      <w:r w:rsidRPr="001D4D7A">
        <w:rPr>
          <w:rFonts w:ascii="Calibri Light" w:hAnsi="Calibri Light" w:cs="Calibri Light"/>
          <w:color w:val="000000"/>
          <w:lang w:val="es-ES"/>
        </w:rPr>
        <w:t xml:space="preserve"> </w:t>
      </w:r>
      <w:r w:rsidR="008302A3" w:rsidRPr="001D4D7A">
        <w:rPr>
          <w:rFonts w:ascii="Calibri Light" w:hAnsi="Calibri Light" w:cs="Calibri Light"/>
          <w:color w:val="000000"/>
          <w:lang w:val="es-ES"/>
        </w:rPr>
        <w:t>no alcanzan el rendimiento de</w:t>
      </w:r>
      <w:r w:rsidR="00735535" w:rsidRPr="001D4D7A">
        <w:rPr>
          <w:rFonts w:ascii="Calibri Light" w:hAnsi="Calibri Light" w:cs="Calibri Light"/>
          <w:color w:val="000000"/>
          <w:lang w:val="es-ES"/>
        </w:rPr>
        <w:t xml:space="preserve"> </w:t>
      </w:r>
      <w:r w:rsidRPr="001D4D7A">
        <w:rPr>
          <w:rFonts w:ascii="Calibri Light" w:hAnsi="Calibri Light" w:cs="Calibri Light"/>
          <w:color w:val="000000"/>
          <w:lang w:val="es-ES"/>
        </w:rPr>
        <w:t>un</w:t>
      </w:r>
      <w:r w:rsidR="008302A3" w:rsidRPr="001D4D7A">
        <w:rPr>
          <w:rFonts w:ascii="Calibri Light" w:hAnsi="Calibri Light" w:cs="Calibri Light"/>
          <w:color w:val="000000"/>
          <w:lang w:val="es-ES"/>
        </w:rPr>
        <w:t>a</w:t>
      </w:r>
      <w:r w:rsidRPr="001D4D7A">
        <w:rPr>
          <w:rFonts w:ascii="Calibri Light" w:hAnsi="Calibri Light" w:cs="Calibri Light"/>
          <w:color w:val="000000"/>
          <w:lang w:val="es-ES"/>
        </w:rPr>
        <w:t xml:space="preserve"> simple referencia del mercado de capitales (50% de acciones - 50% de bonos); </w:t>
      </w:r>
      <w:r w:rsidRPr="001D4D7A">
        <w:rPr>
          <w:rStyle w:val="Refdenotaalpie"/>
          <w:rFonts w:ascii="Calibri Light" w:hAnsi="Calibri Light" w:cs="Calibri Light"/>
          <w:color w:val="000000"/>
          <w:lang w:val="es-ES"/>
        </w:rPr>
        <w:footnoteReference w:id="3"/>
      </w:r>
    </w:p>
    <w:p w14:paraId="19895DFA" w14:textId="0C857F36" w:rsidR="00C64109" w:rsidRPr="001D4D7A" w:rsidRDefault="00026E19">
      <w:pPr>
        <w:pStyle w:val="Prrafodelista"/>
        <w:numPr>
          <w:ilvl w:val="0"/>
          <w:numId w:val="1"/>
        </w:numPr>
        <w:ind w:left="426" w:hanging="284"/>
        <w:jc w:val="both"/>
        <w:rPr>
          <w:rFonts w:ascii="Calibri Light" w:hAnsi="Calibri Light" w:cs="Calibri Light"/>
          <w:color w:val="000000"/>
          <w:lang w:val="es-ES"/>
        </w:rPr>
      </w:pPr>
      <w:r w:rsidRPr="001D4D7A">
        <w:rPr>
          <w:rFonts w:ascii="Calibri Light" w:hAnsi="Calibri Light" w:cs="Calibri Light"/>
          <w:color w:val="000000"/>
          <w:lang w:val="es-ES"/>
        </w:rPr>
        <w:t xml:space="preserve">Las tasas siguen </w:t>
      </w:r>
      <w:r w:rsidR="008302A3" w:rsidRPr="001D4D7A">
        <w:rPr>
          <w:rFonts w:ascii="Calibri Light" w:hAnsi="Calibri Light" w:cs="Calibri Light"/>
          <w:color w:val="000000"/>
          <w:lang w:val="es-ES"/>
        </w:rPr>
        <w:t>teniendo un gran peso</w:t>
      </w:r>
      <w:r w:rsidRPr="001D4D7A">
        <w:rPr>
          <w:rFonts w:ascii="Calibri Light" w:hAnsi="Calibri Light" w:cs="Calibri Light"/>
          <w:color w:val="000000"/>
          <w:lang w:val="es-ES"/>
        </w:rPr>
        <w:t xml:space="preserve"> en los rendimientos nominales, ya que los conflictos de intereses en la distribución siguen sin disminuir; y</w:t>
      </w:r>
    </w:p>
    <w:p w14:paraId="19895DFB" w14:textId="77777777" w:rsidR="00C64109" w:rsidRPr="001D4D7A" w:rsidRDefault="00026E19">
      <w:pPr>
        <w:pStyle w:val="Prrafodelista"/>
        <w:numPr>
          <w:ilvl w:val="0"/>
          <w:numId w:val="1"/>
        </w:numPr>
        <w:spacing w:after="120"/>
        <w:ind w:left="426" w:hanging="284"/>
        <w:jc w:val="both"/>
        <w:rPr>
          <w:rFonts w:ascii="Calibri Light" w:hAnsi="Calibri Light" w:cs="Calibri Light"/>
          <w:color w:val="000000"/>
          <w:lang w:val="es-ES"/>
        </w:rPr>
      </w:pPr>
      <w:r w:rsidRPr="001D4D7A">
        <w:rPr>
          <w:rFonts w:ascii="Calibri Light" w:hAnsi="Calibri Light" w:cs="Calibri Light"/>
          <w:color w:val="000000"/>
          <w:lang w:val="es-ES"/>
        </w:rPr>
        <w:t>La asignación de activos de los fondos de pensiones se ha ido desplazando cada vez más hacia la renta fija y los activos empaquetados (organismos de inversión colectiva) frente a la tenencia directa de valores.</w:t>
      </w:r>
    </w:p>
    <w:p w14:paraId="19895DFC" w14:textId="54926D01" w:rsidR="00C64109" w:rsidRPr="001D4D7A" w:rsidRDefault="008302A3">
      <w:pPr>
        <w:spacing w:after="240"/>
        <w:jc w:val="both"/>
        <w:rPr>
          <w:lang w:val="es-ES"/>
        </w:rPr>
      </w:pPr>
      <w:r w:rsidRPr="001D4D7A">
        <w:rPr>
          <w:rFonts w:ascii="Calibri Light" w:hAnsi="Calibri Light" w:cs="Calibri Light"/>
          <w:color w:val="000000"/>
          <w:lang w:val="es-ES"/>
        </w:rPr>
        <w:t xml:space="preserve">En opinión de </w:t>
      </w:r>
      <w:r w:rsidR="00026E19" w:rsidRPr="001D4D7A">
        <w:rPr>
          <w:rFonts w:ascii="Calibri Light" w:hAnsi="Calibri Light" w:cs="Calibri Light"/>
          <w:color w:val="000000"/>
          <w:lang w:val="es-ES"/>
        </w:rPr>
        <w:t>Guillaume Prache, Director General de BETTER FINANCE, "</w:t>
      </w:r>
      <w:r w:rsidR="00026E19" w:rsidRPr="001D4D7A">
        <w:rPr>
          <w:rFonts w:ascii="Calibri Light" w:hAnsi="Calibri Light" w:cs="Calibri Light"/>
          <w:i/>
          <w:iCs/>
          <w:color w:val="000000"/>
          <w:lang w:val="es-ES"/>
        </w:rPr>
        <w:t xml:space="preserve">esta es la </w:t>
      </w:r>
      <w:r w:rsidRPr="001D4D7A">
        <w:rPr>
          <w:rFonts w:ascii="Calibri Light" w:hAnsi="Calibri Light" w:cs="Calibri Light"/>
          <w:i/>
          <w:iCs/>
          <w:color w:val="000000"/>
          <w:lang w:val="es-ES"/>
        </w:rPr>
        <w:t xml:space="preserve">combinación </w:t>
      </w:r>
      <w:r w:rsidR="00026E19" w:rsidRPr="001D4D7A">
        <w:rPr>
          <w:rFonts w:ascii="Calibri Light" w:hAnsi="Calibri Light" w:cs="Calibri Light"/>
          <w:i/>
          <w:iCs/>
          <w:color w:val="000000"/>
          <w:lang w:val="es-ES"/>
        </w:rPr>
        <w:t xml:space="preserve">perfecta para destruir el valor real de los ahorros de las pensiones a largo plazo, sobre todo porque hemos entrado en un nuevo período de máxima represión financiera, en el que los poderes públicos han optado explícitamente por sacrificar la protección de los ahorradores a largo plazo </w:t>
      </w:r>
      <w:r w:rsidRPr="001D4D7A">
        <w:rPr>
          <w:rFonts w:ascii="Calibri Light" w:hAnsi="Calibri Light" w:cs="Calibri Light"/>
          <w:i/>
          <w:iCs/>
          <w:color w:val="000000"/>
          <w:lang w:val="es-ES"/>
        </w:rPr>
        <w:t xml:space="preserve">en aras de  </w:t>
      </w:r>
      <w:r w:rsidR="00026E19" w:rsidRPr="001D4D7A">
        <w:rPr>
          <w:rFonts w:ascii="Calibri Light" w:hAnsi="Calibri Light" w:cs="Calibri Light"/>
          <w:i/>
          <w:iCs/>
          <w:color w:val="000000"/>
          <w:lang w:val="es-ES"/>
        </w:rPr>
        <w:t xml:space="preserve">la reducción artificial de los costes de la deuda de los Estados miembros, mediante la concesión de subvenciones sin precedentes a gobiernos y bancos (en forma de tipos de interés negativos y compras masivas de deuda pública). Algunos Estados miembros han permitido incluso a los ahorradores de pensiones recurrir a sus </w:t>
      </w:r>
      <w:r w:rsidRPr="001D4D7A">
        <w:rPr>
          <w:rFonts w:ascii="Calibri Light" w:hAnsi="Calibri Light" w:cs="Calibri Light"/>
          <w:i/>
          <w:iCs/>
          <w:color w:val="000000"/>
          <w:lang w:val="es-ES"/>
        </w:rPr>
        <w:t xml:space="preserve">huchas </w:t>
      </w:r>
      <w:r w:rsidR="00026E19" w:rsidRPr="001D4D7A">
        <w:rPr>
          <w:rFonts w:ascii="Calibri Light" w:hAnsi="Calibri Light" w:cs="Calibri Light"/>
          <w:i/>
          <w:iCs/>
          <w:color w:val="000000"/>
          <w:lang w:val="es-ES"/>
        </w:rPr>
        <w:t xml:space="preserve">de pensiones </w:t>
      </w:r>
      <w:r w:rsidRPr="001D4D7A">
        <w:rPr>
          <w:rFonts w:ascii="Calibri Light" w:hAnsi="Calibri Light" w:cs="Calibri Light"/>
          <w:i/>
          <w:iCs/>
          <w:color w:val="000000"/>
          <w:lang w:val="es-ES"/>
        </w:rPr>
        <w:t xml:space="preserve">mediante la autorización de </w:t>
      </w:r>
      <w:r w:rsidR="00026E19" w:rsidRPr="001D4D7A">
        <w:rPr>
          <w:rFonts w:ascii="Calibri Light" w:hAnsi="Calibri Light" w:cs="Calibri Light"/>
          <w:i/>
          <w:iCs/>
          <w:color w:val="000000"/>
          <w:lang w:val="es-ES"/>
        </w:rPr>
        <w:t xml:space="preserve">retiradas anticipadas, y algunos planes de pensiones ya han anunciado que </w:t>
      </w:r>
      <w:r w:rsidRPr="001D4D7A">
        <w:rPr>
          <w:rFonts w:ascii="Calibri Light" w:hAnsi="Calibri Light" w:cs="Calibri Light"/>
          <w:i/>
          <w:iCs/>
          <w:color w:val="000000"/>
          <w:lang w:val="es-ES"/>
        </w:rPr>
        <w:t xml:space="preserve">la </w:t>
      </w:r>
      <w:r w:rsidR="00026E19" w:rsidRPr="001D4D7A">
        <w:rPr>
          <w:rFonts w:ascii="Calibri Light" w:hAnsi="Calibri Light" w:cs="Calibri Light"/>
          <w:i/>
          <w:iCs/>
          <w:color w:val="000000"/>
          <w:lang w:val="es-ES"/>
        </w:rPr>
        <w:t xml:space="preserve">Covid-19 podría obligarles a reducir </w:t>
      </w:r>
      <w:r w:rsidRPr="001D4D7A">
        <w:rPr>
          <w:rFonts w:ascii="Calibri Light" w:hAnsi="Calibri Light" w:cs="Calibri Light"/>
          <w:i/>
          <w:iCs/>
          <w:color w:val="000000"/>
          <w:lang w:val="es-ES"/>
        </w:rPr>
        <w:t xml:space="preserve">aún más </w:t>
      </w:r>
      <w:r w:rsidR="00026E19" w:rsidRPr="001D4D7A">
        <w:rPr>
          <w:rFonts w:ascii="Calibri Light" w:hAnsi="Calibri Light" w:cs="Calibri Light"/>
          <w:i/>
          <w:iCs/>
          <w:color w:val="000000"/>
          <w:lang w:val="es-ES"/>
        </w:rPr>
        <w:t>los derechos de pensión nominales.</w:t>
      </w:r>
    </w:p>
    <w:p w14:paraId="19895DFD" w14:textId="7C463250" w:rsidR="00C64109" w:rsidRPr="001D4D7A" w:rsidRDefault="00026E19">
      <w:pPr>
        <w:spacing w:after="240"/>
        <w:jc w:val="both"/>
        <w:rPr>
          <w:rFonts w:ascii="Calibri Light" w:hAnsi="Calibri Light" w:cs="Calibri Light"/>
          <w:i/>
          <w:iCs/>
          <w:lang w:val="es-ES"/>
        </w:rPr>
      </w:pPr>
      <w:r w:rsidRPr="001D4D7A">
        <w:rPr>
          <w:rFonts w:ascii="Calibri Light" w:hAnsi="Calibri Light" w:cs="Calibri Light"/>
          <w:i/>
          <w:iCs/>
          <w:lang w:val="es-ES"/>
        </w:rPr>
        <w:lastRenderedPageBreak/>
        <w:t>El advenimiento de</w:t>
      </w:r>
      <w:r w:rsidR="008302A3" w:rsidRPr="001D4D7A">
        <w:rPr>
          <w:rFonts w:ascii="Calibri Light" w:hAnsi="Calibri Light" w:cs="Calibri Light"/>
          <w:i/>
          <w:iCs/>
          <w:lang w:val="es-ES"/>
        </w:rPr>
        <w:t xml:space="preserve"> las</w:t>
      </w:r>
      <w:r w:rsidRPr="001D4D7A">
        <w:rPr>
          <w:rFonts w:ascii="Calibri Light" w:hAnsi="Calibri Light" w:cs="Calibri Light"/>
          <w:i/>
          <w:iCs/>
          <w:lang w:val="es-ES"/>
        </w:rPr>
        <w:t xml:space="preserve"> "Pensiones Corona</w:t>
      </w:r>
      <w:r w:rsidR="008302A3" w:rsidRPr="001D4D7A">
        <w:rPr>
          <w:rFonts w:ascii="Calibri Light" w:hAnsi="Calibri Light" w:cs="Calibri Light"/>
          <w:i/>
          <w:iCs/>
          <w:lang w:val="es-ES"/>
        </w:rPr>
        <w:t>virus</w:t>
      </w:r>
      <w:r w:rsidRPr="001D4D7A">
        <w:rPr>
          <w:rFonts w:ascii="Calibri Light" w:hAnsi="Calibri Light" w:cs="Calibri Light"/>
          <w:i/>
          <w:iCs/>
          <w:lang w:val="es-ES"/>
        </w:rPr>
        <w:t xml:space="preserve">" es otro </w:t>
      </w:r>
      <w:r w:rsidR="008302A3" w:rsidRPr="001D4D7A">
        <w:rPr>
          <w:rFonts w:ascii="Calibri Light" w:hAnsi="Calibri Light" w:cs="Calibri Light"/>
          <w:i/>
          <w:iCs/>
          <w:lang w:val="es-ES"/>
        </w:rPr>
        <w:t xml:space="preserve">cachetazo </w:t>
      </w:r>
      <w:r w:rsidRPr="001D4D7A">
        <w:rPr>
          <w:rFonts w:ascii="Calibri Light" w:hAnsi="Calibri Light" w:cs="Calibri Light"/>
          <w:i/>
          <w:iCs/>
          <w:lang w:val="es-ES"/>
        </w:rPr>
        <w:t>para los ahorradores de pensiones europeos”</w:t>
      </w:r>
      <w:r w:rsidR="007A15C1">
        <w:rPr>
          <w:rFonts w:ascii="Calibri Light" w:hAnsi="Calibri Light" w:cs="Calibri Light"/>
          <w:i/>
          <w:iCs/>
          <w:lang w:val="es-ES"/>
        </w:rPr>
        <w:t>.</w:t>
      </w:r>
    </w:p>
    <w:p w14:paraId="19895DFE" w14:textId="54FE0AEA" w:rsidR="00C64109" w:rsidRPr="001D4D7A" w:rsidRDefault="00026E19">
      <w:pPr>
        <w:spacing w:after="240"/>
        <w:jc w:val="both"/>
        <w:rPr>
          <w:rFonts w:ascii="Calibri Light" w:hAnsi="Calibri Light" w:cs="Calibri Light"/>
          <w:color w:val="000000"/>
          <w:lang w:val="es-ES"/>
        </w:rPr>
      </w:pPr>
      <w:r w:rsidRPr="001D4D7A">
        <w:rPr>
          <w:rFonts w:ascii="Calibri Light" w:hAnsi="Calibri Light" w:cs="Calibri Light"/>
          <w:color w:val="000000"/>
          <w:lang w:val="es-ES"/>
        </w:rPr>
        <w:t xml:space="preserve">BETTER FINANCE presentó 11 recomendaciones de política clave para abordar los problemas más urgentes de las pensiones privadas y crear un entorno que estimule un rendimiento decente a largo plazo. </w:t>
      </w:r>
      <w:r w:rsidR="008302A3" w:rsidRPr="001D4D7A">
        <w:rPr>
          <w:rFonts w:ascii="Calibri Light" w:hAnsi="Calibri Light" w:cs="Calibri Light"/>
          <w:color w:val="000000"/>
          <w:lang w:val="es-ES"/>
        </w:rPr>
        <w:t>A continuación</w:t>
      </w:r>
      <w:r w:rsidRPr="001D4D7A">
        <w:rPr>
          <w:rFonts w:ascii="Calibri Light" w:hAnsi="Calibri Light" w:cs="Calibri Light"/>
          <w:color w:val="000000"/>
          <w:lang w:val="es-ES"/>
        </w:rPr>
        <w:t xml:space="preserve"> reiteramos las más importantes:</w:t>
      </w:r>
    </w:p>
    <w:p w14:paraId="19895DFF" w14:textId="30F5A846" w:rsidR="00C64109" w:rsidRPr="001D4D7A" w:rsidRDefault="00026E19">
      <w:pPr>
        <w:pStyle w:val="Prrafodelista"/>
        <w:numPr>
          <w:ilvl w:val="0"/>
          <w:numId w:val="2"/>
        </w:numPr>
        <w:spacing w:after="200" w:line="276" w:lineRule="auto"/>
        <w:ind w:left="426"/>
        <w:jc w:val="both"/>
        <w:rPr>
          <w:rFonts w:ascii="Calibri Light" w:hAnsi="Calibri Light" w:cs="Calibri Light"/>
          <w:bCs/>
          <w:i/>
          <w:iCs/>
          <w:color w:val="0070C0"/>
          <w:lang w:val="es-ES"/>
        </w:rPr>
      </w:pPr>
      <w:r w:rsidRPr="001D4D7A">
        <w:rPr>
          <w:rFonts w:ascii="Calibri Light" w:hAnsi="Calibri Light" w:cs="Calibri Light"/>
          <w:bCs/>
          <w:i/>
          <w:iCs/>
          <w:color w:val="0070C0"/>
          <w:lang w:val="es-ES"/>
        </w:rPr>
        <w:t xml:space="preserve">Armonizar y reforzar las normas para frenar eficazmente los conflictos de intereses en la distribución de productos de ahorro </w:t>
      </w:r>
      <w:r w:rsidR="008302A3" w:rsidRPr="001D4D7A">
        <w:rPr>
          <w:rFonts w:ascii="Calibri Light" w:hAnsi="Calibri Light" w:cs="Calibri Light"/>
          <w:bCs/>
          <w:i/>
          <w:iCs/>
          <w:color w:val="0070C0"/>
          <w:lang w:val="es-ES"/>
        </w:rPr>
        <w:t xml:space="preserve">de pensiones </w:t>
      </w:r>
      <w:r w:rsidRPr="001D4D7A">
        <w:rPr>
          <w:rFonts w:ascii="Calibri Light" w:hAnsi="Calibri Light" w:cs="Calibri Light"/>
          <w:bCs/>
          <w:i/>
          <w:iCs/>
          <w:color w:val="0070C0"/>
          <w:lang w:val="es-ES"/>
        </w:rPr>
        <w:t>a largo plazo.</w:t>
      </w:r>
    </w:p>
    <w:p w14:paraId="19895E00" w14:textId="1AF82E0E" w:rsidR="00C64109" w:rsidRPr="001D4D7A" w:rsidRDefault="00026E19">
      <w:pPr>
        <w:pStyle w:val="Prrafodelista"/>
        <w:numPr>
          <w:ilvl w:val="0"/>
          <w:numId w:val="2"/>
        </w:numPr>
        <w:spacing w:after="200" w:line="276" w:lineRule="auto"/>
        <w:ind w:left="426"/>
        <w:jc w:val="both"/>
        <w:rPr>
          <w:rFonts w:ascii="Calibri Light" w:hAnsi="Calibri Light" w:cs="Calibri Light"/>
          <w:bCs/>
          <w:i/>
          <w:iCs/>
          <w:color w:val="0070C0"/>
          <w:lang w:val="es-ES"/>
        </w:rPr>
      </w:pPr>
      <w:r w:rsidRPr="001D4D7A">
        <w:rPr>
          <w:rFonts w:ascii="Calibri Light" w:hAnsi="Calibri Light" w:cs="Calibri Light"/>
          <w:bCs/>
          <w:i/>
          <w:iCs/>
          <w:color w:val="0070C0"/>
          <w:lang w:val="es-ES"/>
        </w:rPr>
        <w:t xml:space="preserve">Restablecer la divulgación estandarizada de los resultados a largo plazo y </w:t>
      </w:r>
      <w:r w:rsidR="008302A3" w:rsidRPr="001D4D7A">
        <w:rPr>
          <w:rFonts w:ascii="Calibri Light" w:hAnsi="Calibri Light" w:cs="Calibri Light"/>
          <w:bCs/>
          <w:i/>
          <w:iCs/>
          <w:color w:val="0070C0"/>
          <w:lang w:val="es-ES"/>
        </w:rPr>
        <w:t xml:space="preserve">de </w:t>
      </w:r>
      <w:r w:rsidRPr="001D4D7A">
        <w:rPr>
          <w:rFonts w:ascii="Calibri Light" w:hAnsi="Calibri Light" w:cs="Calibri Light"/>
          <w:bCs/>
          <w:i/>
          <w:iCs/>
          <w:color w:val="0070C0"/>
          <w:lang w:val="es-ES"/>
        </w:rPr>
        <w:t xml:space="preserve">los resultados </w:t>
      </w:r>
      <w:r w:rsidR="008302A3" w:rsidRPr="001D4D7A">
        <w:rPr>
          <w:rFonts w:ascii="Calibri Light" w:hAnsi="Calibri Light" w:cs="Calibri Light"/>
          <w:bCs/>
          <w:i/>
          <w:iCs/>
          <w:color w:val="0070C0"/>
          <w:lang w:val="es-ES"/>
        </w:rPr>
        <w:t>anteriores</w:t>
      </w:r>
      <w:r w:rsidRPr="001D4D7A">
        <w:rPr>
          <w:rFonts w:ascii="Calibri Light" w:hAnsi="Calibri Light" w:cs="Calibri Light"/>
          <w:bCs/>
          <w:i/>
          <w:iCs/>
          <w:color w:val="0070C0"/>
          <w:lang w:val="es-ES"/>
        </w:rPr>
        <w:t xml:space="preserve"> para todos los productos de ahorro </w:t>
      </w:r>
      <w:r w:rsidR="008302A3" w:rsidRPr="001D4D7A">
        <w:rPr>
          <w:rFonts w:ascii="Calibri Light" w:hAnsi="Calibri Light" w:cs="Calibri Light"/>
          <w:bCs/>
          <w:i/>
          <w:iCs/>
          <w:color w:val="0070C0"/>
          <w:lang w:val="es-ES"/>
        </w:rPr>
        <w:t xml:space="preserve">de pensiones </w:t>
      </w:r>
      <w:r w:rsidRPr="001D4D7A">
        <w:rPr>
          <w:rFonts w:ascii="Calibri Light" w:hAnsi="Calibri Light" w:cs="Calibri Light"/>
          <w:bCs/>
          <w:i/>
          <w:iCs/>
          <w:color w:val="0070C0"/>
          <w:lang w:val="es-ES"/>
        </w:rPr>
        <w:t>a largo plazo.</w:t>
      </w:r>
    </w:p>
    <w:p w14:paraId="19895E01" w14:textId="77777777" w:rsidR="00C64109" w:rsidRPr="001D4D7A" w:rsidRDefault="00026E19">
      <w:pPr>
        <w:pStyle w:val="Prrafodelista"/>
        <w:numPr>
          <w:ilvl w:val="0"/>
          <w:numId w:val="2"/>
        </w:numPr>
        <w:spacing w:after="200" w:line="276" w:lineRule="auto"/>
        <w:ind w:left="426"/>
        <w:jc w:val="both"/>
        <w:rPr>
          <w:rFonts w:ascii="Calibri Light" w:hAnsi="Calibri Light" w:cs="Calibri Light"/>
          <w:bCs/>
          <w:i/>
          <w:iCs/>
          <w:color w:val="0070C0"/>
          <w:lang w:val="es-ES"/>
        </w:rPr>
      </w:pPr>
      <w:r w:rsidRPr="001D4D7A">
        <w:rPr>
          <w:rFonts w:ascii="Calibri Light" w:hAnsi="Calibri Light" w:cs="Calibri Light"/>
          <w:bCs/>
          <w:i/>
          <w:iCs/>
          <w:color w:val="0070C0"/>
          <w:lang w:val="es-ES"/>
        </w:rPr>
        <w:t>Otorgar un tratamiento especial mediante reglamentos prudenciales para todas las obligaciones a largo plazo y de pensiones (eliminar el sesgo de la deuda).</w:t>
      </w:r>
    </w:p>
    <w:p w14:paraId="19895E02" w14:textId="3E0B83E9" w:rsidR="00C64109" w:rsidRPr="001D4D7A" w:rsidRDefault="00026E19">
      <w:pPr>
        <w:pStyle w:val="Prrafodelista"/>
        <w:numPr>
          <w:ilvl w:val="0"/>
          <w:numId w:val="2"/>
        </w:numPr>
        <w:spacing w:after="200" w:line="276" w:lineRule="auto"/>
        <w:ind w:left="426"/>
        <w:jc w:val="both"/>
        <w:rPr>
          <w:rFonts w:ascii="Calibri Light" w:hAnsi="Calibri Light" w:cs="Calibri Light"/>
          <w:bCs/>
          <w:i/>
          <w:iCs/>
          <w:color w:val="0070C0"/>
          <w:lang w:val="es-ES"/>
        </w:rPr>
      </w:pPr>
      <w:r w:rsidRPr="001D4D7A">
        <w:rPr>
          <w:rFonts w:ascii="Calibri Light" w:hAnsi="Calibri Light" w:cs="Calibri Light"/>
          <w:bCs/>
          <w:i/>
          <w:iCs/>
          <w:color w:val="0070C0"/>
          <w:lang w:val="es-ES"/>
        </w:rPr>
        <w:t xml:space="preserve">Simplificar el "PEPP básico" y permitir las inversiones directas en los mercados de capitales (acciones plain vanilla, </w:t>
      </w:r>
      <w:r w:rsidR="008302A3" w:rsidRPr="001D4D7A">
        <w:rPr>
          <w:rFonts w:ascii="Calibri Light" w:hAnsi="Calibri Light" w:cs="Calibri Light"/>
          <w:bCs/>
          <w:i/>
          <w:iCs/>
          <w:color w:val="0070C0"/>
          <w:lang w:val="es-ES"/>
        </w:rPr>
        <w:t>ETF de bonos índice</w:t>
      </w:r>
      <w:r w:rsidRPr="001D4D7A">
        <w:rPr>
          <w:rFonts w:ascii="Calibri Light" w:hAnsi="Calibri Light" w:cs="Calibri Light"/>
          <w:bCs/>
          <w:i/>
          <w:iCs/>
          <w:color w:val="0070C0"/>
          <w:lang w:val="es-ES"/>
        </w:rPr>
        <w:t>) para los ahorradores de PEPP.</w:t>
      </w:r>
    </w:p>
    <w:p w14:paraId="19895E03" w14:textId="5AD05DA8" w:rsidR="00C64109" w:rsidRPr="001D4D7A" w:rsidRDefault="00026E19">
      <w:pPr>
        <w:pStyle w:val="Prrafodelista"/>
        <w:numPr>
          <w:ilvl w:val="0"/>
          <w:numId w:val="2"/>
        </w:numPr>
        <w:spacing w:after="200" w:line="276" w:lineRule="auto"/>
        <w:ind w:left="426"/>
        <w:jc w:val="both"/>
        <w:rPr>
          <w:rFonts w:ascii="Calibri Light" w:hAnsi="Calibri Light" w:cs="Calibri Light"/>
          <w:bCs/>
          <w:i/>
          <w:iCs/>
          <w:color w:val="0070C0"/>
          <w:lang w:val="es-ES"/>
        </w:rPr>
      </w:pPr>
      <w:r w:rsidRPr="001D4D7A">
        <w:rPr>
          <w:rFonts w:ascii="Calibri Light" w:hAnsi="Calibri Light" w:cs="Calibri Light"/>
          <w:bCs/>
          <w:i/>
          <w:iCs/>
          <w:color w:val="0070C0"/>
          <w:lang w:val="es-ES"/>
        </w:rPr>
        <w:t xml:space="preserve">Imponer urgentemente </w:t>
      </w:r>
      <w:r w:rsidR="00735535" w:rsidRPr="001D4D7A">
        <w:rPr>
          <w:rFonts w:ascii="Calibri Light" w:hAnsi="Calibri Light" w:cs="Calibri Light"/>
          <w:bCs/>
          <w:i/>
          <w:iCs/>
          <w:color w:val="0070C0"/>
          <w:lang w:val="es-ES"/>
        </w:rPr>
        <w:t xml:space="preserve">unos </w:t>
      </w:r>
      <w:r w:rsidRPr="001D4D7A">
        <w:rPr>
          <w:rFonts w:ascii="Calibri Light" w:hAnsi="Calibri Light" w:cs="Calibri Light"/>
          <w:bCs/>
          <w:i/>
          <w:iCs/>
          <w:color w:val="0070C0"/>
          <w:lang w:val="es-ES"/>
        </w:rPr>
        <w:t xml:space="preserve">planes de garantía de </w:t>
      </w:r>
      <w:r w:rsidR="00735535" w:rsidRPr="001D4D7A">
        <w:rPr>
          <w:rFonts w:ascii="Calibri Light" w:hAnsi="Calibri Light" w:cs="Calibri Light"/>
          <w:bCs/>
          <w:i/>
          <w:iCs/>
          <w:color w:val="0070C0"/>
          <w:lang w:val="es-ES"/>
        </w:rPr>
        <w:t>seguros armonizados y completos</w:t>
      </w:r>
      <w:r w:rsidRPr="001D4D7A">
        <w:rPr>
          <w:rFonts w:ascii="Calibri Light" w:hAnsi="Calibri Light" w:cs="Calibri Light"/>
          <w:bCs/>
          <w:i/>
          <w:iCs/>
          <w:color w:val="0070C0"/>
          <w:lang w:val="es-ES"/>
        </w:rPr>
        <w:t xml:space="preserve"> en toda la UE, ya que la mayoría de las pensiones personales se basan en seguros y están reguladas</w:t>
      </w:r>
      <w:r w:rsidR="00735535" w:rsidRPr="001D4D7A">
        <w:rPr>
          <w:rFonts w:ascii="Calibri Light" w:hAnsi="Calibri Light" w:cs="Calibri Light"/>
          <w:bCs/>
          <w:i/>
          <w:iCs/>
          <w:color w:val="0070C0"/>
          <w:lang w:val="es-ES"/>
        </w:rPr>
        <w:t xml:space="preserve"> por los seguros</w:t>
      </w:r>
      <w:r w:rsidRPr="001D4D7A">
        <w:rPr>
          <w:rFonts w:ascii="Calibri Light" w:hAnsi="Calibri Light" w:cs="Calibri Light"/>
          <w:bCs/>
          <w:i/>
          <w:iCs/>
          <w:color w:val="0070C0"/>
          <w:lang w:val="es-ES"/>
        </w:rPr>
        <w:t>.</w:t>
      </w:r>
    </w:p>
    <w:p w14:paraId="19895E04" w14:textId="77777777" w:rsidR="00C64109" w:rsidRPr="001D4D7A" w:rsidRDefault="00C64109">
      <w:pPr>
        <w:pStyle w:val="Prrafodelista"/>
        <w:spacing w:line="276" w:lineRule="auto"/>
        <w:ind w:left="357"/>
        <w:jc w:val="both"/>
        <w:rPr>
          <w:rFonts w:ascii="Calibri Light" w:hAnsi="Calibri Light" w:cs="Calibri Light"/>
          <w:bCs/>
          <w:i/>
          <w:iCs/>
          <w:color w:val="0070C0"/>
          <w:lang w:val="es-ES"/>
        </w:rPr>
      </w:pPr>
    </w:p>
    <w:p w14:paraId="19895E05" w14:textId="77777777" w:rsidR="00C64109" w:rsidRPr="001D4D7A" w:rsidRDefault="00026E19">
      <w:pPr>
        <w:spacing w:after="0"/>
        <w:jc w:val="both"/>
        <w:rPr>
          <w:rFonts w:ascii="Calibri Light" w:hAnsi="Calibri Light" w:cs="Calibri Light"/>
          <w:color w:val="000000"/>
          <w:lang w:val="es-ES"/>
        </w:rPr>
      </w:pPr>
      <w:r w:rsidRPr="001D4D7A">
        <w:rPr>
          <w:rFonts w:ascii="Calibri Light" w:hAnsi="Calibri Light" w:cs="Calibri Light"/>
          <w:color w:val="000000"/>
          <w:lang w:val="es-ES"/>
        </w:rPr>
        <w:t>Información adicional:</w:t>
      </w:r>
    </w:p>
    <w:p w14:paraId="19895E06" w14:textId="77777777" w:rsidR="00C64109" w:rsidRPr="001D4D7A" w:rsidRDefault="00C64109">
      <w:pPr>
        <w:spacing w:after="0"/>
        <w:jc w:val="both"/>
        <w:rPr>
          <w:rFonts w:ascii="Calibri Light" w:hAnsi="Calibri Light" w:cs="Calibri Light"/>
          <w:color w:val="000000"/>
          <w:sz w:val="20"/>
          <w:szCs w:val="20"/>
          <w:lang w:val="es-ES"/>
        </w:rPr>
      </w:pPr>
    </w:p>
    <w:p w14:paraId="19895E07" w14:textId="61D1932B" w:rsidR="00C64109" w:rsidRPr="001D4D7A" w:rsidRDefault="00026E19">
      <w:pPr>
        <w:pStyle w:val="Prrafodelista"/>
        <w:numPr>
          <w:ilvl w:val="0"/>
          <w:numId w:val="3"/>
        </w:numPr>
        <w:jc w:val="both"/>
        <w:rPr>
          <w:lang w:val="es-ES"/>
        </w:rPr>
      </w:pPr>
      <w:r w:rsidRPr="001D4D7A">
        <w:rPr>
          <w:rFonts w:ascii="Calibri Light" w:hAnsi="Calibri Light" w:cs="Calibri Light"/>
          <w:color w:val="000000"/>
          <w:lang w:val="es-ES"/>
        </w:rPr>
        <w:t xml:space="preserve">Descargue el </w:t>
      </w:r>
      <w:hyperlink r:id="rId11" w:history="1">
        <w:r w:rsidRPr="001D4D7A">
          <w:rPr>
            <w:rStyle w:val="Hipervnculo"/>
            <w:rFonts w:ascii="Calibri Light" w:hAnsi="Calibri Light" w:cs="Calibri Light"/>
            <w:lang w:val="es-ES"/>
          </w:rPr>
          <w:t>informe</w:t>
        </w:r>
        <w:r w:rsidR="00735535" w:rsidRPr="001D4D7A">
          <w:rPr>
            <w:rStyle w:val="Hipervnculo"/>
            <w:rFonts w:ascii="Calibri Light" w:hAnsi="Calibri Light" w:cs="Calibri Light"/>
            <w:lang w:val="es-ES"/>
          </w:rPr>
          <w:t xml:space="preserve"> </w:t>
        </w:r>
        <w:r w:rsidRPr="001D4D7A">
          <w:rPr>
            <w:rStyle w:val="Hipervnculo"/>
            <w:rFonts w:ascii="Calibri Light" w:hAnsi="Calibri Light" w:cs="Calibri Light"/>
            <w:lang w:val="es-ES"/>
          </w:rPr>
          <w:t xml:space="preserve">completo de 2020 </w:t>
        </w:r>
      </w:hyperlink>
      <w:r w:rsidRPr="001D4D7A">
        <w:rPr>
          <w:rFonts w:ascii="Calibri Light" w:hAnsi="Calibri Light" w:cs="Calibri Light"/>
          <w:color w:val="000000"/>
          <w:lang w:val="es-ES"/>
        </w:rPr>
        <w:t xml:space="preserve">en el sitio web de BETTER FINANCE. </w:t>
      </w:r>
    </w:p>
    <w:p w14:paraId="19895E08" w14:textId="77777777" w:rsidR="00C64109" w:rsidRPr="001D4D7A" w:rsidRDefault="00026E19">
      <w:pPr>
        <w:pStyle w:val="Prrafodelista"/>
        <w:numPr>
          <w:ilvl w:val="0"/>
          <w:numId w:val="3"/>
        </w:numPr>
        <w:jc w:val="both"/>
        <w:rPr>
          <w:lang w:val="es-ES"/>
        </w:rPr>
      </w:pPr>
      <w:r w:rsidRPr="001D4D7A">
        <w:rPr>
          <w:rFonts w:ascii="Calibri Light" w:hAnsi="Calibri Light" w:cs="Calibri Light"/>
          <w:color w:val="000000"/>
          <w:lang w:val="es-ES"/>
        </w:rPr>
        <w:t>BETTER FINANCE creó una versión simplificada del Informe de Pensiones (</w:t>
      </w:r>
      <w:hyperlink r:id="rId12" w:history="1">
        <w:r w:rsidRPr="001D4D7A">
          <w:rPr>
            <w:rStyle w:val="Hipervnculo"/>
            <w:rFonts w:ascii="Calibri Light" w:hAnsi="Calibri Light" w:cs="Calibri Light"/>
            <w:lang w:val="es-ES"/>
          </w:rPr>
          <w:t>Folleto</w:t>
        </w:r>
      </w:hyperlink>
      <w:r w:rsidRPr="001D4D7A">
        <w:rPr>
          <w:rFonts w:ascii="Calibri Light" w:hAnsi="Calibri Light" w:cs="Calibri Light"/>
          <w:color w:val="000000"/>
          <w:lang w:val="es-ES"/>
        </w:rPr>
        <w:t>)</w:t>
      </w:r>
    </w:p>
    <w:p w14:paraId="19895E09" w14:textId="4007C0FF" w:rsidR="00C64109" w:rsidRPr="001D4D7A" w:rsidRDefault="00026E19">
      <w:pPr>
        <w:pStyle w:val="Prrafodelista"/>
        <w:numPr>
          <w:ilvl w:val="0"/>
          <w:numId w:val="3"/>
        </w:numPr>
        <w:spacing w:after="120"/>
        <w:jc w:val="both"/>
        <w:rPr>
          <w:lang w:val="es-ES"/>
        </w:rPr>
      </w:pPr>
      <w:r w:rsidRPr="001D4D7A">
        <w:rPr>
          <w:rFonts w:ascii="Calibri Light" w:hAnsi="Calibri Light" w:cs="Calibri Light"/>
          <w:color w:val="000000"/>
          <w:lang w:val="es-ES"/>
        </w:rPr>
        <w:t xml:space="preserve">BETTER FINANCE digitalizó los rendimientos netos nominales y reales de todos los productos de pensiones cubiertos por el Informe </w:t>
      </w:r>
      <w:hyperlink r:id="rId13" w:history="1">
        <w:r w:rsidRPr="001D4D7A">
          <w:rPr>
            <w:rStyle w:val="Hipervnculo"/>
            <w:rFonts w:ascii="Calibri Light" w:hAnsi="Calibri Light" w:cs="Calibri Light"/>
            <w:lang w:val="es-ES"/>
          </w:rPr>
          <w:t>en una interfaz en línea</w:t>
        </w:r>
        <w:r w:rsidR="00735535" w:rsidRPr="001D4D7A">
          <w:rPr>
            <w:rStyle w:val="Hipervnculo"/>
            <w:rFonts w:ascii="Calibri Light" w:hAnsi="Calibri Light" w:cs="Calibri Light"/>
            <w:lang w:val="es-ES"/>
          </w:rPr>
          <w:t xml:space="preserve"> </w:t>
        </w:r>
        <w:r w:rsidRPr="001D4D7A">
          <w:rPr>
            <w:rStyle w:val="Hipervnculo"/>
            <w:rFonts w:ascii="Calibri Light" w:hAnsi="Calibri Light" w:cs="Calibri Light"/>
            <w:lang w:val="es-ES"/>
          </w:rPr>
          <w:t>fácil de usar</w:t>
        </w:r>
      </w:hyperlink>
      <w:r w:rsidRPr="001D4D7A">
        <w:rPr>
          <w:rFonts w:ascii="Calibri Light" w:hAnsi="Calibri Light" w:cs="Calibri Light"/>
          <w:color w:val="000000"/>
          <w:lang w:val="es-ES"/>
        </w:rPr>
        <w:t xml:space="preserve">. </w:t>
      </w:r>
    </w:p>
    <w:p w14:paraId="19895E0A" w14:textId="77777777" w:rsidR="00C64109" w:rsidRPr="001D4D7A" w:rsidRDefault="00C64109">
      <w:pPr>
        <w:spacing w:after="120" w:line="240" w:lineRule="auto"/>
        <w:jc w:val="center"/>
        <w:rPr>
          <w:rFonts w:ascii="Calibri Light" w:hAnsi="Calibri Light" w:cs="Calibri Light"/>
          <w:lang w:val="es-ES"/>
        </w:rPr>
      </w:pPr>
    </w:p>
    <w:p w14:paraId="19895E0B" w14:textId="77777777" w:rsidR="00C64109" w:rsidRPr="001D4D7A" w:rsidRDefault="00026E19">
      <w:pPr>
        <w:spacing w:after="120" w:line="240" w:lineRule="auto"/>
        <w:jc w:val="center"/>
        <w:rPr>
          <w:rFonts w:ascii="Calibri Light" w:hAnsi="Calibri Light" w:cs="Calibri Light"/>
          <w:lang w:val="es-ES"/>
        </w:rPr>
      </w:pPr>
      <w:r w:rsidRPr="001D4D7A">
        <w:rPr>
          <w:rFonts w:ascii="Calibri Light" w:hAnsi="Calibri Light" w:cs="Calibri Light"/>
          <w:lang w:val="es-ES"/>
        </w:rPr>
        <w:t>***</w:t>
      </w:r>
    </w:p>
    <w:p w14:paraId="19895E0C" w14:textId="06A5D1F9" w:rsidR="00C64109" w:rsidRPr="001D4D7A" w:rsidRDefault="00026E19">
      <w:pPr>
        <w:pStyle w:val="Textoindependiente"/>
        <w:spacing w:after="0" w:line="240" w:lineRule="auto"/>
        <w:jc w:val="center"/>
        <w:rPr>
          <w:lang w:val="es-ES"/>
        </w:rPr>
      </w:pPr>
      <w:r w:rsidRPr="001D4D7A">
        <w:rPr>
          <w:rFonts w:ascii="Calibri Light" w:hAnsi="Calibri Light" w:cs="Calibri Light"/>
          <w:sz w:val="18"/>
          <w:szCs w:val="18"/>
          <w:u w:val="single"/>
          <w:lang w:val="es-ES"/>
        </w:rPr>
        <w:t>Contacto</w:t>
      </w:r>
      <w:r w:rsidRPr="001D4D7A">
        <w:rPr>
          <w:rFonts w:ascii="Calibri Light" w:hAnsi="Calibri Light" w:cs="Calibri Light"/>
          <w:sz w:val="18"/>
          <w:szCs w:val="18"/>
          <w:lang w:val="es-ES"/>
        </w:rPr>
        <w:t xml:space="preserve">: </w:t>
      </w:r>
      <w:r w:rsidR="00735535" w:rsidRPr="001D4D7A">
        <w:rPr>
          <w:rFonts w:ascii="Calibri Light" w:hAnsi="Calibri Light" w:cs="Calibri Light"/>
          <w:sz w:val="18"/>
          <w:szCs w:val="18"/>
          <w:lang w:val="es-ES"/>
        </w:rPr>
        <w:t>Director de Comunicación</w:t>
      </w:r>
      <w:r w:rsidRPr="001D4D7A">
        <w:rPr>
          <w:rFonts w:ascii="Calibri Light" w:hAnsi="Calibri Light" w:cs="Calibri Light"/>
          <w:sz w:val="18"/>
          <w:szCs w:val="18"/>
          <w:lang w:val="es-ES"/>
        </w:rPr>
        <w:t xml:space="preserve"> ǀ Arnaud Houdmont ǀ +32 (0)2 514 37 77 ǀ </w:t>
      </w:r>
      <w:hyperlink r:id="rId14" w:history="1">
        <w:r w:rsidRPr="001D4D7A">
          <w:rPr>
            <w:rStyle w:val="Hipervnculo"/>
            <w:rFonts w:ascii="Calibri Light" w:hAnsi="Calibri Light" w:cs="Calibri Light"/>
            <w:sz w:val="18"/>
            <w:szCs w:val="18"/>
            <w:lang w:val="es-ES"/>
          </w:rPr>
          <w:t>houdmont@betterfinance.eu</w:t>
        </w:r>
      </w:hyperlink>
    </w:p>
    <w:p w14:paraId="19895E0D" w14:textId="77777777" w:rsidR="00C64109" w:rsidRPr="001D4D7A" w:rsidRDefault="00C64109">
      <w:pPr>
        <w:pStyle w:val="Textoindependiente"/>
        <w:spacing w:after="0" w:line="240" w:lineRule="auto"/>
        <w:jc w:val="center"/>
        <w:rPr>
          <w:lang w:val="es-ES"/>
        </w:rPr>
      </w:pPr>
    </w:p>
    <w:p w14:paraId="19895E0E" w14:textId="77777777" w:rsidR="00C64109" w:rsidRPr="001D4D7A" w:rsidRDefault="00C64109">
      <w:pPr>
        <w:pStyle w:val="Textoindependiente"/>
        <w:spacing w:after="0" w:line="240" w:lineRule="auto"/>
        <w:jc w:val="center"/>
        <w:rPr>
          <w:lang w:val="es-ES"/>
        </w:rPr>
      </w:pPr>
    </w:p>
    <w:p w14:paraId="19895E0F" w14:textId="77777777" w:rsidR="00C64109" w:rsidRPr="001D4D7A" w:rsidRDefault="00C64109">
      <w:pPr>
        <w:pStyle w:val="Ttulo2"/>
        <w:jc w:val="both"/>
        <w:rPr>
          <w:rFonts w:eastAsia="Calibri"/>
          <w:b/>
          <w:color w:val="365F91"/>
          <w:spacing w:val="20"/>
          <w:kern w:val="3"/>
          <w:sz w:val="28"/>
          <w:szCs w:val="28"/>
          <w:u w:val="single"/>
          <w:lang w:val="es-ES"/>
        </w:rPr>
      </w:pPr>
    </w:p>
    <w:p w14:paraId="19895E10" w14:textId="77777777" w:rsidR="00C64109" w:rsidRPr="001D4D7A" w:rsidRDefault="00026E19">
      <w:pPr>
        <w:pStyle w:val="Ttulo2"/>
        <w:jc w:val="both"/>
        <w:rPr>
          <w:lang w:val="es-ES"/>
        </w:rPr>
      </w:pPr>
      <w:r w:rsidRPr="001D4D7A">
        <w:rPr>
          <w:rFonts w:eastAsia="Calibri"/>
          <w:b/>
          <w:color w:val="365F91"/>
          <w:spacing w:val="20"/>
          <w:kern w:val="3"/>
          <w:sz w:val="28"/>
          <w:szCs w:val="28"/>
          <w:u w:val="single"/>
          <w:lang w:val="es-ES"/>
        </w:rPr>
        <w:t>Anexo</w:t>
      </w:r>
      <w:r w:rsidRPr="001D4D7A">
        <w:rPr>
          <w:rFonts w:eastAsia="Calibri"/>
          <w:b/>
          <w:color w:val="365F91"/>
          <w:spacing w:val="20"/>
          <w:kern w:val="3"/>
          <w:sz w:val="28"/>
          <w:szCs w:val="28"/>
          <w:lang w:val="es-ES"/>
        </w:rPr>
        <w:t xml:space="preserve">: Rendimiento real neto anualizado de los ahorros para pensiones - Véase la </w:t>
      </w:r>
      <w:r w:rsidRPr="001D4D7A">
        <w:rPr>
          <w:rFonts w:eastAsia="Calibri"/>
          <w:b/>
          <w:color w:val="365F91"/>
          <w:spacing w:val="20"/>
          <w:kern w:val="3"/>
          <w:sz w:val="28"/>
          <w:szCs w:val="28"/>
          <w:u w:val="single"/>
          <w:lang w:val="es-ES"/>
        </w:rPr>
        <w:t>página siguiente</w:t>
      </w:r>
    </w:p>
    <w:p w14:paraId="19895E11" w14:textId="77777777" w:rsidR="00C64109" w:rsidRPr="001D4D7A" w:rsidRDefault="00C64109">
      <w:pPr>
        <w:rPr>
          <w:lang w:val="es-ES"/>
        </w:rPr>
      </w:pPr>
    </w:p>
    <w:p w14:paraId="19895E12" w14:textId="77777777" w:rsidR="00C64109" w:rsidRPr="001D4D7A" w:rsidRDefault="00026E19">
      <w:pPr>
        <w:rPr>
          <w:lang w:val="es-ES"/>
        </w:rPr>
        <w:sectPr w:rsidR="00C64109" w:rsidRPr="001D4D7A">
          <w:headerReference w:type="default" r:id="rId15"/>
          <w:footerReference w:type="default" r:id="rId16"/>
          <w:pgSz w:w="11906" w:h="16838"/>
          <w:pgMar w:top="1417" w:right="1417" w:bottom="1417" w:left="1417" w:header="708" w:footer="708" w:gutter="0"/>
          <w:cols w:space="720"/>
        </w:sectPr>
      </w:pPr>
      <w:r w:rsidRPr="001D4D7A">
        <w:rPr>
          <w:noProof/>
          <w:lang w:val="es-ES" w:eastAsia="ca-ES"/>
        </w:rPr>
        <mc:AlternateContent>
          <mc:Choice Requires="wps">
            <w:drawing>
              <wp:anchor distT="0" distB="0" distL="114300" distR="114300" simplePos="0" relativeHeight="251657728" behindDoc="0" locked="0" layoutInCell="1" allowOverlap="1" wp14:anchorId="19895DF7" wp14:editId="19895DF8">
                <wp:simplePos x="0" y="0"/>
                <wp:positionH relativeFrom="column">
                  <wp:posOffset>490859</wp:posOffset>
                </wp:positionH>
                <wp:positionV relativeFrom="paragraph">
                  <wp:posOffset>5715</wp:posOffset>
                </wp:positionV>
                <wp:extent cx="190496" cy="333371"/>
                <wp:effectExtent l="19050" t="0" r="19054" b="28579"/>
                <wp:wrapNone/>
                <wp:docPr id="6" name="Arrow: Down 5"/>
                <wp:cNvGraphicFramePr/>
                <a:graphic xmlns:a="http://schemas.openxmlformats.org/drawingml/2006/main">
                  <a:graphicData uri="http://schemas.microsoft.com/office/word/2010/wordprocessingShape">
                    <wps:wsp>
                      <wps:cNvSpPr/>
                      <wps:spPr>
                        <a:xfrm>
                          <a:off x="0" y="0"/>
                          <a:ext cx="190496" cy="333371"/>
                        </a:xfrm>
                        <a:custGeom>
                          <a:avLst>
                            <a:gd name="f0" fmla="val 15429"/>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pin 0 f1 10800"/>
                            <a:gd name="f15" fmla="pin 0 f0 21600"/>
                            <a:gd name="f16" fmla="*/ f10 f2 1"/>
                            <a:gd name="f17" fmla="*/ f11 f2 1"/>
                            <a:gd name="f18" fmla="val f14"/>
                            <a:gd name="f19" fmla="val f15"/>
                            <a:gd name="f20" fmla="+- 21600 0 f14"/>
                            <a:gd name="f21" fmla="*/ f14 f12 1"/>
                            <a:gd name="f22" fmla="*/ f15 f13 1"/>
                            <a:gd name="f23" fmla="*/ 0 f13 1"/>
                            <a:gd name="f24" fmla="*/ 0 f12 1"/>
                            <a:gd name="f25" fmla="*/ f16 1 f4"/>
                            <a:gd name="f26" fmla="*/ 21600 f12 1"/>
                            <a:gd name="f27" fmla="*/ f17 1 f4"/>
                            <a:gd name="f28" fmla="+- 21600 0 f19"/>
                            <a:gd name="f29" fmla="*/ f18 f12 1"/>
                            <a:gd name="f30" fmla="*/ f20 f12 1"/>
                            <a:gd name="f31" fmla="*/ f19 f13 1"/>
                            <a:gd name="f32" fmla="+- f25 0 f3"/>
                            <a:gd name="f33" fmla="+- f27 0 f3"/>
                            <a:gd name="f34" fmla="*/ f28 f18 1"/>
                            <a:gd name="f35" fmla="*/ f34 1 10800"/>
                            <a:gd name="f36" fmla="+- f19 f35 0"/>
                            <a:gd name="f37" fmla="*/ f36 f13 1"/>
                          </a:gdLst>
                          <a:ahLst>
                            <a:ahXY gdRefX="f1" minX="f7" maxX="f9" gdRefY="f0" minY="f7" maxY="f8">
                              <a:pos x="f21" y="f22"/>
                            </a:ahXY>
                          </a:ahLst>
                          <a:cxnLst>
                            <a:cxn ang="3cd4">
                              <a:pos x="hc" y="t"/>
                            </a:cxn>
                            <a:cxn ang="0">
                              <a:pos x="r" y="vc"/>
                            </a:cxn>
                            <a:cxn ang="cd4">
                              <a:pos x="hc" y="b"/>
                            </a:cxn>
                            <a:cxn ang="cd2">
                              <a:pos x="l" y="vc"/>
                            </a:cxn>
                            <a:cxn ang="f32">
                              <a:pos x="f24" y="f31"/>
                            </a:cxn>
                            <a:cxn ang="f33">
                              <a:pos x="f26" y="f31"/>
                            </a:cxn>
                          </a:cxnLst>
                          <a:rect l="f29" t="f23" r="f30" b="f37"/>
                          <a:pathLst>
                            <a:path w="21600" h="21600">
                              <a:moveTo>
                                <a:pt x="f18" y="f7"/>
                              </a:moveTo>
                              <a:lnTo>
                                <a:pt x="f18" y="f19"/>
                              </a:lnTo>
                              <a:lnTo>
                                <a:pt x="f7" y="f19"/>
                              </a:lnTo>
                              <a:lnTo>
                                <a:pt x="f9" y="f8"/>
                              </a:lnTo>
                              <a:lnTo>
                                <a:pt x="f8" y="f19"/>
                              </a:lnTo>
                              <a:lnTo>
                                <a:pt x="f20" y="f19"/>
                              </a:lnTo>
                              <a:lnTo>
                                <a:pt x="f20" y="f7"/>
                              </a:lnTo>
                              <a:close/>
                            </a:path>
                          </a:pathLst>
                        </a:custGeom>
                        <a:solidFill>
                          <a:srgbClr val="4472C4"/>
                        </a:solidFill>
                        <a:ln w="12701" cap="flat">
                          <a:solidFill>
                            <a:srgbClr val="2F528F"/>
                          </a:solidFill>
                          <a:prstDash val="solid"/>
                          <a:miter/>
                        </a:ln>
                      </wps:spPr>
                      <wps:bodyPr lIns="0" tIns="0" rIns="0" bIns="0"/>
                    </wps:wsp>
                  </a:graphicData>
                </a:graphic>
              </wp:anchor>
            </w:drawing>
          </mc:Choice>
          <mc:Fallback>
            <w:pict>
              <v:shape w14:anchorId="2E24D682" id="Arrow: Down 5" o:spid="_x0000_s1026" style="position:absolute;margin-left:38.65pt;margin-top:.45pt;width:15pt;height:26.25pt;z-index:25165772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" path="m5400,r,15429l,15429r10800,6171l21600,15429r-5400,l16200,,5400,xe" fillcolor="#4472c4" strokecolor="#2f528f" strokeweight=".35281mm">
                <v:stroke joinstyle="miter"/>
                <v:path arrowok="t" o:connecttype="custom" o:connectlocs="95248,0;190496,166686;95248,333371;0,166686;0,238129;190496,238129" o:connectangles="270,0,90,180,180,0" textboxrect="5400,0,16200,18515"/>
              </v:shape>
            </w:pict>
          </mc:Fallback>
        </mc:AlternateContent>
      </w:r>
      <w:r w:rsidRPr="001D4D7A">
        <w:rPr>
          <w:noProof/>
          <w:lang w:val="es-ES" w:eastAsia="ca-ES"/>
        </w:rPr>
        <mc:AlternateContent>
          <mc:Choice Requires="wps">
            <w:drawing>
              <wp:anchor distT="0" distB="0" distL="114300" distR="114300" simplePos="0" relativeHeight="251656704" behindDoc="0" locked="0" layoutInCell="1" allowOverlap="1" wp14:anchorId="19895DF9" wp14:editId="19895DFA">
                <wp:simplePos x="0" y="0"/>
                <wp:positionH relativeFrom="column">
                  <wp:posOffset>5053331</wp:posOffset>
                </wp:positionH>
                <wp:positionV relativeFrom="paragraph">
                  <wp:posOffset>5715</wp:posOffset>
                </wp:positionV>
                <wp:extent cx="190496" cy="333371"/>
                <wp:effectExtent l="19050" t="0" r="19054" b="28579"/>
                <wp:wrapNone/>
                <wp:docPr id="7" name="Arrow: Down 4"/>
                <wp:cNvGraphicFramePr/>
                <a:graphic xmlns:a="http://schemas.openxmlformats.org/drawingml/2006/main">
                  <a:graphicData uri="http://schemas.microsoft.com/office/word/2010/wordprocessingShape">
                    <wps:wsp>
                      <wps:cNvSpPr/>
                      <wps:spPr>
                        <a:xfrm>
                          <a:off x="0" y="0"/>
                          <a:ext cx="190496" cy="333371"/>
                        </a:xfrm>
                        <a:custGeom>
                          <a:avLst>
                            <a:gd name="f0" fmla="val 15429"/>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pin 0 f1 10800"/>
                            <a:gd name="f15" fmla="pin 0 f0 21600"/>
                            <a:gd name="f16" fmla="*/ f10 f2 1"/>
                            <a:gd name="f17" fmla="*/ f11 f2 1"/>
                            <a:gd name="f18" fmla="val f14"/>
                            <a:gd name="f19" fmla="val f15"/>
                            <a:gd name="f20" fmla="+- 21600 0 f14"/>
                            <a:gd name="f21" fmla="*/ f14 f12 1"/>
                            <a:gd name="f22" fmla="*/ f15 f13 1"/>
                            <a:gd name="f23" fmla="*/ 0 f13 1"/>
                            <a:gd name="f24" fmla="*/ 0 f12 1"/>
                            <a:gd name="f25" fmla="*/ f16 1 f4"/>
                            <a:gd name="f26" fmla="*/ 21600 f12 1"/>
                            <a:gd name="f27" fmla="*/ f17 1 f4"/>
                            <a:gd name="f28" fmla="+- 21600 0 f19"/>
                            <a:gd name="f29" fmla="*/ f18 f12 1"/>
                            <a:gd name="f30" fmla="*/ f20 f12 1"/>
                            <a:gd name="f31" fmla="*/ f19 f13 1"/>
                            <a:gd name="f32" fmla="+- f25 0 f3"/>
                            <a:gd name="f33" fmla="+- f27 0 f3"/>
                            <a:gd name="f34" fmla="*/ f28 f18 1"/>
                            <a:gd name="f35" fmla="*/ f34 1 10800"/>
                            <a:gd name="f36" fmla="+- f19 f35 0"/>
                            <a:gd name="f37" fmla="*/ f36 f13 1"/>
                          </a:gdLst>
                          <a:ahLst>
                            <a:ahXY gdRefX="f1" minX="f7" maxX="f9" gdRefY="f0" minY="f7" maxY="f8">
                              <a:pos x="f21" y="f22"/>
                            </a:ahXY>
                          </a:ahLst>
                          <a:cxnLst>
                            <a:cxn ang="3cd4">
                              <a:pos x="hc" y="t"/>
                            </a:cxn>
                            <a:cxn ang="0">
                              <a:pos x="r" y="vc"/>
                            </a:cxn>
                            <a:cxn ang="cd4">
                              <a:pos x="hc" y="b"/>
                            </a:cxn>
                            <a:cxn ang="cd2">
                              <a:pos x="l" y="vc"/>
                            </a:cxn>
                            <a:cxn ang="f32">
                              <a:pos x="f24" y="f31"/>
                            </a:cxn>
                            <a:cxn ang="f33">
                              <a:pos x="f26" y="f31"/>
                            </a:cxn>
                          </a:cxnLst>
                          <a:rect l="f29" t="f23" r="f30" b="f37"/>
                          <a:pathLst>
                            <a:path w="21600" h="21600">
                              <a:moveTo>
                                <a:pt x="f18" y="f7"/>
                              </a:moveTo>
                              <a:lnTo>
                                <a:pt x="f18" y="f19"/>
                              </a:lnTo>
                              <a:lnTo>
                                <a:pt x="f7" y="f19"/>
                              </a:lnTo>
                              <a:lnTo>
                                <a:pt x="f9" y="f8"/>
                              </a:lnTo>
                              <a:lnTo>
                                <a:pt x="f8" y="f19"/>
                              </a:lnTo>
                              <a:lnTo>
                                <a:pt x="f20" y="f19"/>
                              </a:lnTo>
                              <a:lnTo>
                                <a:pt x="f20" y="f7"/>
                              </a:lnTo>
                              <a:close/>
                            </a:path>
                          </a:pathLst>
                        </a:custGeom>
                        <a:solidFill>
                          <a:srgbClr val="4472C4"/>
                        </a:solidFill>
                        <a:ln w="12701" cap="flat">
                          <a:solidFill>
                            <a:srgbClr val="2F528F"/>
                          </a:solidFill>
                          <a:prstDash val="solid"/>
                          <a:miter/>
                        </a:ln>
                      </wps:spPr>
                      <wps:bodyPr lIns="0" tIns="0" rIns="0" bIns="0"/>
                    </wps:wsp>
                  </a:graphicData>
                </a:graphic>
              </wp:anchor>
            </w:drawing>
          </mc:Choice>
          <mc:Fallback>
            <w:pict>
              <v:shape w14:anchorId="327BE60D" id="Arrow: Down 4" o:spid="_x0000_s1026" style="position:absolute;margin-left:397.9pt;margin-top:.45pt;width:15pt;height:26.25pt;z-index:25165670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" path="m5400,r,15429l,15429r10800,6171l21600,15429r-5400,l16200,,5400,xe" fillcolor="#4472c4" strokecolor="#2f528f" strokeweight=".35281mm">
                <v:stroke joinstyle="miter"/>
                <v:path arrowok="t" o:connecttype="custom" o:connectlocs="95248,0;190496,166686;95248,333371;0,166686;0,238129;190496,238129" o:connectangles="270,0,90,180,180,0" textboxrect="5400,0,16200,18515"/>
              </v:shape>
            </w:pict>
          </mc:Fallback>
        </mc:AlternateContent>
      </w:r>
    </w:p>
    <w:p w14:paraId="19895E13" w14:textId="77777777" w:rsidR="00C64109" w:rsidRPr="001D4D7A" w:rsidRDefault="00C64109">
      <w:pPr>
        <w:rPr>
          <w:lang w:val="es-ES"/>
        </w:rPr>
      </w:pPr>
      <w:bookmarkStart w:id="0" w:name="_GoBack"/>
      <w:bookmarkEnd w:id="0"/>
    </w:p>
    <w:sectPr w:rsidR="00C64109" w:rsidRPr="001D4D7A">
      <w:headerReference w:type="default" r:id="rId17"/>
      <w:footerReference w:type="default" r:id="rId18"/>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3475D" w14:textId="77777777" w:rsidR="00096CE6" w:rsidRDefault="00096CE6">
      <w:pPr>
        <w:spacing w:after="0" w:line="240" w:lineRule="auto"/>
      </w:pPr>
      <w:r>
        <w:separator/>
      </w:r>
    </w:p>
  </w:endnote>
  <w:endnote w:type="continuationSeparator" w:id="0">
    <w:p w14:paraId="76E058E7" w14:textId="77777777" w:rsidR="00096CE6" w:rsidRDefault="00096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95E07" w14:textId="77777777" w:rsidR="00F973CC" w:rsidRPr="00026E19" w:rsidRDefault="00026E19">
    <w:pPr>
      <w:spacing w:before="120" w:after="0" w:line="240" w:lineRule="auto"/>
      <w:ind w:left="-567"/>
      <w:jc w:val="center"/>
      <w:rPr>
        <w:b/>
        <w:color w:val="006FB4"/>
        <w:sz w:val="16"/>
        <w:szCs w:val="16"/>
        <w:lang w:val="es-ES"/>
      </w:rPr>
    </w:pPr>
    <w:r w:rsidRPr="00026E19">
      <w:rPr>
        <w:b/>
        <w:color w:val="006FB4"/>
        <w:sz w:val="16"/>
        <w:szCs w:val="16"/>
        <w:lang w:val="es-ES"/>
      </w:rPr>
      <w:t>La Federación Europea de Inversores y Usuarios de Servicios Financieros</w:t>
    </w:r>
  </w:p>
  <w:p w14:paraId="19895E08" w14:textId="77777777" w:rsidR="00F973CC" w:rsidRDefault="00026E19">
    <w:pPr>
      <w:spacing w:after="0" w:line="240" w:lineRule="auto"/>
      <w:ind w:left="-567"/>
      <w:jc w:val="center"/>
      <w:rPr>
        <w:color w:val="006FB4"/>
        <w:sz w:val="16"/>
        <w:szCs w:val="16"/>
        <w:lang w:val="de-DE"/>
      </w:rPr>
    </w:pPr>
    <w:r>
      <w:rPr>
        <w:color w:val="006FB4"/>
        <w:sz w:val="16"/>
        <w:szCs w:val="16"/>
        <w:lang w:val="de-DE"/>
      </w:rPr>
      <w:t>44, Rue d'Arenberg, 1000 Bruselas - Bélgica</w:t>
    </w:r>
  </w:p>
  <w:p w14:paraId="19895E09" w14:textId="77777777" w:rsidR="00F973CC" w:rsidRPr="00026E19" w:rsidRDefault="00026E19">
    <w:pPr>
      <w:spacing w:after="0" w:line="240" w:lineRule="auto"/>
      <w:ind w:left="-567"/>
      <w:jc w:val="center"/>
      <w:rPr>
        <w:lang w:val="es-ES"/>
      </w:rPr>
    </w:pPr>
    <w:r>
      <w:rPr>
        <w:color w:val="006FB4"/>
        <w:sz w:val="16"/>
        <w:szCs w:val="16"/>
        <w:lang w:val="de-DE"/>
      </w:rPr>
      <w:t xml:space="preserve">Tel. (+32) 02 514 37 77 - Fax. </w:t>
    </w:r>
    <w:r>
      <w:rPr>
        <w:color w:val="006FB4"/>
        <w:sz w:val="16"/>
        <w:szCs w:val="16"/>
        <w:lang w:val="pt-PT"/>
      </w:rPr>
      <w:t>(+32) 02 514 36 66</w:t>
    </w:r>
  </w:p>
  <w:p w14:paraId="19895E0A" w14:textId="77777777" w:rsidR="00F973CC" w:rsidRPr="00026E19" w:rsidRDefault="007A15C1">
    <w:pPr>
      <w:spacing w:after="0" w:line="240" w:lineRule="auto"/>
      <w:ind w:left="-567"/>
      <w:jc w:val="center"/>
      <w:rPr>
        <w:lang w:val="es-ES"/>
      </w:rPr>
    </w:pPr>
    <w:hyperlink r:id="rId1" w:history="1">
      <w:r w:rsidR="00026E19">
        <w:rPr>
          <w:color w:val="006FB4"/>
          <w:sz w:val="16"/>
          <w:szCs w:val="16"/>
          <w:u w:val="single"/>
          <w:lang w:val="it-IT"/>
        </w:rPr>
        <w:t>Correo electrónico</w:t>
      </w:r>
    </w:hyperlink>
    <w:r w:rsidR="00026E19">
      <w:rPr>
        <w:color w:val="006FB4"/>
        <w:sz w:val="16"/>
        <w:szCs w:val="16"/>
        <w:lang w:val="pt-PT"/>
      </w:rPr>
      <w:t xml:space="preserve">: info@betterfinance.eu - </w:t>
    </w:r>
    <w:hyperlink r:id="rId2" w:history="1">
      <w:r w:rsidR="00026E19">
        <w:rPr>
          <w:color w:val="006FB4"/>
          <w:sz w:val="16"/>
          <w:szCs w:val="16"/>
          <w:u w:val="single"/>
          <w:lang w:val="it-IT"/>
        </w:rPr>
        <w:t xml:space="preserve">http://www.betterfinance.eu </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95E10" w14:textId="77777777" w:rsidR="00F973CC" w:rsidRPr="00026E19" w:rsidRDefault="00026E19">
    <w:pPr>
      <w:spacing w:before="120" w:after="0" w:line="240" w:lineRule="auto"/>
      <w:ind w:left="-567"/>
      <w:jc w:val="center"/>
      <w:rPr>
        <w:b/>
        <w:color w:val="006FB4"/>
        <w:sz w:val="16"/>
        <w:szCs w:val="16"/>
        <w:lang w:val="es-ES"/>
      </w:rPr>
    </w:pPr>
    <w:r w:rsidRPr="00026E19">
      <w:rPr>
        <w:b/>
        <w:color w:val="006FB4"/>
        <w:sz w:val="16"/>
        <w:szCs w:val="16"/>
        <w:lang w:val="es-ES"/>
      </w:rPr>
      <w:t>La Federación Europea de Inversores y Usuarios de Servicios Financieros</w:t>
    </w:r>
  </w:p>
  <w:p w14:paraId="19895E11" w14:textId="77777777" w:rsidR="00F973CC" w:rsidRDefault="00026E19">
    <w:pPr>
      <w:spacing w:after="0" w:line="240" w:lineRule="auto"/>
      <w:ind w:left="-567"/>
      <w:jc w:val="center"/>
      <w:rPr>
        <w:color w:val="006FB4"/>
        <w:sz w:val="16"/>
        <w:szCs w:val="16"/>
        <w:lang w:val="de-DE"/>
      </w:rPr>
    </w:pPr>
    <w:r>
      <w:rPr>
        <w:color w:val="006FB4"/>
        <w:sz w:val="16"/>
        <w:szCs w:val="16"/>
        <w:lang w:val="de-DE"/>
      </w:rPr>
      <w:t>44, Rue d'Arenberg, 1000 Bruselas - Bélgica</w:t>
    </w:r>
  </w:p>
  <w:p w14:paraId="19895E12" w14:textId="77777777" w:rsidR="00F973CC" w:rsidRPr="00026E19" w:rsidRDefault="00026E19">
    <w:pPr>
      <w:spacing w:after="0" w:line="240" w:lineRule="auto"/>
      <w:ind w:left="-567"/>
      <w:jc w:val="center"/>
      <w:rPr>
        <w:lang w:val="es-ES"/>
      </w:rPr>
    </w:pPr>
    <w:r>
      <w:rPr>
        <w:color w:val="006FB4"/>
        <w:sz w:val="16"/>
        <w:szCs w:val="16"/>
        <w:lang w:val="de-DE"/>
      </w:rPr>
      <w:t xml:space="preserve">Tel. (+32) 02 514 37 77 - Fax. </w:t>
    </w:r>
    <w:r>
      <w:rPr>
        <w:color w:val="006FB4"/>
        <w:sz w:val="16"/>
        <w:szCs w:val="16"/>
        <w:lang w:val="pt-PT"/>
      </w:rPr>
      <w:t>(+32) 02 514 36 66</w:t>
    </w:r>
  </w:p>
  <w:p w14:paraId="19895E13" w14:textId="77777777" w:rsidR="00F973CC" w:rsidRPr="00026E19" w:rsidRDefault="007A15C1">
    <w:pPr>
      <w:spacing w:after="0" w:line="240" w:lineRule="auto"/>
      <w:ind w:left="-567"/>
      <w:jc w:val="center"/>
      <w:rPr>
        <w:lang w:val="es-ES"/>
      </w:rPr>
    </w:pPr>
    <w:hyperlink r:id="rId1" w:history="1">
      <w:r w:rsidR="00026E19">
        <w:rPr>
          <w:color w:val="006FB4"/>
          <w:sz w:val="16"/>
          <w:szCs w:val="16"/>
          <w:u w:val="single"/>
          <w:lang w:val="it-IT"/>
        </w:rPr>
        <w:t>Correo electrónico</w:t>
      </w:r>
    </w:hyperlink>
    <w:r w:rsidR="00026E19">
      <w:rPr>
        <w:color w:val="006FB4"/>
        <w:sz w:val="16"/>
        <w:szCs w:val="16"/>
        <w:lang w:val="pt-PT"/>
      </w:rPr>
      <w:t xml:space="preserve">: info@betterfinance.eu - </w:t>
    </w:r>
    <w:bookmarkStart w:id="1" w:name="_Hlk944867"/>
    <w:r w:rsidR="00026E19">
      <w:fldChar w:fldCharType="begin"/>
    </w:r>
    <w:r w:rsidR="00026E19" w:rsidRPr="00026E19">
      <w:rPr>
        <w:lang w:val="es-ES"/>
      </w:rPr>
      <w:instrText xml:space="preserve"> HYPERLINK  "http://www.eurofinuse.org" </w:instrText>
    </w:r>
    <w:r w:rsidR="00026E19">
      <w:fldChar w:fldCharType="separate"/>
    </w:r>
    <w:r w:rsidR="00026E19">
      <w:rPr>
        <w:color w:val="006FB4"/>
        <w:sz w:val="16"/>
        <w:szCs w:val="16"/>
        <w:u w:val="single"/>
        <w:lang w:val="it-IT"/>
      </w:rPr>
      <w:t xml:space="preserve">http://www.betterfinance.eu </w:t>
    </w:r>
    <w:r w:rsidR="00026E19">
      <w:rPr>
        <w:color w:val="006FB4"/>
        <w:sz w:val="16"/>
        <w:szCs w:val="16"/>
        <w:u w:val="single"/>
        <w:lang w:val="it-IT"/>
      </w:rPr>
      <w:fldChar w:fldCharType="end"/>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6CA02" w14:textId="77777777" w:rsidR="00096CE6" w:rsidRDefault="00096CE6">
      <w:pPr>
        <w:spacing w:after="0" w:line="240" w:lineRule="auto"/>
      </w:pPr>
      <w:r>
        <w:rPr>
          <w:color w:val="000000"/>
        </w:rPr>
        <w:separator/>
      </w:r>
    </w:p>
  </w:footnote>
  <w:footnote w:type="continuationSeparator" w:id="0">
    <w:p w14:paraId="19FED66C" w14:textId="77777777" w:rsidR="00096CE6" w:rsidRDefault="00096CE6">
      <w:pPr>
        <w:spacing w:after="0" w:line="240" w:lineRule="auto"/>
      </w:pPr>
      <w:r>
        <w:continuationSeparator/>
      </w:r>
    </w:p>
  </w:footnote>
  <w:footnote w:id="1">
    <w:p w14:paraId="19895DFF" w14:textId="2274EC11" w:rsidR="00C64109" w:rsidRPr="00026E19" w:rsidRDefault="00026E19">
      <w:pPr>
        <w:pStyle w:val="Textonotapie"/>
        <w:rPr>
          <w:lang w:val="es-ES"/>
        </w:rPr>
      </w:pPr>
      <w:r>
        <w:rPr>
          <w:rStyle w:val="Refdenotaalpie"/>
        </w:rPr>
        <w:footnoteRef/>
      </w:r>
      <w:r w:rsidRPr="00026E19">
        <w:rPr>
          <w:rFonts w:ascii="Calibri Light" w:hAnsi="Calibri Light" w:cs="Calibri Light"/>
          <w:lang w:val="es-ES"/>
        </w:rPr>
        <w:t xml:space="preserve"> </w:t>
      </w:r>
      <w:r w:rsidR="008302A3" w:rsidRPr="00026E19">
        <w:rPr>
          <w:rFonts w:ascii="Calibri Light" w:hAnsi="Calibri Light" w:cs="Calibri Light"/>
          <w:lang w:val="es-ES"/>
        </w:rPr>
        <w:t>N</w:t>
      </w:r>
      <w:r w:rsidR="008302A3">
        <w:rPr>
          <w:rFonts w:ascii="Calibri Light" w:hAnsi="Calibri Light" w:cs="Calibri Light"/>
          <w:lang w:val="es-ES"/>
        </w:rPr>
        <w:t>ota</w:t>
      </w:r>
      <w:r w:rsidRPr="00026E19">
        <w:rPr>
          <w:rFonts w:ascii="Calibri Light" w:hAnsi="Calibri Light" w:cs="Calibri Light"/>
          <w:lang w:val="es-ES"/>
        </w:rPr>
        <w:t>: Siempre que se disponga de datos suficientes.</w:t>
      </w:r>
    </w:p>
  </w:footnote>
  <w:footnote w:id="2">
    <w:p w14:paraId="32FDB863" w14:textId="77777777" w:rsidR="008302A3" w:rsidRPr="00026E19" w:rsidRDefault="008302A3" w:rsidP="008302A3">
      <w:pPr>
        <w:pStyle w:val="Textonotapie"/>
        <w:rPr>
          <w:lang w:val="es-ES"/>
        </w:rPr>
      </w:pPr>
      <w:r>
        <w:rPr>
          <w:rStyle w:val="Refdenotaalpie"/>
        </w:rPr>
        <w:footnoteRef/>
      </w:r>
      <w:r w:rsidRPr="00026E19">
        <w:rPr>
          <w:lang w:val="es-ES"/>
        </w:rPr>
        <w:t xml:space="preserve"> Véase el anexo 1.</w:t>
      </w:r>
    </w:p>
  </w:footnote>
  <w:footnote w:id="3">
    <w:p w14:paraId="19895E01" w14:textId="77777777" w:rsidR="00C64109" w:rsidRPr="00026E19" w:rsidRDefault="00026E19">
      <w:pPr>
        <w:pStyle w:val="Textonotapie"/>
        <w:rPr>
          <w:lang w:val="es-ES"/>
        </w:rPr>
      </w:pPr>
      <w:r>
        <w:rPr>
          <w:rStyle w:val="Refdenotaalpie"/>
        </w:rPr>
        <w:footnoteRef/>
      </w:r>
      <w:r w:rsidRPr="00026E19">
        <w:rPr>
          <w:rFonts w:ascii="Calibri Light" w:hAnsi="Calibri Light" w:cs="Calibri Light"/>
          <w:lang w:val="es-ES"/>
        </w:rPr>
        <w:t xml:space="preserve"> La parte de </w:t>
      </w:r>
      <w:r w:rsidRPr="00026E19">
        <w:rPr>
          <w:rFonts w:ascii="Calibri Light" w:hAnsi="Calibri Light" w:cs="Calibri Light"/>
          <w:i/>
          <w:iCs/>
          <w:lang w:val="es-ES"/>
        </w:rPr>
        <w:t xml:space="preserve">acciones está compuesta </w:t>
      </w:r>
      <w:r w:rsidRPr="00026E19">
        <w:rPr>
          <w:rFonts w:ascii="Calibri Light" w:hAnsi="Calibri Light" w:cs="Calibri Light"/>
          <w:lang w:val="es-ES"/>
        </w:rPr>
        <w:t>por el STOXX All Europe Total Market (NR) y la parte de bonos está compuesta por el BBarc Pan-European Aggregate Bond Index.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95E03" w14:textId="77777777" w:rsidR="00F973CC" w:rsidRDefault="00026E19">
    <w:pPr>
      <w:pStyle w:val="Encabezado"/>
      <w:spacing w:after="120"/>
      <w:jc w:val="center"/>
    </w:pPr>
    <w:r>
      <w:rPr>
        <w:noProof/>
        <w:lang w:val="ca-ES" w:eastAsia="ca-ES"/>
      </w:rPr>
      <w:drawing>
        <wp:anchor distT="0" distB="0" distL="114300" distR="114300" simplePos="0" relativeHeight="251659264" behindDoc="0" locked="0" layoutInCell="1" allowOverlap="1" wp14:anchorId="19895DFB" wp14:editId="19895DFC">
          <wp:simplePos x="0" y="0"/>
          <wp:positionH relativeFrom="margin">
            <wp:posOffset>2617470</wp:posOffset>
          </wp:positionH>
          <wp:positionV relativeFrom="paragraph">
            <wp:posOffset>-219712</wp:posOffset>
          </wp:positionV>
          <wp:extent cx="3138165" cy="645164"/>
          <wp:effectExtent l="0" t="0" r="5085" b="2536"/>
          <wp:wrapSquare wrapText="bothSides"/>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138165" cy="645164"/>
                  </a:xfrm>
                  <a:prstGeom prst="rect">
                    <a:avLst/>
                  </a:prstGeom>
                  <a:noFill/>
                  <a:ln>
                    <a:noFill/>
                    <a:prstDash/>
                  </a:ln>
                </pic:spPr>
              </pic:pic>
            </a:graphicData>
          </a:graphic>
        </wp:anchor>
      </w:drawing>
    </w:r>
  </w:p>
  <w:p w14:paraId="19895E04" w14:textId="77777777" w:rsidR="00F973CC" w:rsidRDefault="007A15C1">
    <w:pPr>
      <w:pStyle w:val="Encabezado"/>
      <w:rPr>
        <w:sz w:val="20"/>
        <w:szCs w:val="20"/>
      </w:rPr>
    </w:pPr>
  </w:p>
  <w:p w14:paraId="19895E05" w14:textId="77777777" w:rsidR="00F973CC" w:rsidRDefault="007A15C1">
    <w:pPr>
      <w:pStyle w:val="Encabezad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95E0C" w14:textId="77777777" w:rsidR="00F973CC" w:rsidRDefault="00026E19">
    <w:pPr>
      <w:pStyle w:val="Encabezado"/>
      <w:spacing w:after="120"/>
      <w:jc w:val="center"/>
    </w:pPr>
    <w:r>
      <w:rPr>
        <w:noProof/>
        <w:lang w:val="ca-ES" w:eastAsia="ca-ES"/>
      </w:rPr>
      <w:drawing>
        <wp:anchor distT="0" distB="0" distL="114300" distR="114300" simplePos="0" relativeHeight="251661312" behindDoc="0" locked="0" layoutInCell="1" allowOverlap="1" wp14:anchorId="19895DFD" wp14:editId="38767B58">
          <wp:simplePos x="0" y="0"/>
          <wp:positionH relativeFrom="page">
            <wp:align>left</wp:align>
          </wp:positionH>
          <wp:positionV relativeFrom="paragraph">
            <wp:posOffset>-249558</wp:posOffset>
          </wp:positionV>
          <wp:extent cx="7559043" cy="10248896"/>
          <wp:effectExtent l="0" t="0" r="3810" b="635"/>
          <wp:wrapSquare wrapText="bothSides"/>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
            </a:graphicData>
          </a:graphic>
        </wp:anchor>
      </w:drawing>
    </w:r>
  </w:p>
  <w:p w14:paraId="19895E0D" w14:textId="77777777" w:rsidR="00F973CC" w:rsidRDefault="007A15C1">
    <w:pPr>
      <w:pStyle w:val="Encabezado"/>
      <w:rPr>
        <w:sz w:val="20"/>
        <w:szCs w:val="20"/>
      </w:rPr>
    </w:pPr>
  </w:p>
  <w:p w14:paraId="19895E0E" w14:textId="77777777" w:rsidR="00F973CC" w:rsidRDefault="007A15C1">
    <w:pPr>
      <w:pStyle w:val="Encabezad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D706E"/>
    <w:multiLevelType w:val="multilevel"/>
    <w:tmpl w:val="0E4A6F32"/>
    <w:lvl w:ilvl="0">
      <w:numFmt w:val="bullet"/>
      <w:lvlText w:val=""/>
      <w:lvlJc w:val="left"/>
      <w:pPr>
        <w:ind w:left="767" w:hanging="360"/>
      </w:pPr>
      <w:rPr>
        <w:rFonts w:ascii="Symbol" w:hAnsi="Symbol"/>
      </w:rPr>
    </w:lvl>
    <w:lvl w:ilvl="1">
      <w:numFmt w:val="bullet"/>
      <w:lvlText w:val="o"/>
      <w:lvlJc w:val="left"/>
      <w:pPr>
        <w:ind w:left="1487" w:hanging="360"/>
      </w:pPr>
      <w:rPr>
        <w:rFonts w:ascii="Courier New" w:hAnsi="Courier New" w:cs="Courier New"/>
      </w:rPr>
    </w:lvl>
    <w:lvl w:ilvl="2">
      <w:numFmt w:val="bullet"/>
      <w:lvlText w:val=""/>
      <w:lvlJc w:val="left"/>
      <w:pPr>
        <w:ind w:left="2207" w:hanging="360"/>
      </w:pPr>
      <w:rPr>
        <w:rFonts w:ascii="Wingdings" w:hAnsi="Wingdings"/>
      </w:rPr>
    </w:lvl>
    <w:lvl w:ilvl="3">
      <w:numFmt w:val="bullet"/>
      <w:lvlText w:val=""/>
      <w:lvlJc w:val="left"/>
      <w:pPr>
        <w:ind w:left="2927" w:hanging="360"/>
      </w:pPr>
      <w:rPr>
        <w:rFonts w:ascii="Symbol" w:hAnsi="Symbol"/>
      </w:rPr>
    </w:lvl>
    <w:lvl w:ilvl="4">
      <w:numFmt w:val="bullet"/>
      <w:lvlText w:val="o"/>
      <w:lvlJc w:val="left"/>
      <w:pPr>
        <w:ind w:left="3647" w:hanging="360"/>
      </w:pPr>
      <w:rPr>
        <w:rFonts w:ascii="Courier New" w:hAnsi="Courier New" w:cs="Courier New"/>
      </w:rPr>
    </w:lvl>
    <w:lvl w:ilvl="5">
      <w:numFmt w:val="bullet"/>
      <w:lvlText w:val=""/>
      <w:lvlJc w:val="left"/>
      <w:pPr>
        <w:ind w:left="4367" w:hanging="360"/>
      </w:pPr>
      <w:rPr>
        <w:rFonts w:ascii="Wingdings" w:hAnsi="Wingdings"/>
      </w:rPr>
    </w:lvl>
    <w:lvl w:ilvl="6">
      <w:numFmt w:val="bullet"/>
      <w:lvlText w:val=""/>
      <w:lvlJc w:val="left"/>
      <w:pPr>
        <w:ind w:left="5087" w:hanging="360"/>
      </w:pPr>
      <w:rPr>
        <w:rFonts w:ascii="Symbol" w:hAnsi="Symbol"/>
      </w:rPr>
    </w:lvl>
    <w:lvl w:ilvl="7">
      <w:numFmt w:val="bullet"/>
      <w:lvlText w:val="o"/>
      <w:lvlJc w:val="left"/>
      <w:pPr>
        <w:ind w:left="5807" w:hanging="360"/>
      </w:pPr>
      <w:rPr>
        <w:rFonts w:ascii="Courier New" w:hAnsi="Courier New" w:cs="Courier New"/>
      </w:rPr>
    </w:lvl>
    <w:lvl w:ilvl="8">
      <w:numFmt w:val="bullet"/>
      <w:lvlText w:val=""/>
      <w:lvlJc w:val="left"/>
      <w:pPr>
        <w:ind w:left="6527" w:hanging="360"/>
      </w:pPr>
      <w:rPr>
        <w:rFonts w:ascii="Wingdings" w:hAnsi="Wingdings"/>
      </w:rPr>
    </w:lvl>
  </w:abstractNum>
  <w:abstractNum w:abstractNumId="1" w15:restartNumberingAfterBreak="0">
    <w:nsid w:val="22857D23"/>
    <w:multiLevelType w:val="multilevel"/>
    <w:tmpl w:val="115409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060607F"/>
    <w:multiLevelType w:val="multilevel"/>
    <w:tmpl w:val="4280946E"/>
    <w:lvl w:ilvl="0">
      <w:start w:val="1"/>
      <w:numFmt w:val="decimal"/>
      <w:lvlText w:val="%1."/>
      <w:lvlJc w:val="left"/>
      <w:pPr>
        <w:ind w:left="360" w:hanging="360"/>
      </w:pPr>
      <w:rPr>
        <w:rFonts w:ascii="Calibri Light" w:hAnsi="Calibri Light" w:cs="Calibri Light"/>
        <w:b w:val="0"/>
        <w:bCs w:val="0"/>
        <w:color w:val="0070C0"/>
        <w:sz w:val="20"/>
        <w:szCs w:val="20"/>
      </w:rPr>
    </w:lvl>
    <w:lvl w:ilvl="1">
      <w:start w:val="1"/>
      <w:numFmt w:val="lowerLetter"/>
      <w:lvlText w:val="%2."/>
      <w:lvlJc w:val="left"/>
      <w:pPr>
        <w:ind w:left="1442" w:hanging="360"/>
      </w:pPr>
    </w:lvl>
    <w:lvl w:ilvl="2">
      <w:start w:val="1"/>
      <w:numFmt w:val="lowerRoman"/>
      <w:lvlText w:val="%3."/>
      <w:lvlJc w:val="right"/>
      <w:pPr>
        <w:ind w:left="2162" w:hanging="180"/>
      </w:pPr>
    </w:lvl>
    <w:lvl w:ilvl="3">
      <w:start w:val="1"/>
      <w:numFmt w:val="decimal"/>
      <w:lvlText w:val="%4."/>
      <w:lvlJc w:val="left"/>
      <w:pPr>
        <w:ind w:left="2882" w:hanging="360"/>
      </w:pPr>
    </w:lvl>
    <w:lvl w:ilvl="4">
      <w:start w:val="1"/>
      <w:numFmt w:val="lowerLetter"/>
      <w:lvlText w:val="%5."/>
      <w:lvlJc w:val="left"/>
      <w:pPr>
        <w:ind w:left="3602" w:hanging="360"/>
      </w:pPr>
    </w:lvl>
    <w:lvl w:ilvl="5">
      <w:start w:val="1"/>
      <w:numFmt w:val="lowerRoman"/>
      <w:lvlText w:val="%6."/>
      <w:lvlJc w:val="right"/>
      <w:pPr>
        <w:ind w:left="4322" w:hanging="180"/>
      </w:pPr>
    </w:lvl>
    <w:lvl w:ilvl="6">
      <w:start w:val="1"/>
      <w:numFmt w:val="decimal"/>
      <w:lvlText w:val="%7."/>
      <w:lvlJc w:val="left"/>
      <w:pPr>
        <w:ind w:left="5042" w:hanging="360"/>
      </w:pPr>
    </w:lvl>
    <w:lvl w:ilvl="7">
      <w:start w:val="1"/>
      <w:numFmt w:val="lowerLetter"/>
      <w:lvlText w:val="%8."/>
      <w:lvlJc w:val="left"/>
      <w:pPr>
        <w:ind w:left="5762" w:hanging="360"/>
      </w:pPr>
    </w:lvl>
    <w:lvl w:ilvl="8">
      <w:start w:val="1"/>
      <w:numFmt w:val="lowerRoman"/>
      <w:lvlText w:val="%9."/>
      <w:lvlJc w:val="right"/>
      <w:pPr>
        <w:ind w:left="6482"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64109"/>
    <w:rsid w:val="00014332"/>
    <w:rsid w:val="00026E19"/>
    <w:rsid w:val="00096CE6"/>
    <w:rsid w:val="001D4D7A"/>
    <w:rsid w:val="00735535"/>
    <w:rsid w:val="007A15C1"/>
    <w:rsid w:val="008302A3"/>
    <w:rsid w:val="008B7AFB"/>
    <w:rsid w:val="00C64109"/>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95DF0"/>
  <w15:docId w15:val="{2A4798D8-CE29-40A0-AD67-07F43C06D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style>
  <w:style w:type="paragraph" w:styleId="Ttulo2">
    <w:name w:val="heading 2"/>
    <w:basedOn w:val="Normal"/>
    <w:next w:val="Normal"/>
    <w:uiPriority w:val="9"/>
    <w:unhideWhenUsed/>
    <w:qFormat/>
    <w:pPr>
      <w:keepNext/>
      <w:keepLines/>
      <w:spacing w:before="40" w:after="0" w:line="276" w:lineRule="auto"/>
      <w:outlineLvl w:val="1"/>
    </w:pPr>
    <w:rPr>
      <w:rFonts w:ascii="Calibri Light" w:eastAsia="Times New Roman" w:hAnsi="Calibri Light"/>
      <w:color w:val="2F5496"/>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536"/>
        <w:tab w:val="right" w:pos="9072"/>
      </w:tabs>
      <w:spacing w:after="0" w:line="240" w:lineRule="auto"/>
    </w:pPr>
  </w:style>
  <w:style w:type="character" w:customStyle="1" w:styleId="HeaderChar">
    <w:name w:val="Header Char"/>
    <w:basedOn w:val="Fuentedeprrafopredeter"/>
  </w:style>
  <w:style w:type="paragraph" w:styleId="Piedepgina">
    <w:name w:val="footer"/>
    <w:basedOn w:val="Normal"/>
    <w:pPr>
      <w:tabs>
        <w:tab w:val="center" w:pos="4536"/>
        <w:tab w:val="right" w:pos="9072"/>
      </w:tabs>
      <w:spacing w:after="0" w:line="240" w:lineRule="auto"/>
    </w:pPr>
  </w:style>
  <w:style w:type="character" w:customStyle="1" w:styleId="FooterChar">
    <w:name w:val="Footer Char"/>
    <w:basedOn w:val="Fuentedeprrafopredeter"/>
  </w:style>
  <w:style w:type="paragraph" w:styleId="Textonotapie">
    <w:name w:val="footnote text"/>
    <w:basedOn w:val="Normal"/>
    <w:pPr>
      <w:spacing w:after="0" w:line="240" w:lineRule="auto"/>
    </w:pPr>
    <w:rPr>
      <w:sz w:val="20"/>
      <w:szCs w:val="20"/>
    </w:rPr>
  </w:style>
  <w:style w:type="character" w:customStyle="1" w:styleId="FootnoteTextChar">
    <w:name w:val="Footnote Text Char"/>
    <w:basedOn w:val="Fuentedeprrafopredeter"/>
    <w:rPr>
      <w:sz w:val="20"/>
      <w:szCs w:val="20"/>
    </w:rPr>
  </w:style>
  <w:style w:type="character" w:styleId="Refdenotaalpie">
    <w:name w:val="footnote reference"/>
    <w:basedOn w:val="Fuentedeprrafopredeter"/>
    <w:rPr>
      <w:position w:val="0"/>
      <w:vertAlign w:val="superscript"/>
    </w:rPr>
  </w:style>
  <w:style w:type="character" w:styleId="Hipervnculo">
    <w:name w:val="Hyperlink"/>
    <w:basedOn w:val="Fuentedeprrafopredeter"/>
    <w:rPr>
      <w:color w:val="0563C1"/>
      <w:u w:val="single"/>
    </w:rPr>
  </w:style>
  <w:style w:type="character" w:customStyle="1" w:styleId="Mencinsinresolver1">
    <w:name w:val="Mención sin resolver1"/>
    <w:basedOn w:val="Fuentedeprrafopredeter"/>
    <w:rPr>
      <w:color w:val="605E5C"/>
      <w:shd w:val="clear" w:color="auto" w:fill="E1DFDD"/>
    </w:rPr>
  </w:style>
  <w:style w:type="paragraph" w:styleId="Textodeglobo">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Fuentedeprrafopredeter"/>
    <w:rPr>
      <w:rFonts w:ascii="Segoe UI" w:hAnsi="Segoe UI" w:cs="Segoe UI"/>
      <w:sz w:val="18"/>
      <w:szCs w:val="18"/>
    </w:rPr>
  </w:style>
  <w:style w:type="paragraph" w:styleId="Prrafodelista">
    <w:name w:val="List Paragraph"/>
    <w:basedOn w:val="Normal"/>
    <w:pPr>
      <w:spacing w:after="0" w:line="240" w:lineRule="auto"/>
      <w:ind w:left="720"/>
    </w:pPr>
    <w:rPr>
      <w:rFonts w:cs="Calibri"/>
      <w:lang w:val="fr-BE"/>
    </w:rPr>
  </w:style>
  <w:style w:type="character" w:styleId="Refdecomentario">
    <w:name w:val="annotation reference"/>
    <w:basedOn w:val="Fuentedeprrafopredeter"/>
    <w:rPr>
      <w:sz w:val="16"/>
      <w:szCs w:val="16"/>
    </w:rPr>
  </w:style>
  <w:style w:type="paragraph" w:styleId="Textocomentario">
    <w:name w:val="annotation text"/>
    <w:basedOn w:val="Normal"/>
    <w:pPr>
      <w:spacing w:line="240" w:lineRule="auto"/>
    </w:pPr>
    <w:rPr>
      <w:sz w:val="20"/>
      <w:szCs w:val="20"/>
    </w:rPr>
  </w:style>
  <w:style w:type="character" w:customStyle="1" w:styleId="CommentTextChar">
    <w:name w:val="Comment Text Char"/>
    <w:basedOn w:val="Fuentedeprrafopredeter"/>
    <w:rPr>
      <w:sz w:val="20"/>
      <w:szCs w:val="20"/>
    </w:rPr>
  </w:style>
  <w:style w:type="paragraph" w:styleId="Asuntodelcomentario">
    <w:name w:val="annotation subject"/>
    <w:basedOn w:val="Textocomentario"/>
    <w:next w:val="Textocomentario"/>
    <w:rPr>
      <w:b/>
      <w:bCs/>
    </w:rPr>
  </w:style>
  <w:style w:type="character" w:customStyle="1" w:styleId="CommentSubjectChar">
    <w:name w:val="Comment Subject Char"/>
    <w:basedOn w:val="CommentTextChar"/>
    <w:rPr>
      <w:b/>
      <w:bCs/>
      <w:sz w:val="20"/>
      <w:szCs w:val="20"/>
    </w:rPr>
  </w:style>
  <w:style w:type="paragraph" w:styleId="NormalWeb">
    <w:name w:val="Normal (Web)"/>
    <w:basedOn w:val="Normal"/>
    <w:pPr>
      <w:spacing w:before="100" w:after="100" w:line="240" w:lineRule="auto"/>
    </w:pPr>
    <w:rPr>
      <w:rFonts w:ascii="Times New Roman" w:eastAsia="Times New Roman" w:hAnsi="Times New Roman"/>
      <w:sz w:val="24"/>
      <w:szCs w:val="24"/>
      <w:lang w:val="fr-BE" w:eastAsia="fr-BE"/>
    </w:rPr>
  </w:style>
  <w:style w:type="paragraph" w:customStyle="1" w:styleId="bylinebarreading-time">
    <w:name w:val="bylinebar_reading-time"/>
    <w:basedOn w:val="Normal"/>
    <w:pPr>
      <w:spacing w:before="100" w:after="100" w:line="240" w:lineRule="auto"/>
    </w:pPr>
    <w:rPr>
      <w:rFonts w:ascii="Times New Roman" w:eastAsia="Times New Roman" w:hAnsi="Times New Roman"/>
      <w:sz w:val="24"/>
      <w:szCs w:val="24"/>
      <w:lang w:eastAsia="en-GB"/>
    </w:rPr>
  </w:style>
  <w:style w:type="character" w:customStyle="1" w:styleId="Heading2Char">
    <w:name w:val="Heading 2 Char"/>
    <w:basedOn w:val="Fuentedeprrafopredeter"/>
    <w:rPr>
      <w:rFonts w:ascii="Calibri Light" w:eastAsia="Times New Roman" w:hAnsi="Calibri Light" w:cs="Times New Roman"/>
      <w:color w:val="2F5496"/>
      <w:sz w:val="26"/>
      <w:szCs w:val="26"/>
    </w:rPr>
  </w:style>
  <w:style w:type="paragraph" w:styleId="Textoindependiente">
    <w:name w:val="Body Text"/>
    <w:basedOn w:val="Normal"/>
    <w:pPr>
      <w:spacing w:after="200" w:line="240" w:lineRule="exact"/>
    </w:pPr>
    <w:rPr>
      <w:rFonts w:ascii="Tahoma" w:eastAsia="Times New Roman" w:hAnsi="Tahoma"/>
      <w:spacing w:val="10"/>
      <w:sz w:val="17"/>
      <w:szCs w:val="20"/>
      <w:lang w:val="en-US"/>
    </w:rPr>
  </w:style>
  <w:style w:type="character" w:customStyle="1" w:styleId="BodyTextChar">
    <w:name w:val="Body Text Char"/>
    <w:basedOn w:val="Fuentedeprrafopredeter"/>
    <w:rPr>
      <w:rFonts w:ascii="Tahoma" w:eastAsia="Times New Roman" w:hAnsi="Tahoma" w:cs="Times New Roman"/>
      <w:spacing w:val="10"/>
      <w:sz w:val="17"/>
      <w:szCs w:val="20"/>
      <w:lang w:val="en-US"/>
    </w:rPr>
  </w:style>
  <w:style w:type="character" w:styleId="Textoennegrita">
    <w:name w:val="Strong"/>
    <w:rPr>
      <w:b/>
      <w:bCs/>
    </w:rPr>
  </w:style>
  <w:style w:type="character" w:styleId="Hipervnculovisitado">
    <w:name w:val="FollowedHyperlink"/>
    <w:basedOn w:val="Fuentedeprrafopredeter"/>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etterfinance.eu/pensions-dashboard/"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etterfinance.eu/publication/booklet-pension-savings-the-real-return-2020-edit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etterfinance.eu/publication/pension-savings-the-real-return-2020-editio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betterfinance.eu/publication/pension-savings-the-real-return-2020-editio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oudmont@betterfinance.e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eurofinuse.org" TargetMode="External"/><Relationship Id="rId1" Type="http://schemas.openxmlformats.org/officeDocument/2006/relationships/hyperlink" Target="http://www.eurofinuse.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urofinu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c:style val="2"/>
  <c:chart>
    <c:title>
      <c:tx>
        <c:rich>
          <a:bodyPr vert="horz" lIns="0" tIns="0" rIns="0" bIns="0"/>
          <a:lstStyle/>
          <a:p>
            <a:pPr marL="0" marR="0" indent="0" algn="ctr" defTabSz="914400" rtl="0" fontAlgn="auto" hangingPunct="1">
              <a:lnSpc>
                <a:spcPct val="100000"/>
              </a:lnSpc>
              <a:spcBef>
                <a:spcPts val="0"/>
              </a:spcBef>
              <a:spcAft>
                <a:spcPts val="0"/>
              </a:spcAft>
              <a:tabLst/>
              <a:defRPr sz="1100" b="1" i="0" u="none" strike="noStrike" kern="1200" baseline="0">
                <a:solidFill>
                  <a:srgbClr val="000000"/>
                </a:solidFill>
                <a:latin typeface="Calibri Light"/>
              </a:defRPr>
            </a:pPr>
            <a:r>
              <a:rPr lang="en-GB" sz="1100" b="1" i="0" u="none" strike="noStrike" kern="1200" cap="none" spc="0" baseline="0">
                <a:solidFill>
                  <a:srgbClr val="000000"/>
                </a:solidFill>
                <a:uFillTx/>
                <a:latin typeface="Calibri Light"/>
              </a:rPr>
              <a:t>RENDIMIENTO REAL  NETO ANUALIZADO DE LOS AHORROS PARA PENSIONES- ANTES DE IMPUESTOS</a:t>
            </a:r>
          </a:p>
        </c:rich>
      </c:tx>
      <c:layout>
        <c:manualLayout>
          <c:xMode val="edge"/>
          <c:yMode val="edge"/>
          <c:x val="0.20728994687156038"/>
          <c:y val="2.3999648742791908E-3"/>
        </c:manualLayout>
      </c:layout>
      <c:overlay val="0"/>
      <c:spPr>
        <a:noFill/>
        <a:ln>
          <a:noFill/>
        </a:ln>
      </c:spPr>
    </c:title>
    <c:autoTitleDeleted val="0"/>
    <c:plotArea>
      <c:layout>
        <c:manualLayout>
          <c:xMode val="edge"/>
          <c:yMode val="edge"/>
          <c:x val="0"/>
          <c:y val="2.4946384490042835E-2"/>
          <c:w val="1"/>
          <c:h val="0.97466781800973767"/>
        </c:manualLayout>
      </c:layout>
      <c:barChart>
        <c:barDir val="bar"/>
        <c:grouping val="clustered"/>
        <c:varyColors val="0"/>
        <c:ser>
          <c:idx val="0"/>
          <c:order val="0"/>
          <c:tx>
            <c:v>Series1</c:v>
          </c:tx>
          <c:spPr>
            <a:solidFill>
              <a:srgbClr val="0070C0"/>
            </a:solidFill>
            <a:ln>
              <a:noFill/>
            </a:ln>
          </c:spPr>
          <c:invertIfNegative val="0"/>
          <c:dPt>
            <c:idx val="13"/>
            <c:invertIfNegative val="0"/>
            <c:bubble3D val="0"/>
            <c:spPr>
              <a:solidFill>
                <a:srgbClr val="FF0000"/>
              </a:solidFill>
              <a:ln>
                <a:noFill/>
              </a:ln>
            </c:spPr>
            <c:extLst>
              <c:ext xmlns:c16="http://schemas.microsoft.com/office/drawing/2014/chart" uri="{C3380CC4-5D6E-409C-BE32-E72D297353CC}">
                <c16:uniqueId val="{00000000-22D8-457C-A22A-9E722CEB5040}"/>
              </c:ext>
            </c:extLst>
          </c:dPt>
          <c:dPt>
            <c:idx val="14"/>
            <c:invertIfNegative val="0"/>
            <c:bubble3D val="0"/>
            <c:spPr>
              <a:solidFill>
                <a:srgbClr val="767171"/>
              </a:solidFill>
              <a:ln>
                <a:noFill/>
              </a:ln>
            </c:spPr>
            <c:extLst>
              <c:ext xmlns:c16="http://schemas.microsoft.com/office/drawing/2014/chart" uri="{C3380CC4-5D6E-409C-BE32-E72D297353CC}">
                <c16:uniqueId val="{00000001-22D8-457C-A22A-9E722CEB5040}"/>
              </c:ext>
            </c:extLst>
          </c:dPt>
          <c:dPt>
            <c:idx val="15"/>
            <c:invertIfNegative val="0"/>
            <c:bubble3D val="0"/>
            <c:spPr>
              <a:solidFill>
                <a:srgbClr val="767171"/>
              </a:solidFill>
              <a:ln>
                <a:noFill/>
              </a:ln>
            </c:spPr>
            <c:extLst>
              <c:ext xmlns:c16="http://schemas.microsoft.com/office/drawing/2014/chart" uri="{C3380CC4-5D6E-409C-BE32-E72D297353CC}">
                <c16:uniqueId val="{00000002-22D8-457C-A22A-9E722CEB5040}"/>
              </c:ext>
            </c:extLst>
          </c:dPt>
          <c:dPt>
            <c:idx val="26"/>
            <c:invertIfNegative val="0"/>
            <c:bubble3D val="0"/>
            <c:spPr>
              <a:solidFill>
                <a:srgbClr val="FF0000"/>
              </a:solidFill>
              <a:ln>
                <a:noFill/>
              </a:ln>
            </c:spPr>
            <c:extLst>
              <c:ext xmlns:c16="http://schemas.microsoft.com/office/drawing/2014/chart" uri="{C3380CC4-5D6E-409C-BE32-E72D297353CC}">
                <c16:uniqueId val="{00000003-22D8-457C-A22A-9E722CEB5040}"/>
              </c:ext>
            </c:extLst>
          </c:dPt>
          <c:dPt>
            <c:idx val="30"/>
            <c:invertIfNegative val="0"/>
            <c:bubble3D val="0"/>
            <c:extLst>
              <c:ext xmlns:c16="http://schemas.microsoft.com/office/drawing/2014/chart" uri="{C3380CC4-5D6E-409C-BE32-E72D297353CC}">
                <c16:uniqueId val="{00000004-22D8-457C-A22A-9E722CEB5040}"/>
              </c:ext>
            </c:extLst>
          </c:dPt>
          <c:dPt>
            <c:idx val="32"/>
            <c:invertIfNegative val="0"/>
            <c:bubble3D val="0"/>
            <c:spPr>
              <a:solidFill>
                <a:srgbClr val="FF0000"/>
              </a:solidFill>
              <a:ln>
                <a:noFill/>
              </a:ln>
            </c:spPr>
            <c:extLst>
              <c:ext xmlns:c16="http://schemas.microsoft.com/office/drawing/2014/chart" uri="{C3380CC4-5D6E-409C-BE32-E72D297353CC}">
                <c16:uniqueId val="{00000005-22D8-457C-A22A-9E722CEB5040}"/>
              </c:ext>
            </c:extLst>
          </c:dPt>
          <c:dPt>
            <c:idx val="36"/>
            <c:invertIfNegative val="0"/>
            <c:bubble3D val="0"/>
            <c:spPr>
              <a:solidFill>
                <a:srgbClr val="FF0000"/>
              </a:solidFill>
              <a:ln>
                <a:noFill/>
              </a:ln>
            </c:spPr>
            <c:extLst>
              <c:ext xmlns:c16="http://schemas.microsoft.com/office/drawing/2014/chart" uri="{C3380CC4-5D6E-409C-BE32-E72D297353CC}">
                <c16:uniqueId val="{00000006-22D8-457C-A22A-9E722CEB5040}"/>
              </c:ext>
            </c:extLst>
          </c:dPt>
          <c:dPt>
            <c:idx val="41"/>
            <c:invertIfNegative val="0"/>
            <c:bubble3D val="0"/>
            <c:spPr>
              <a:solidFill>
                <a:srgbClr val="FF0000"/>
              </a:solidFill>
              <a:ln>
                <a:noFill/>
              </a:ln>
            </c:spPr>
            <c:extLst>
              <c:ext xmlns:c16="http://schemas.microsoft.com/office/drawing/2014/chart" uri="{C3380CC4-5D6E-409C-BE32-E72D297353CC}">
                <c16:uniqueId val="{00000007-22D8-457C-A22A-9E722CEB5040}"/>
              </c:ext>
            </c:extLst>
          </c:dPt>
          <c:dPt>
            <c:idx val="48"/>
            <c:invertIfNegative val="0"/>
            <c:bubble3D val="0"/>
            <c:spPr>
              <a:solidFill>
                <a:srgbClr val="FF0000"/>
              </a:solidFill>
              <a:ln>
                <a:noFill/>
              </a:ln>
            </c:spPr>
            <c:extLst>
              <c:ext xmlns:c16="http://schemas.microsoft.com/office/drawing/2014/chart" uri="{C3380CC4-5D6E-409C-BE32-E72D297353CC}">
                <c16:uniqueId val="{00000008-22D8-457C-A22A-9E722CEB5040}"/>
              </c:ext>
            </c:extLst>
          </c:dPt>
          <c:dPt>
            <c:idx val="52"/>
            <c:invertIfNegative val="0"/>
            <c:bubble3D val="0"/>
            <c:spPr>
              <a:solidFill>
                <a:srgbClr val="767171"/>
              </a:solidFill>
              <a:ln>
                <a:noFill/>
              </a:ln>
            </c:spPr>
            <c:extLst>
              <c:ext xmlns:c16="http://schemas.microsoft.com/office/drawing/2014/chart" uri="{C3380CC4-5D6E-409C-BE32-E72D297353CC}">
                <c16:uniqueId val="{00000009-22D8-457C-A22A-9E722CEB5040}"/>
              </c:ext>
            </c:extLst>
          </c:dPt>
          <c:dPt>
            <c:idx val="53"/>
            <c:invertIfNegative val="0"/>
            <c:bubble3D val="0"/>
            <c:spPr>
              <a:solidFill>
                <a:srgbClr val="767171"/>
              </a:solidFill>
              <a:ln>
                <a:noFill/>
              </a:ln>
            </c:spPr>
            <c:extLst>
              <c:ext xmlns:c16="http://schemas.microsoft.com/office/drawing/2014/chart" uri="{C3380CC4-5D6E-409C-BE32-E72D297353CC}">
                <c16:uniqueId val="{0000000A-22D8-457C-A22A-9E722CEB5040}"/>
              </c:ext>
            </c:extLst>
          </c:dPt>
          <c:dLbls>
            <c:dLbl>
              <c:idx val="13"/>
              <c:spPr>
                <a:solidFill>
                  <a:srgbClr val="FFFFFF"/>
                </a:solidFill>
                <a:ln>
                  <a:noFill/>
                </a:ln>
                <a:effectLst/>
              </c:spPr>
              <c:txPr>
                <a:bodyPr lIns="0" tIns="0" rIns="0" bIns="0"/>
                <a:lstStyle/>
                <a:p>
                  <a:pPr marL="0" marR="0" indent="0" algn="ctr" defTabSz="914400" fontAlgn="auto" hangingPunct="1">
                    <a:lnSpc>
                      <a:spcPct val="100000"/>
                    </a:lnSpc>
                    <a:spcBef>
                      <a:spcPts val="0"/>
                    </a:spcBef>
                    <a:spcAft>
                      <a:spcPts val="0"/>
                    </a:spcAft>
                    <a:tabLst/>
                    <a:defRPr sz="1050" b="1" i="0" u="none" strike="noStrike" kern="1200" baseline="0">
                      <a:solidFill>
                        <a:srgbClr val="FF0000"/>
                      </a:solidFill>
                      <a:latin typeface="Calibri Light"/>
                    </a:defRPr>
                  </a:pPr>
                  <a:endParaRPr lang="es-E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22D8-457C-A22A-9E722CEB5040}"/>
                </c:ext>
              </c:extLst>
            </c:dLbl>
            <c:dLbl>
              <c:idx val="26"/>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1000" b="1" i="0" u="none" strike="noStrike" kern="1200" baseline="0">
                      <a:solidFill>
                        <a:srgbClr val="FF0000"/>
                      </a:solidFill>
                      <a:latin typeface="Calibri Light"/>
                    </a:defRPr>
                  </a:pPr>
                  <a:endParaRPr lang="es-E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22D8-457C-A22A-9E722CEB5040}"/>
                </c:ext>
              </c:extLst>
            </c:dLbl>
            <c:dLbl>
              <c:idx val="30"/>
              <c:layout>
                <c:manualLayout>
                  <c:x val="-0.12712646050292092"/>
                  <c:y val="1.7455975542887137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22D8-457C-A22A-9E722CEB5040}"/>
                </c:ext>
              </c:extLst>
            </c:dLbl>
            <c:dLbl>
              <c:idx val="32"/>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1000" b="1" i="0" u="none" strike="noStrike" kern="1200" baseline="0">
                      <a:solidFill>
                        <a:srgbClr val="FF0000"/>
                      </a:solidFill>
                      <a:latin typeface="Calibri Light"/>
                    </a:defRPr>
                  </a:pPr>
                  <a:endParaRPr lang="es-E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5-22D8-457C-A22A-9E722CEB5040}"/>
                </c:ext>
              </c:extLst>
            </c:dLbl>
            <c:dLbl>
              <c:idx val="36"/>
              <c:tx>
                <c:rich>
                  <a:bodyPr/>
                  <a:lstStyle/>
                  <a:p>
                    <a:r>
                      <a:rPr lang="en-US" sz="1000" b="0" i="0" u="none" strike="noStrike" kern="1200" cap="none" spc="0" baseline="0">
                        <a:solidFill>
                          <a:srgbClr val="000000"/>
                        </a:solidFill>
                        <a:uFillTx/>
                        <a:latin typeface="Calibri Light"/>
                      </a:rPr>
                      <a:t>4,27%</a:t>
                    </a:r>
                  </a:p>
                </c:rich>
              </c:tx>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6-22D8-457C-A22A-9E722CEB5040}"/>
                </c:ext>
              </c:extLst>
            </c:dLbl>
            <c:dLbl>
              <c:idx val="41"/>
              <c:tx>
                <c:rich>
                  <a:bodyPr/>
                  <a:lstStyle/>
                  <a:p>
                    <a:r>
                      <a:rPr lang="en-US" sz="1000" b="0" i="0" u="none" strike="noStrike" kern="1200" cap="none" spc="0" baseline="0">
                        <a:solidFill>
                          <a:srgbClr val="000000"/>
                        </a:solidFill>
                        <a:uFillTx/>
                        <a:latin typeface="Calibri Light"/>
                      </a:rPr>
                      <a:t>4,10%</a:t>
                    </a:r>
                  </a:p>
                </c:rich>
              </c:tx>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22D8-457C-A22A-9E722CEB5040}"/>
                </c:ext>
              </c:extLst>
            </c:dLbl>
            <c:dLbl>
              <c:idx val="48"/>
              <c:tx>
                <c:rich>
                  <a:bodyPr/>
                  <a:lstStyle/>
                  <a:p>
                    <a:r>
                      <a:rPr lang="en-US" sz="1000" b="0" i="0" u="none" strike="noStrike" kern="1200" cap="none" spc="0" baseline="0">
                        <a:solidFill>
                          <a:srgbClr val="000000"/>
                        </a:solidFill>
                        <a:uFillTx/>
                        <a:latin typeface="Calibri Light"/>
                      </a:rPr>
                      <a:t>3,31%</a:t>
                    </a:r>
                  </a:p>
                </c:rich>
              </c:tx>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8-22D8-457C-A22A-9E722CEB5040}"/>
                </c:ext>
              </c:extLst>
            </c:dLbl>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1000" b="0" i="0" u="none" strike="noStrike" kern="1200" baseline="0">
                    <a:solidFill>
                      <a:srgbClr val="000000"/>
                    </a:solidFill>
                    <a:latin typeface="Calibri Light"/>
                  </a:defRPr>
                </a:pPr>
                <a:endParaRPr lang="es-ES"/>
              </a:p>
            </c:txP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Lit>
              <c:ptCount val="54"/>
              <c:pt idx="0">
                <c:v>BE Planes de pensiones de empleo (IORP), 2000-2019</c:v>
              </c:pt>
              <c:pt idx="1">
                <c:v>BE Fondos de ahorro para pensiones, 2000-2019</c:v>
              </c:pt>
              <c:pt idx="2">
                <c:v>DE Seguros de pensiones, 2000-2019</c:v>
              </c:pt>
              <c:pt idx="3">
                <c:v>ES Planes individuales, 2000-2019</c:v>
              </c:pt>
              <c:pt idx="4">
                <c:v>ES Planes de ocupación, 2000-2019</c:v>
              </c:pt>
              <c:pt idx="5">
                <c:v>ES Planes asociados, 2000-2019</c:v>
              </c:pt>
              <c:pt idx="6">
                <c:v>FR Seguro de vida, garantizado, 2000-2019</c:v>
              </c:pt>
              <c:pt idx="7">
                <c:v>FR Seguro de vida, unit-linked, 2000-2019</c:v>
              </c:pt>
              <c:pt idx="8">
                <c:v>FR Planes de ahorro de las empresas, 2000-2019</c:v>
              </c:pt>
              <c:pt idx="9">
                <c:v>IT Fondos de pensiones cerrados, 2000-2019</c:v>
              </c:pt>
              <c:pt idx="10">
                <c:v>IT Fondos de pensiones abiertos, 2000-2019</c:v>
              </c:pt>
              <c:pt idx="11">
                <c:v>NL Fondos de pensiones, 2000-2019</c:v>
              </c:pt>
              <c:pt idx="12">
                <c:v>NL Seguro de vida, 2000-2019</c:v>
              </c:pt>
              <c:pt idx="13">
                <c:v>UE Mercados de capital, 2000-2019</c:v>
              </c:pt>
              <c:pt idx="14">
                <c:v>DE AOPP, 2002-2018</c:v>
              </c:pt>
              <c:pt idx="15">
                <c:v>REINO UNIDO Fondos de pensiones, 2000-2017</c:v>
              </c:pt>
              <c:pt idx="16">
                <c:v>- -</c:v>
              </c:pt>
              <c:pt idx="17">
                <c:v>EN Fondos de pensiones, 2002-2019</c:v>
              </c:pt>
              <c:pt idx="18">
                <c:v>EN Seguros de vida, 2002-2019</c:v>
              </c:pt>
              <c:pt idx="19">
                <c:v>BG Fondos de pensiones universales, 2002-2019</c:v>
              </c:pt>
              <c:pt idx="20">
                <c:v>BG Fondos de pensiones voluntarias, 2002-2019</c:v>
              </c:pt>
              <c:pt idx="21">
                <c:v>HR Fondos de pensiones obligatorios, 2002-2019</c:v>
              </c:pt>
              <c:pt idx="22">
                <c:v>HR Fondos de pensiones voluntarias, 2002-2019</c:v>
              </c:pt>
              <c:pt idx="23">
                <c:v>PL Fondos de pensiones de los empleados, 2002-2019</c:v>
              </c:pt>
              <c:pt idx="24">
                <c:v>SE Fondo de pensiones AP7, opción por defecto, 2002-2019</c:v>
              </c:pt>
              <c:pt idx="25">
                <c:v>SE Fondo de pensiones AP7, elección propia, 2002-2019</c:v>
              </c:pt>
              <c:pt idx="26">
                <c:v>UE Mercados de capital, 2002-2019</c:v>
              </c:pt>
              <c:pt idx="27">
                <c:v>- -</c:v>
              </c:pt>
              <c:pt idx="28">
                <c:v>EE Fondos de pensiones obligatorios, 2003-2019</c:v>
              </c:pt>
              <c:pt idx="29">
                <c:v>EE Fondos de pensiones complementarias, 2003-2019</c:v>
              </c:pt>
              <c:pt idx="30">
                <c:v>FR Pensión de empleado público, 2003-2019</c:v>
              </c:pt>
              <c:pt idx="31">
                <c:v>LV Fondos de pensiones financiados por el Estado, 2003-2019</c:v>
              </c:pt>
              <c:pt idx="32">
                <c:v>UE Mercados de capital, 2003 - 2019</c:v>
              </c:pt>
              <c:pt idx="33">
                <c:v>- -</c:v>
              </c:pt>
              <c:pt idx="34">
                <c:v>LT Planes de pensiones ocupacionales, 2004-2019</c:v>
              </c:pt>
              <c:pt idx="35">
                <c:v>LT Planes de pensiones complementarias, 2004-2019</c:v>
              </c:pt>
              <c:pt idx="36">
                <c:v>UE Mercados de capital, 2004 - 2019</c:v>
              </c:pt>
              <c:pt idx="37">
                <c:v>- -</c:v>
              </c:pt>
              <c:pt idx="38">
                <c:v>DE Seguro de Pensión de Riesgos, 2005-2019</c:v>
              </c:pt>
              <c:pt idx="39">
                <c:v>DE RÃ¼rup Seguro de pensiones, 2005-2019</c:v>
              </c:pt>
              <c:pt idx="40">
                <c:v>SK Pilar II Pensión financiada, 2005-2019</c:v>
              </c:pt>
              <c:pt idx="41">
                <c:v>UE Mercados de capital, 2005 - 2019</c:v>
              </c:pt>
              <c:pt idx="42">
                <c:v>- -</c:v>
              </c:pt>
              <c:pt idx="43">
                <c:v>RO Pensiones privadas voluntarias, 2007-2019</c:v>
              </c:pt>
              <c:pt idx="44">
                <c:v>IT PIP con beneficios, 2008-2019</c:v>
              </c:pt>
              <c:pt idx="45">
                <c:v>IT PIP Unit-Linked, 2008-2019</c:v>
              </c:pt>
              <c:pt idx="46">
                <c:v>SK Fondos de pensiones complementarias, 2009-2019</c:v>
              </c:pt>
              <c:pt idx="47">
                <c:v>RO Pilar II Pensiones financiadas, 2008-2019</c:v>
              </c:pt>
              <c:pt idx="48">
                <c:v>UE Mercados de capital, 2008 - 2019</c:v>
              </c:pt>
              <c:pt idx="49">
                <c:v>- -</c:v>
              </c:pt>
              <c:pt idx="50">
                <c:v>LV Pensión privada voluntaria, 2011-2019</c:v>
              </c:pt>
              <c:pt idx="51">
                <c:v>PL Fondos de pensiones voluntarias (DFE), 2013-2019</c:v>
              </c:pt>
              <c:pt idx="52">
                <c:v>BE OPP-IC (Subdivisión 21), 2002-2014</c:v>
              </c:pt>
              <c:pt idx="53">
                <c:v>BE Contratos individuales (Subdivisión 23), 2005-2014</c:v>
              </c:pt>
            </c:strLit>
          </c:cat>
          <c:val>
            <c:numLit>
              <c:formatCode>General</c:formatCode>
              <c:ptCount val="54"/>
              <c:pt idx="0">
                <c:v>2.1399999999999999E-2</c:v>
              </c:pt>
              <c:pt idx="1">
                <c:v>1.7999999999999999E-2</c:v>
              </c:pt>
              <c:pt idx="2">
                <c:v>2.07E-2</c:v>
              </c:pt>
              <c:pt idx="3">
                <c:v>1.6999999999999999E-3</c:v>
              </c:pt>
              <c:pt idx="4">
                <c:v>7.0000000000000001E-3</c:v>
              </c:pt>
              <c:pt idx="5">
                <c:v>9.5999999999999992E-3</c:v>
              </c:pt>
              <c:pt idx="6">
                <c:v>1.18E-2</c:v>
              </c:pt>
              <c:pt idx="7">
                <c:v>-6.6E-3</c:v>
              </c:pt>
              <c:pt idx="8">
                <c:v>8.0000000000000002E-3</c:v>
              </c:pt>
              <c:pt idx="9">
                <c:v>1.41E-2</c:v>
              </c:pt>
              <c:pt idx="10">
                <c:v>2.8E-3</c:v>
              </c:pt>
              <c:pt idx="11">
                <c:v>2.7099999999999999E-2</c:v>
              </c:pt>
              <c:pt idx="12">
                <c:v>2.9999999999999997E-4</c:v>
              </c:pt>
              <c:pt idx="13">
                <c:v>2.7359227055127056E-2</c:v>
              </c:pt>
              <c:pt idx="14">
                <c:v>2.24E-2</c:v>
              </c:pt>
              <c:pt idx="15">
                <c:v>3.0599999999999999E-2</c:v>
              </c:pt>
              <c:pt idx="16">
                <c:v>0</c:v>
              </c:pt>
              <c:pt idx="17">
                <c:v>1.4E-2</c:v>
              </c:pt>
              <c:pt idx="18">
                <c:v>2.0899999999999998E-2</c:v>
              </c:pt>
              <c:pt idx="19">
                <c:v>-9.1000000000000004E-3</c:v>
              </c:pt>
              <c:pt idx="20">
                <c:v>-1.4E-3</c:v>
              </c:pt>
              <c:pt idx="21">
                <c:v>3.5900000000000001E-2</c:v>
              </c:pt>
              <c:pt idx="22">
                <c:v>3.8800000000000001E-2</c:v>
              </c:pt>
              <c:pt idx="23">
                <c:v>3.7499999999999999E-2</c:v>
              </c:pt>
              <c:pt idx="24">
                <c:v>7.0900000000000005E-2</c:v>
              </c:pt>
              <c:pt idx="25">
                <c:v>0.04</c:v>
              </c:pt>
              <c:pt idx="26">
                <c:v>3.5220577580413748E-2</c:v>
              </c:pt>
              <c:pt idx="27">
                <c:v>0</c:v>
              </c:pt>
              <c:pt idx="28">
                <c:v>4.3E-3</c:v>
              </c:pt>
              <c:pt idx="29">
                <c:v>1.5800000000000002E-2</c:v>
              </c:pt>
              <c:pt idx="30">
                <c:v>-1.44E-2</c:v>
              </c:pt>
              <c:pt idx="31">
                <c:v>-2E-3</c:v>
              </c:pt>
              <c:pt idx="32">
                <c:v>4.4318930127988265E-2</c:v>
              </c:pt>
              <c:pt idx="33">
                <c:v>0</c:v>
              </c:pt>
              <c:pt idx="34">
                <c:v>1.4999999999999999E-2</c:v>
              </c:pt>
              <c:pt idx="35">
                <c:v>8.2000000000000007E-3</c:v>
              </c:pt>
              <c:pt idx="36">
                <c:v>4.2676850815281719E-2</c:v>
              </c:pt>
              <c:pt idx="37">
                <c:v>0</c:v>
              </c:pt>
              <c:pt idx="38">
                <c:v>1.43E-2</c:v>
              </c:pt>
              <c:pt idx="39">
                <c:v>1.4500000000000001E-2</c:v>
              </c:pt>
              <c:pt idx="40">
                <c:v>-2.9999999999999997E-4</c:v>
              </c:pt>
              <c:pt idx="41">
                <c:v>4.098423239384319E-2</c:v>
              </c:pt>
              <c:pt idx="42">
                <c:v>0</c:v>
              </c:pt>
              <c:pt idx="43">
                <c:v>2.6100000000000002E-2</c:v>
              </c:pt>
              <c:pt idx="44">
                <c:v>1.3100000000000001E-2</c:v>
              </c:pt>
              <c:pt idx="45">
                <c:v>8.9999999999999993E-3</c:v>
              </c:pt>
              <c:pt idx="46">
                <c:v>5.0000000000000001E-3</c:v>
              </c:pt>
              <c:pt idx="47">
                <c:v>4.9299999999999997E-2</c:v>
              </c:pt>
              <c:pt idx="48">
                <c:v>3.3110578265880042E-2</c:v>
              </c:pt>
              <c:pt idx="49">
                <c:v>0</c:v>
              </c:pt>
              <c:pt idx="50">
                <c:v>1.5180000000000001E-2</c:v>
              </c:pt>
              <c:pt idx="51">
                <c:v>4.3299999999999998E-2</c:v>
              </c:pt>
              <c:pt idx="52">
                <c:v>2.5700000000000001E-2</c:v>
              </c:pt>
              <c:pt idx="53">
                <c:v>1.5699999999999999E-2</c:v>
              </c:pt>
            </c:numLit>
          </c:val>
          <c:extLst>
            <c:ext xmlns:c16="http://schemas.microsoft.com/office/drawing/2014/chart" uri="{C3380CC4-5D6E-409C-BE32-E72D297353CC}">
              <c16:uniqueId val="{00000015-6983-4D33-B7B7-E6F727B1FF1F}"/>
            </c:ext>
          </c:extLst>
        </c:ser>
        <c:dLbls>
          <c:showLegendKey val="0"/>
          <c:showVal val="0"/>
          <c:showCatName val="0"/>
          <c:showSerName val="0"/>
          <c:showPercent val="0"/>
          <c:showBubbleSize val="0"/>
        </c:dLbls>
        <c:gapWidth val="150"/>
        <c:axId val="391757824"/>
        <c:axId val="391756032"/>
      </c:barChart>
      <c:valAx>
        <c:axId val="391756032"/>
        <c:scaling>
          <c:orientation val="minMax"/>
        </c:scaling>
        <c:delete val="0"/>
        <c:axPos val="t"/>
        <c:majorGridlines>
          <c:spPr>
            <a:ln w="6345" cap="flat">
              <a:solidFill>
                <a:srgbClr val="898989"/>
              </a:solidFill>
              <a:prstDash val="solid"/>
              <a:round/>
            </a:ln>
          </c:spPr>
        </c:majorGridlines>
        <c:numFmt formatCode="0%" sourceLinked="0"/>
        <c:majorTickMark val="out"/>
        <c:minorTickMark val="none"/>
        <c:tickLblPos val="nextTo"/>
        <c:spPr>
          <a:noFill/>
          <a:ln w="6345" cap="flat">
            <a:solidFill>
              <a:srgbClr val="898989"/>
            </a:solidFill>
            <a:prstDash val="solid"/>
            <a:round/>
          </a:ln>
        </c:spPr>
        <c:txPr>
          <a:bodyPr lIns="0" tIns="0" rIns="0" bIns="0"/>
          <a:lstStyle/>
          <a:p>
            <a:pPr marL="0" marR="0" indent="0" defTabSz="914400" fontAlgn="auto" hangingPunct="1">
              <a:lnSpc>
                <a:spcPct val="100000"/>
              </a:lnSpc>
              <a:spcBef>
                <a:spcPts val="0"/>
              </a:spcBef>
              <a:spcAft>
                <a:spcPts val="0"/>
              </a:spcAft>
              <a:tabLst/>
              <a:defRPr sz="1000" b="0" i="0" u="none" strike="noStrike" kern="1200" baseline="0">
                <a:solidFill>
                  <a:srgbClr val="000000"/>
                </a:solidFill>
                <a:latin typeface="Calibri Light"/>
              </a:defRPr>
            </a:pPr>
            <a:endParaRPr lang="es-ES"/>
          </a:p>
        </c:txPr>
        <c:crossAx val="391757824"/>
        <c:crosses val="autoZero"/>
        <c:crossBetween val="between"/>
      </c:valAx>
      <c:catAx>
        <c:axId val="391757824"/>
        <c:scaling>
          <c:orientation val="maxMin"/>
        </c:scaling>
        <c:delete val="0"/>
        <c:axPos val="l"/>
        <c:numFmt formatCode="General" sourceLinked="0"/>
        <c:majorTickMark val="out"/>
        <c:minorTickMark val="none"/>
        <c:tickLblPos val="low"/>
        <c:spPr>
          <a:noFill/>
          <a:ln w="6345" cap="flat">
            <a:solidFill>
              <a:srgbClr val="898989"/>
            </a:solidFill>
            <a:prstDash val="solid"/>
            <a:round/>
          </a:ln>
        </c:spPr>
        <c:txPr>
          <a:bodyPr lIns="0" tIns="0" rIns="0" bIns="0"/>
          <a:lstStyle/>
          <a:p>
            <a:pPr marL="0" marR="0" indent="0" defTabSz="914400" fontAlgn="auto" hangingPunct="1">
              <a:lnSpc>
                <a:spcPct val="100000"/>
              </a:lnSpc>
              <a:spcBef>
                <a:spcPts val="0"/>
              </a:spcBef>
              <a:spcAft>
                <a:spcPts val="0"/>
              </a:spcAft>
              <a:tabLst/>
              <a:defRPr sz="1000" b="0" i="0" u="none" strike="noStrike" kern="1200" baseline="0">
                <a:solidFill>
                  <a:srgbClr val="000000"/>
                </a:solidFill>
                <a:latin typeface="Calibri Light"/>
              </a:defRPr>
            </a:pPr>
            <a:endParaRPr lang="es-ES"/>
          </a:p>
        </c:txPr>
        <c:crossAx val="391756032"/>
        <c:crossesAt val="0"/>
        <c:auto val="1"/>
        <c:lblAlgn val="ctr"/>
        <c:lblOffset val="100"/>
        <c:noMultiLvlLbl val="0"/>
      </c:catAx>
      <c:spPr>
        <a:noFill/>
        <a:ln>
          <a:noFill/>
        </a:ln>
      </c:spPr>
    </c:plotArea>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Light"/>
        </a:defRPr>
      </a:pPr>
      <a:endParaRPr lang="es-ES"/>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308A9776426D41840A8C2CCB15B3F3" ma:contentTypeVersion="12" ma:contentTypeDescription="Create a new document." ma:contentTypeScope="" ma:versionID="fad30e866c7e5bd87e01b4be7e13f445">
  <xsd:schema xmlns:xsd="http://www.w3.org/2001/XMLSchema" xmlns:xs="http://www.w3.org/2001/XMLSchema" xmlns:p="http://schemas.microsoft.com/office/2006/metadata/properties" xmlns:ns2="fd160c09-1844-45b0-b4f1-cf53e6c3c76a" xmlns:ns3="8e72f4a7-cae9-4e97-b541-2580a12d1989" targetNamespace="http://schemas.microsoft.com/office/2006/metadata/properties" ma:root="true" ma:fieldsID="3d251b770648fbf44b28e39a1ec2cbaa" ns2:_="" ns3:_="">
    <xsd:import namespace="fd160c09-1844-45b0-b4f1-cf53e6c3c76a"/>
    <xsd:import namespace="8e72f4a7-cae9-4e97-b541-2580a12d19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60c09-1844-45b0-b4f1-cf53e6c3c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72f4a7-cae9-4e97-b541-2580a12d19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A05A4D-FCFE-4C47-9B8E-CF4A320FED7E}">
  <ds:schemaRefs>
    <ds:schemaRef ds:uri="http://schemas.microsoft.com/sharepoint/v3/contenttype/forms"/>
  </ds:schemaRefs>
</ds:datastoreItem>
</file>

<file path=customXml/itemProps2.xml><?xml version="1.0" encoding="utf-8"?>
<ds:datastoreItem xmlns:ds="http://schemas.openxmlformats.org/officeDocument/2006/customXml" ds:itemID="{28F931FF-DBB6-4023-AFEA-BE601DEBC4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925260-F8C8-4BE0-BC7B-DCDDBF887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60c09-1844-45b0-b4f1-cf53e6c3c76a"/>
    <ds:schemaRef ds:uri="8e72f4a7-cae9-4e97-b541-2580a12d1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4514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Voicu</dc:creator>
  <cp:lastModifiedBy>Usuario</cp:lastModifiedBy>
  <cp:revision>3</cp:revision>
  <dcterms:created xsi:type="dcterms:W3CDTF">2020-12-11T11:36:00Z</dcterms:created>
  <dcterms:modified xsi:type="dcterms:W3CDTF">2020-12-21T20:26:00Z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0x010100B5308A9776426D41840A8C2CCB15B3F3</vt:lpwstr>
  </property>
</Properties>
</file>