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DA203" w14:textId="61053193" w:rsidR="00563388" w:rsidRDefault="00563388"/>
    <w:p w14:paraId="696DA204" w14:textId="52D3EAB2" w:rsidR="00563388" w:rsidRPr="000575CE" w:rsidRDefault="000575CE">
      <w:pPr>
        <w:pStyle w:val="Ttulo2"/>
        <w:spacing w:after="80"/>
        <w:jc w:val="both"/>
        <w:rPr>
          <w:rFonts w:ascii="Calibri Light" w:eastAsia="Calibri" w:hAnsi="Calibri Light" w:cs="Calibri Light"/>
          <w:b/>
          <w:spacing w:val="20"/>
          <w:kern w:val="3"/>
          <w:lang w:val="es-ES"/>
        </w:rPr>
      </w:pPr>
      <w:bookmarkStart w:id="0" w:name="_Hlk4143464"/>
      <w:r w:rsidRPr="000575CE">
        <w:rPr>
          <w:rFonts w:ascii="Calibri Light" w:eastAsia="Calibri" w:hAnsi="Calibri Light" w:cs="Calibri Light"/>
          <w:b/>
          <w:spacing w:val="20"/>
          <w:kern w:val="3"/>
          <w:lang w:val="es-ES"/>
        </w:rPr>
        <w:t xml:space="preserve">Las autoridades nacionales de supervisión rechazan las normas sobre </w:t>
      </w:r>
      <w:r w:rsidR="004D7D1A">
        <w:rPr>
          <w:rFonts w:ascii="Calibri Light" w:eastAsia="Calibri" w:hAnsi="Calibri Light" w:cs="Calibri Light"/>
          <w:b/>
          <w:spacing w:val="20"/>
          <w:kern w:val="3"/>
          <w:lang w:val="es-ES"/>
        </w:rPr>
        <w:t xml:space="preserve">los </w:t>
      </w:r>
      <w:r w:rsidRPr="000575CE">
        <w:rPr>
          <w:rFonts w:ascii="Calibri Light" w:eastAsia="Calibri" w:hAnsi="Calibri Light" w:cs="Calibri Light"/>
          <w:b/>
          <w:spacing w:val="20"/>
          <w:kern w:val="3"/>
          <w:lang w:val="es-ES"/>
        </w:rPr>
        <w:t xml:space="preserve">documentos de información clave para </w:t>
      </w:r>
      <w:r w:rsidR="004D7D1A">
        <w:rPr>
          <w:rFonts w:ascii="Calibri Light" w:eastAsia="Calibri" w:hAnsi="Calibri Light" w:cs="Calibri Light"/>
          <w:b/>
          <w:spacing w:val="20"/>
          <w:kern w:val="3"/>
          <w:lang w:val="es-ES"/>
        </w:rPr>
        <w:t xml:space="preserve">los </w:t>
      </w:r>
      <w:r w:rsidRPr="000575CE">
        <w:rPr>
          <w:rFonts w:ascii="Calibri Light" w:eastAsia="Calibri" w:hAnsi="Calibri Light" w:cs="Calibri Light"/>
          <w:b/>
          <w:spacing w:val="20"/>
          <w:kern w:val="3"/>
          <w:lang w:val="es-ES"/>
        </w:rPr>
        <w:t xml:space="preserve">productos de inversión minorista: </w:t>
      </w:r>
      <w:r w:rsidR="008553C7">
        <w:rPr>
          <w:rFonts w:ascii="Calibri Light" w:eastAsia="Calibri" w:hAnsi="Calibri Light" w:cs="Calibri Light"/>
          <w:b/>
          <w:spacing w:val="20"/>
          <w:kern w:val="3"/>
          <w:lang w:val="es-ES"/>
        </w:rPr>
        <w:t>ha llegado la</w:t>
      </w:r>
      <w:r w:rsidR="008553C7" w:rsidRPr="000575CE">
        <w:rPr>
          <w:rFonts w:ascii="Calibri Light" w:eastAsia="Calibri" w:hAnsi="Calibri Light" w:cs="Calibri Light"/>
          <w:b/>
          <w:spacing w:val="20"/>
          <w:kern w:val="3"/>
          <w:lang w:val="es-ES"/>
        </w:rPr>
        <w:t xml:space="preserve"> </w:t>
      </w:r>
      <w:r w:rsidRPr="000575CE">
        <w:rPr>
          <w:rFonts w:ascii="Calibri Light" w:eastAsia="Calibri" w:hAnsi="Calibri Light" w:cs="Calibri Light"/>
          <w:b/>
          <w:spacing w:val="20"/>
          <w:kern w:val="3"/>
          <w:lang w:val="es-ES"/>
        </w:rPr>
        <w:t>hora de aplicar las recomendaciones del Foro de Alto Nivel de la Comisión Europea</w:t>
      </w:r>
    </w:p>
    <w:p w14:paraId="696DA205" w14:textId="5318CE55" w:rsidR="00563388" w:rsidRPr="000575CE" w:rsidRDefault="000575CE">
      <w:pPr>
        <w:pStyle w:val="xmsonormal"/>
        <w:spacing w:after="240"/>
        <w:jc w:val="both"/>
        <w:rPr>
          <w:lang w:val="es-ES"/>
        </w:rPr>
      </w:pPr>
      <w:r w:rsidRPr="000575CE">
        <w:rPr>
          <w:rFonts w:ascii="Calibri Light" w:eastAsia="Times New Roman" w:hAnsi="Calibri Light" w:cs="Calibri Light"/>
          <w:b/>
          <w:bCs/>
          <w:lang w:val="es-ES"/>
        </w:rPr>
        <w:t xml:space="preserve">Bruselas, 31 de julio de 2020 </w:t>
      </w:r>
      <w:bookmarkEnd w:id="0"/>
      <w:r w:rsidRPr="000575CE">
        <w:rPr>
          <w:rFonts w:ascii="Calibri Light" w:eastAsia="Times New Roman" w:hAnsi="Calibri Light" w:cs="Calibri Light"/>
          <w:lang w:val="es-ES"/>
        </w:rPr>
        <w:t xml:space="preserve">- </w:t>
      </w:r>
      <w:r w:rsidRPr="000575CE">
        <w:rPr>
          <w:rFonts w:ascii="Calibri Light" w:hAnsi="Calibri Light" w:cs="Calibri Light"/>
          <w:lang w:val="es-ES"/>
        </w:rPr>
        <w:t xml:space="preserve">En una </w:t>
      </w:r>
      <w:hyperlink r:id="rId9" w:history="1">
        <w:r w:rsidRPr="000575CE">
          <w:rPr>
            <w:rStyle w:val="Hipervnculo"/>
            <w:rFonts w:ascii="Calibri Light" w:hAnsi="Calibri Light" w:cs="Calibri Light"/>
            <w:lang w:val="es-ES"/>
          </w:rPr>
          <w:t xml:space="preserve">carta dirigida </w:t>
        </w:r>
      </w:hyperlink>
      <w:r w:rsidRPr="000575CE">
        <w:rPr>
          <w:rFonts w:ascii="Calibri Light" w:hAnsi="Calibri Light" w:cs="Calibri Light"/>
          <w:lang w:val="es-ES"/>
        </w:rPr>
        <w:t>a la Dirección General de la Comisión Europea encargada de la Unión de Estabilidad Financiera, Servicios y Mercados de Capitales (DG FISMA), de fecha 20 de junio de 2020, las Autoridades Europeas de Supervisión (</w:t>
      </w:r>
      <w:r w:rsidR="008553C7" w:rsidRPr="000575CE">
        <w:rPr>
          <w:rFonts w:ascii="Calibri Light" w:hAnsi="Calibri Light" w:cs="Calibri Light"/>
          <w:lang w:val="es-ES"/>
        </w:rPr>
        <w:t>AE</w:t>
      </w:r>
      <w:r w:rsidR="008553C7">
        <w:rPr>
          <w:rFonts w:ascii="Calibri Light" w:hAnsi="Calibri Light" w:cs="Calibri Light"/>
          <w:lang w:val="es-ES"/>
        </w:rPr>
        <w:t>S</w:t>
      </w:r>
      <w:r w:rsidRPr="000575CE">
        <w:rPr>
          <w:rFonts w:ascii="Calibri Light" w:hAnsi="Calibri Light" w:cs="Calibri Light"/>
          <w:lang w:val="es-ES"/>
        </w:rPr>
        <w:t>) informaron de que uno de sus respectivos Consejos de Supervisión no había aprobado el proyecto de normas técnicas reguladoras (</w:t>
      </w:r>
      <w:r w:rsidR="004D7D1A">
        <w:rPr>
          <w:rFonts w:ascii="Calibri Light" w:hAnsi="Calibri Light" w:cs="Calibri Light"/>
          <w:lang w:val="es-ES"/>
        </w:rPr>
        <w:t>RTS</w:t>
      </w:r>
      <w:r w:rsidRPr="000575CE">
        <w:rPr>
          <w:rFonts w:ascii="Calibri Light" w:hAnsi="Calibri Light" w:cs="Calibri Light"/>
          <w:lang w:val="es-ES"/>
        </w:rPr>
        <w:t xml:space="preserve">) de nivel 2 para el Reglamento delegado sobre </w:t>
      </w:r>
      <w:r w:rsidR="004D7D1A">
        <w:rPr>
          <w:rFonts w:ascii="Calibri Light" w:hAnsi="Calibri Light" w:cs="Calibri Light"/>
          <w:lang w:val="es-ES"/>
        </w:rPr>
        <w:t xml:space="preserve">los </w:t>
      </w:r>
      <w:r w:rsidRPr="000575CE">
        <w:rPr>
          <w:rFonts w:ascii="Calibri Light" w:hAnsi="Calibri Light" w:cs="Calibri Light"/>
          <w:lang w:val="es-ES"/>
        </w:rPr>
        <w:t>documentos de información clave (</w:t>
      </w:r>
      <w:r w:rsidR="004D7D1A">
        <w:rPr>
          <w:rFonts w:ascii="Calibri Light" w:hAnsi="Calibri Light" w:cs="Calibri Light"/>
          <w:lang w:val="es-ES"/>
        </w:rPr>
        <w:t>KID</w:t>
      </w:r>
      <w:r w:rsidRPr="000575CE">
        <w:rPr>
          <w:rFonts w:ascii="Calibri Light" w:hAnsi="Calibri Light" w:cs="Calibri Light"/>
          <w:lang w:val="es-ES"/>
        </w:rPr>
        <w:t xml:space="preserve">) para los productos de inversión minorista </w:t>
      </w:r>
      <w:r w:rsidR="004D7D1A" w:rsidRPr="000575CE">
        <w:rPr>
          <w:rFonts w:ascii="Calibri Light" w:hAnsi="Calibri Light" w:cs="Calibri Light"/>
          <w:lang w:val="es-ES"/>
        </w:rPr>
        <w:t xml:space="preserve">empaquetados </w:t>
      </w:r>
      <w:r w:rsidRPr="000575CE">
        <w:rPr>
          <w:rFonts w:ascii="Calibri Light" w:hAnsi="Calibri Light" w:cs="Calibri Light"/>
          <w:lang w:val="es-ES"/>
        </w:rPr>
        <w:t xml:space="preserve">(PRIIP). Este punto muerto se debe a los desacuerdos </w:t>
      </w:r>
      <w:r w:rsidR="004D7D1A">
        <w:rPr>
          <w:rFonts w:ascii="Calibri Light" w:hAnsi="Calibri Light" w:cs="Calibri Light"/>
          <w:lang w:val="es-ES"/>
        </w:rPr>
        <w:t xml:space="preserve">existentes </w:t>
      </w:r>
      <w:r w:rsidRPr="000575CE">
        <w:rPr>
          <w:rFonts w:ascii="Calibri Light" w:hAnsi="Calibri Light" w:cs="Calibri Light"/>
          <w:lang w:val="es-ES"/>
        </w:rPr>
        <w:t xml:space="preserve">entre los presidentes de varias autoridades nacionales de supervisión en relación con las diferentes opiniones sobre la necesidad de realizar primero </w:t>
      </w:r>
      <w:r w:rsidR="008553C7">
        <w:rPr>
          <w:rFonts w:ascii="Calibri Light" w:hAnsi="Calibri Light" w:cs="Calibri Light"/>
          <w:lang w:val="es-ES"/>
        </w:rPr>
        <w:t>la revisión</w:t>
      </w:r>
      <w:r w:rsidRPr="000575CE">
        <w:rPr>
          <w:rFonts w:ascii="Calibri Light" w:hAnsi="Calibri Light" w:cs="Calibri Light"/>
          <w:lang w:val="es-ES"/>
        </w:rPr>
        <w:t xml:space="preserve"> de nivel 1 antes de</w:t>
      </w:r>
      <w:r w:rsidR="008553C7">
        <w:rPr>
          <w:rFonts w:ascii="Calibri Light" w:hAnsi="Calibri Light" w:cs="Calibri Light"/>
          <w:lang w:val="es-ES"/>
        </w:rPr>
        <w:t xml:space="preserve"> la</w:t>
      </w:r>
      <w:r w:rsidRPr="000575CE">
        <w:rPr>
          <w:rFonts w:ascii="Calibri Light" w:hAnsi="Calibri Light" w:cs="Calibri Light"/>
          <w:lang w:val="es-ES"/>
        </w:rPr>
        <w:t xml:space="preserve"> de nivel 2, y</w:t>
      </w:r>
      <w:r w:rsidR="008553C7">
        <w:rPr>
          <w:rFonts w:ascii="Calibri Light" w:hAnsi="Calibri Light" w:cs="Calibri Light"/>
          <w:lang w:val="es-ES"/>
        </w:rPr>
        <w:t xml:space="preserve"> sobre</w:t>
      </w:r>
      <w:r w:rsidRPr="000575CE">
        <w:rPr>
          <w:rFonts w:ascii="Calibri Light" w:hAnsi="Calibri Light" w:cs="Calibri Light"/>
          <w:lang w:val="es-ES"/>
        </w:rPr>
        <w:t xml:space="preserve"> el diseño de la sección </w:t>
      </w:r>
      <w:r w:rsidR="008553C7">
        <w:rPr>
          <w:rFonts w:ascii="Calibri Light" w:hAnsi="Calibri Light" w:cs="Calibri Light"/>
          <w:lang w:val="es-ES"/>
        </w:rPr>
        <w:t>de</w:t>
      </w:r>
      <w:r w:rsidRPr="000575CE">
        <w:rPr>
          <w:rFonts w:ascii="Calibri Light" w:hAnsi="Calibri Light" w:cs="Calibri Light"/>
          <w:lang w:val="es-ES"/>
        </w:rPr>
        <w:t xml:space="preserve"> rendimiento del documento KID.</w:t>
      </w:r>
      <w:r>
        <w:rPr>
          <w:rStyle w:val="Refdenotaalpie"/>
          <w:rFonts w:ascii="Calibri Light" w:hAnsi="Calibri Light" w:cs="Calibri Light"/>
        </w:rPr>
        <w:footnoteReference w:id="1"/>
      </w:r>
    </w:p>
    <w:p w14:paraId="696DA206" w14:textId="1BCF8DBF" w:rsidR="00563388" w:rsidRPr="000575CE" w:rsidRDefault="000575CE">
      <w:pPr>
        <w:pStyle w:val="xmsonormal"/>
        <w:spacing w:after="240"/>
        <w:jc w:val="both"/>
        <w:rPr>
          <w:lang w:val="es-ES"/>
        </w:rPr>
      </w:pPr>
      <w:r w:rsidRPr="000575CE">
        <w:rPr>
          <w:rFonts w:ascii="Calibri Light" w:hAnsi="Calibri Light" w:cs="Calibri Light"/>
          <w:lang w:val="es-ES"/>
        </w:rPr>
        <w:t xml:space="preserve">BETTER FINANCE lamenta que un período tan largo (2 años) de intensas consultas con las partes interesadas y pruebas con los consumidores por parte de las </w:t>
      </w:r>
      <w:r w:rsidR="004D7D1A" w:rsidRPr="000575CE">
        <w:rPr>
          <w:rFonts w:ascii="Calibri Light" w:hAnsi="Calibri Light" w:cs="Calibri Light"/>
          <w:lang w:val="es-ES"/>
        </w:rPr>
        <w:t>A</w:t>
      </w:r>
      <w:r w:rsidR="004D7D1A">
        <w:rPr>
          <w:rFonts w:ascii="Calibri Light" w:hAnsi="Calibri Light" w:cs="Calibri Light"/>
          <w:lang w:val="es-ES"/>
        </w:rPr>
        <w:t>E</w:t>
      </w:r>
      <w:r w:rsidR="008553C7">
        <w:rPr>
          <w:rFonts w:ascii="Calibri Light" w:hAnsi="Calibri Light" w:cs="Calibri Light"/>
          <w:lang w:val="es-ES"/>
        </w:rPr>
        <w:t>S</w:t>
      </w:r>
      <w:r w:rsidR="004D7D1A" w:rsidRPr="000575CE">
        <w:rPr>
          <w:rFonts w:ascii="Calibri Light" w:hAnsi="Calibri Light" w:cs="Calibri Light"/>
          <w:lang w:val="es-ES"/>
        </w:rPr>
        <w:t xml:space="preserve"> </w:t>
      </w:r>
      <w:r w:rsidRPr="000575CE">
        <w:rPr>
          <w:rFonts w:ascii="Calibri Light" w:hAnsi="Calibri Light" w:cs="Calibri Light"/>
          <w:lang w:val="es-ES"/>
        </w:rPr>
        <w:t xml:space="preserve">y la DG FISMA haya finalmente </w:t>
      </w:r>
      <w:r w:rsidR="008553C7">
        <w:rPr>
          <w:rFonts w:ascii="Calibri Light" w:hAnsi="Calibri Light" w:cs="Calibri Light"/>
          <w:lang w:val="es-ES"/>
        </w:rPr>
        <w:t>terminado</w:t>
      </w:r>
      <w:r w:rsidR="004D7D1A">
        <w:rPr>
          <w:rFonts w:ascii="Calibri Light" w:hAnsi="Calibri Light" w:cs="Calibri Light"/>
          <w:lang w:val="es-ES"/>
        </w:rPr>
        <w:t xml:space="preserve"> en</w:t>
      </w:r>
      <w:r w:rsidRPr="000575CE">
        <w:rPr>
          <w:rFonts w:ascii="Calibri Light" w:hAnsi="Calibri Light" w:cs="Calibri Light"/>
          <w:lang w:val="es-ES"/>
        </w:rPr>
        <w:t xml:space="preserve"> </w:t>
      </w:r>
      <w:r w:rsidR="008553C7">
        <w:rPr>
          <w:rFonts w:ascii="Calibri Light" w:hAnsi="Calibri Light" w:cs="Calibri Light"/>
          <w:lang w:val="es-ES"/>
        </w:rPr>
        <w:t>el</w:t>
      </w:r>
      <w:r w:rsidR="008553C7" w:rsidRPr="000575CE">
        <w:rPr>
          <w:rFonts w:ascii="Calibri Light" w:hAnsi="Calibri Light" w:cs="Calibri Light"/>
          <w:lang w:val="es-ES"/>
        </w:rPr>
        <w:t xml:space="preserve"> </w:t>
      </w:r>
      <w:r w:rsidRPr="000575CE">
        <w:rPr>
          <w:rFonts w:ascii="Calibri Light" w:hAnsi="Calibri Light" w:cs="Calibri Light"/>
          <w:lang w:val="es-ES"/>
        </w:rPr>
        <w:t xml:space="preserve">rechazo del proyecto de normas enmendadas de nivel 2, pero no se sorprende. </w:t>
      </w:r>
      <w:r w:rsidR="004D7D1A">
        <w:rPr>
          <w:rFonts w:ascii="Calibri Light" w:hAnsi="Calibri Light" w:cs="Calibri Light"/>
          <w:lang w:val="es-ES"/>
        </w:rPr>
        <w:t>Tal c</w:t>
      </w:r>
      <w:r w:rsidR="004D7D1A" w:rsidRPr="000575CE">
        <w:rPr>
          <w:rFonts w:ascii="Calibri Light" w:hAnsi="Calibri Light" w:cs="Calibri Light"/>
          <w:lang w:val="es-ES"/>
        </w:rPr>
        <w:t xml:space="preserve">omo </w:t>
      </w:r>
      <w:r w:rsidRPr="000575CE">
        <w:rPr>
          <w:rFonts w:ascii="Calibri Light" w:hAnsi="Calibri Light" w:cs="Calibri Light"/>
          <w:lang w:val="es-ES"/>
        </w:rPr>
        <w:t xml:space="preserve">se ha mencionado en muchas ocasiones, las principales cuestiones relativas a los PRIIP sólo pueden ser abordadas en el nivel 1 por los colegisladores, </w:t>
      </w:r>
      <w:r w:rsidR="008553C7">
        <w:rPr>
          <w:rFonts w:ascii="Calibri Light" w:hAnsi="Calibri Light" w:cs="Calibri Light"/>
          <w:lang w:val="es-ES"/>
        </w:rPr>
        <w:t xml:space="preserve">tal </w:t>
      </w:r>
      <w:r w:rsidRPr="000575CE">
        <w:rPr>
          <w:rFonts w:ascii="Calibri Light" w:hAnsi="Calibri Light" w:cs="Calibri Light"/>
          <w:lang w:val="es-ES"/>
        </w:rPr>
        <w:t xml:space="preserve">como han destacado las propias </w:t>
      </w:r>
      <w:r w:rsidR="004D7D1A" w:rsidRPr="000575CE">
        <w:rPr>
          <w:rFonts w:ascii="Calibri Light" w:hAnsi="Calibri Light" w:cs="Calibri Light"/>
          <w:lang w:val="es-ES"/>
        </w:rPr>
        <w:t>A</w:t>
      </w:r>
      <w:r w:rsidR="004D7D1A">
        <w:rPr>
          <w:rFonts w:ascii="Calibri Light" w:hAnsi="Calibri Light" w:cs="Calibri Light"/>
          <w:lang w:val="es-ES"/>
        </w:rPr>
        <w:t>E</w:t>
      </w:r>
      <w:r w:rsidR="008553C7">
        <w:rPr>
          <w:rFonts w:ascii="Calibri Light" w:hAnsi="Calibri Light" w:cs="Calibri Light"/>
          <w:lang w:val="es-ES"/>
        </w:rPr>
        <w:t>S</w:t>
      </w:r>
      <w:r w:rsidRPr="000575CE">
        <w:rPr>
          <w:rFonts w:ascii="Calibri Light" w:hAnsi="Calibri Light" w:cs="Calibri Light"/>
          <w:lang w:val="es-ES"/>
        </w:rPr>
        <w:t xml:space="preserve">. A la luz de este rechazo y en consonancia con la recomendación formulada en el </w:t>
      </w:r>
      <w:hyperlink r:id="rId10" w:history="1">
        <w:r w:rsidRPr="000575CE">
          <w:rPr>
            <w:rStyle w:val="Hipervnculo"/>
            <w:rFonts w:ascii="Calibri Light" w:hAnsi="Calibri Light" w:cs="Calibri Light"/>
            <w:lang w:val="es-ES"/>
          </w:rPr>
          <w:t>Informe Final del Foro de Alto Nivel de la Unión de Mercados de Capitales</w:t>
        </w:r>
      </w:hyperlink>
      <w:r w:rsidRPr="000575CE">
        <w:rPr>
          <w:rFonts w:ascii="Calibri Light" w:hAnsi="Calibri Light" w:cs="Calibri Light"/>
          <w:lang w:val="es-ES"/>
        </w:rPr>
        <w:t xml:space="preserve">, BETTER FINANCE insta a los colegisladores a que amplíen inmediatamente la actual exención de los Organismos de Inversión Colectiva en Valores Mobiliarios (OICVM) de la obligación de presentar los </w:t>
      </w:r>
      <w:r w:rsidR="008553C7">
        <w:rPr>
          <w:rFonts w:ascii="Calibri Light" w:hAnsi="Calibri Light" w:cs="Calibri Light"/>
          <w:lang w:val="es-ES"/>
        </w:rPr>
        <w:t xml:space="preserve">KID de los </w:t>
      </w:r>
      <w:r w:rsidRPr="000575CE">
        <w:rPr>
          <w:rFonts w:ascii="Calibri Light" w:hAnsi="Calibri Light" w:cs="Calibri Light"/>
          <w:lang w:val="es-ES"/>
        </w:rPr>
        <w:t xml:space="preserve">PRIIP por lo menos hasta que se completen plenamente las revisiones de nivel 1 y 2. </w:t>
      </w:r>
    </w:p>
    <w:p w14:paraId="696DA207" w14:textId="3553AD3B" w:rsidR="00563388" w:rsidRPr="000575CE" w:rsidRDefault="000575CE">
      <w:pPr>
        <w:pStyle w:val="xmsonormal"/>
        <w:spacing w:after="240"/>
        <w:jc w:val="both"/>
        <w:rPr>
          <w:lang w:val="es-ES"/>
        </w:rPr>
      </w:pPr>
      <w:r w:rsidRPr="000575CE">
        <w:rPr>
          <w:rFonts w:ascii="Calibri Light" w:hAnsi="Calibri Light" w:cs="Calibri Light"/>
          <w:lang w:val="es-ES"/>
        </w:rPr>
        <w:t>Cualquier revisión debe comenzar con el Nivel 1, no al revés. Como resulta cada vez más evidente a partir de las pruebas presentadas por las partes interesadas y las autoridades nacionales competentes (</w:t>
      </w:r>
      <w:r w:rsidR="008553C7">
        <w:rPr>
          <w:rFonts w:ascii="Calibri Light" w:hAnsi="Calibri Light" w:cs="Calibri Light"/>
          <w:lang w:val="es-ES"/>
        </w:rPr>
        <w:t>NCA</w:t>
      </w:r>
      <w:r w:rsidRPr="000575CE">
        <w:rPr>
          <w:rFonts w:ascii="Calibri Light" w:hAnsi="Calibri Light" w:cs="Calibri Light"/>
          <w:lang w:val="es-ES"/>
        </w:rPr>
        <w:t xml:space="preserve">) y </w:t>
      </w:r>
      <w:r w:rsidR="00321C49">
        <w:rPr>
          <w:rFonts w:ascii="Calibri Light" w:hAnsi="Calibri Light" w:cs="Calibri Light"/>
          <w:lang w:val="es-ES"/>
        </w:rPr>
        <w:t xml:space="preserve">tal </w:t>
      </w:r>
      <w:r w:rsidRPr="000575CE">
        <w:rPr>
          <w:rFonts w:ascii="Calibri Light" w:hAnsi="Calibri Light" w:cs="Calibri Light"/>
          <w:lang w:val="es-ES"/>
        </w:rPr>
        <w:t xml:space="preserve">como proponen las </w:t>
      </w:r>
      <w:r w:rsidR="008553C7" w:rsidRPr="000575CE">
        <w:rPr>
          <w:rFonts w:ascii="Calibri Light" w:hAnsi="Calibri Light" w:cs="Calibri Light"/>
          <w:lang w:val="es-ES"/>
        </w:rPr>
        <w:t>A</w:t>
      </w:r>
      <w:r w:rsidR="008553C7">
        <w:rPr>
          <w:rFonts w:ascii="Calibri Light" w:hAnsi="Calibri Light" w:cs="Calibri Light"/>
          <w:lang w:val="es-ES"/>
        </w:rPr>
        <w:t>ES</w:t>
      </w:r>
      <w:r w:rsidRPr="000575CE">
        <w:rPr>
          <w:rFonts w:ascii="Calibri Light" w:hAnsi="Calibri Light" w:cs="Calibri Light"/>
          <w:lang w:val="es-ES"/>
        </w:rPr>
        <w:t xml:space="preserve">, el examen debería restablecer urgentemente el requisito de incluir el </w:t>
      </w:r>
      <w:r w:rsidR="008553C7">
        <w:rPr>
          <w:rFonts w:ascii="Calibri Light" w:hAnsi="Calibri Light" w:cs="Calibri Light"/>
          <w:lang w:val="es-ES"/>
        </w:rPr>
        <w:t xml:space="preserve">anterior </w:t>
      </w:r>
      <w:r w:rsidRPr="000575CE">
        <w:rPr>
          <w:rFonts w:ascii="Calibri Light" w:eastAsia="Times New Roman" w:hAnsi="Calibri Light" w:cs="Calibri Light"/>
          <w:lang w:val="es-ES"/>
        </w:rPr>
        <w:t xml:space="preserve">rendimiento real a largo plazo en comparación con </w:t>
      </w:r>
      <w:r w:rsidR="008553C7">
        <w:rPr>
          <w:rFonts w:ascii="Calibri Light" w:eastAsia="Times New Roman" w:hAnsi="Calibri Light" w:cs="Calibri Light"/>
          <w:lang w:val="es-ES"/>
        </w:rPr>
        <w:t>la</w:t>
      </w:r>
      <w:r w:rsidRPr="000575CE">
        <w:rPr>
          <w:rFonts w:ascii="Calibri Light" w:eastAsia="Times New Roman" w:hAnsi="Calibri Light" w:cs="Calibri Light"/>
          <w:lang w:val="es-ES"/>
        </w:rPr>
        <w:t xml:space="preserve"> referencia del gestor, </w:t>
      </w:r>
      <w:r w:rsidR="008553C7">
        <w:rPr>
          <w:rFonts w:ascii="Calibri Light" w:eastAsia="Times New Roman" w:hAnsi="Calibri Light" w:cs="Calibri Light"/>
          <w:lang w:val="es-ES"/>
        </w:rPr>
        <w:t xml:space="preserve">tal </w:t>
      </w:r>
      <w:r w:rsidRPr="000575CE">
        <w:rPr>
          <w:rFonts w:ascii="Calibri Light" w:eastAsia="Times New Roman" w:hAnsi="Calibri Light" w:cs="Calibri Light"/>
          <w:lang w:val="es-ES"/>
        </w:rPr>
        <w:t>como ocurre actualmente con el documento de información clave para los inversores de los organismos de inversión colectiva en valores mobiliarios (</w:t>
      </w:r>
      <w:r w:rsidR="008553C7">
        <w:rPr>
          <w:rFonts w:ascii="Calibri Light" w:eastAsia="Times New Roman" w:hAnsi="Calibri Light" w:cs="Calibri Light"/>
          <w:lang w:val="es-ES"/>
        </w:rPr>
        <w:t>KID de los OICVM</w:t>
      </w:r>
      <w:r w:rsidRPr="000575CE">
        <w:rPr>
          <w:rFonts w:ascii="Calibri Light" w:eastAsia="Times New Roman" w:hAnsi="Calibri Light" w:cs="Calibri Light"/>
          <w:lang w:val="es-ES"/>
        </w:rPr>
        <w:t xml:space="preserve">), en la sección de rendimiento de los </w:t>
      </w:r>
      <w:r w:rsidR="008553C7">
        <w:rPr>
          <w:rFonts w:ascii="Calibri Light" w:eastAsia="Times New Roman" w:hAnsi="Calibri Light" w:cs="Calibri Light"/>
          <w:lang w:val="es-ES"/>
        </w:rPr>
        <w:t xml:space="preserve">KID de los </w:t>
      </w:r>
      <w:r w:rsidRPr="000575CE">
        <w:rPr>
          <w:rFonts w:ascii="Calibri Light" w:eastAsia="Times New Roman" w:hAnsi="Calibri Light" w:cs="Calibri Light"/>
          <w:lang w:val="es-ES"/>
        </w:rPr>
        <w:t>PRIIP</w:t>
      </w:r>
    </w:p>
    <w:p w14:paraId="696DA208" w14:textId="5FCA9235" w:rsidR="00563388" w:rsidRPr="000575CE" w:rsidRDefault="000575CE">
      <w:pPr>
        <w:pStyle w:val="xmsonormal"/>
        <w:spacing w:after="240"/>
        <w:jc w:val="both"/>
        <w:rPr>
          <w:lang w:val="es-ES"/>
        </w:rPr>
      </w:pPr>
      <w:r w:rsidRPr="000575CE">
        <w:rPr>
          <w:rFonts w:ascii="Calibri Light" w:eastAsia="Times New Roman" w:hAnsi="Calibri Light" w:cs="Calibri Light"/>
          <w:lang w:val="es-ES"/>
        </w:rPr>
        <w:t>Guillaume Prache, Director General de BETTER FINANCE, destaca el hecho de que "</w:t>
      </w:r>
      <w:r w:rsidRPr="000575CE">
        <w:rPr>
          <w:rFonts w:ascii="Calibri Light" w:eastAsia="Times New Roman" w:hAnsi="Calibri Light" w:cs="Calibri Light"/>
          <w:i/>
          <w:iCs/>
          <w:lang w:val="es-ES"/>
        </w:rPr>
        <w:t xml:space="preserve">el diseño y el contenido actual del </w:t>
      </w:r>
      <w:r w:rsidR="008553C7">
        <w:rPr>
          <w:rFonts w:ascii="Calibri Light" w:eastAsia="Times New Roman" w:hAnsi="Calibri Light" w:cs="Calibri Light"/>
          <w:i/>
          <w:iCs/>
          <w:lang w:val="es-ES"/>
        </w:rPr>
        <w:t xml:space="preserve">KID </w:t>
      </w:r>
      <w:r w:rsidRPr="000575CE">
        <w:rPr>
          <w:rFonts w:ascii="Calibri Light" w:eastAsia="Times New Roman" w:hAnsi="Calibri Light" w:cs="Calibri Light"/>
          <w:i/>
          <w:iCs/>
          <w:lang w:val="es-ES"/>
        </w:rPr>
        <w:t xml:space="preserve">de los PRIIP es muy cuestionable para los consumidores. Las AES se han visto atrapadas en medio de un fuego cruzado de opiniones divergentes </w:t>
      </w:r>
      <w:r w:rsidR="008553C7">
        <w:rPr>
          <w:rFonts w:ascii="Calibri Light" w:eastAsia="Times New Roman" w:hAnsi="Calibri Light" w:cs="Calibri Light"/>
          <w:i/>
          <w:iCs/>
          <w:lang w:val="es-ES"/>
        </w:rPr>
        <w:t>entre</w:t>
      </w:r>
      <w:r w:rsidR="008553C7" w:rsidRPr="000575CE">
        <w:rPr>
          <w:rFonts w:ascii="Calibri Light" w:eastAsia="Times New Roman" w:hAnsi="Calibri Light" w:cs="Calibri Light"/>
          <w:i/>
          <w:iCs/>
          <w:lang w:val="es-ES"/>
        </w:rPr>
        <w:t xml:space="preserve"> </w:t>
      </w:r>
      <w:r w:rsidRPr="000575CE">
        <w:rPr>
          <w:rFonts w:ascii="Calibri Light" w:eastAsia="Times New Roman" w:hAnsi="Calibri Light" w:cs="Calibri Light"/>
          <w:i/>
          <w:iCs/>
          <w:lang w:val="es-ES"/>
        </w:rPr>
        <w:t>las partes interesadas, los consumidores, los responsables de la adopción de decisiones y las autoridades nacionales de supervisión</w:t>
      </w:r>
      <w:r w:rsidRPr="000575CE">
        <w:rPr>
          <w:rFonts w:ascii="Calibri Light" w:eastAsia="Times New Roman" w:hAnsi="Calibri Light" w:cs="Calibri Light"/>
          <w:lang w:val="es-ES"/>
        </w:rPr>
        <w:t>".</w:t>
      </w:r>
    </w:p>
    <w:p w14:paraId="696DA209" w14:textId="51C47DA5" w:rsidR="00563388" w:rsidRPr="000575CE" w:rsidRDefault="000575CE">
      <w:pPr>
        <w:pStyle w:val="xmsonormal"/>
        <w:spacing w:after="240"/>
        <w:jc w:val="both"/>
        <w:rPr>
          <w:lang w:val="es-ES"/>
        </w:rPr>
      </w:pPr>
      <w:r w:rsidRPr="000575CE">
        <w:rPr>
          <w:rFonts w:ascii="Calibri Light" w:eastAsia="Times New Roman" w:hAnsi="Calibri Light" w:cs="Calibri Light"/>
          <w:i/>
          <w:iCs/>
          <w:lang w:val="es-ES"/>
        </w:rPr>
        <w:t xml:space="preserve">"Por otra parte", </w:t>
      </w:r>
      <w:r w:rsidRPr="000575CE">
        <w:rPr>
          <w:rFonts w:ascii="Calibri Light" w:eastAsia="Times New Roman" w:hAnsi="Calibri Light" w:cs="Calibri Light"/>
          <w:lang w:val="es-ES"/>
        </w:rPr>
        <w:t xml:space="preserve">dice Prache, </w:t>
      </w:r>
      <w:r w:rsidRPr="000575CE">
        <w:rPr>
          <w:rFonts w:ascii="Calibri Light" w:eastAsia="Times New Roman" w:hAnsi="Calibri Light" w:cs="Calibri Light"/>
          <w:i/>
          <w:iCs/>
          <w:lang w:val="es-ES"/>
        </w:rPr>
        <w:t xml:space="preserve">"puede haber un resquicio de esperanza en este desafortunado retraso, ya que este rechazo </w:t>
      </w:r>
      <w:r w:rsidR="008553C7">
        <w:rPr>
          <w:rFonts w:ascii="Calibri Light" w:eastAsia="Times New Roman" w:hAnsi="Calibri Light" w:cs="Calibri Light"/>
          <w:i/>
          <w:iCs/>
          <w:lang w:val="es-ES"/>
        </w:rPr>
        <w:t>de las RTS</w:t>
      </w:r>
      <w:r w:rsidRPr="000575CE">
        <w:rPr>
          <w:rFonts w:ascii="Calibri Light" w:eastAsia="Times New Roman" w:hAnsi="Calibri Light" w:cs="Calibri Light"/>
          <w:i/>
          <w:iCs/>
          <w:lang w:val="es-ES"/>
        </w:rPr>
        <w:t xml:space="preserve"> de los PRIIPS por </w:t>
      </w:r>
      <w:r w:rsidR="008553C7">
        <w:rPr>
          <w:rFonts w:ascii="Calibri Light" w:eastAsia="Times New Roman" w:hAnsi="Calibri Light" w:cs="Calibri Light"/>
          <w:i/>
          <w:iCs/>
          <w:lang w:val="es-ES"/>
        </w:rPr>
        <w:t>parte d</w:t>
      </w:r>
      <w:r w:rsidRPr="000575CE">
        <w:rPr>
          <w:rFonts w:ascii="Calibri Light" w:eastAsia="Times New Roman" w:hAnsi="Calibri Light" w:cs="Calibri Light"/>
          <w:i/>
          <w:iCs/>
          <w:lang w:val="es-ES"/>
        </w:rPr>
        <w:t xml:space="preserve">el Comité Conjunto de la </w:t>
      </w:r>
      <w:r w:rsidR="008553C7">
        <w:rPr>
          <w:rFonts w:ascii="Calibri Light" w:eastAsia="Times New Roman" w:hAnsi="Calibri Light" w:cs="Calibri Light"/>
          <w:i/>
          <w:iCs/>
          <w:lang w:val="es-ES"/>
        </w:rPr>
        <w:t>AES</w:t>
      </w:r>
      <w:r w:rsidR="008553C7" w:rsidRPr="000575CE">
        <w:rPr>
          <w:rFonts w:ascii="Calibri Light" w:eastAsia="Times New Roman" w:hAnsi="Calibri Light" w:cs="Calibri Light"/>
          <w:i/>
          <w:iCs/>
          <w:lang w:val="es-ES"/>
        </w:rPr>
        <w:t xml:space="preserve"> </w:t>
      </w:r>
      <w:r w:rsidRPr="000575CE">
        <w:rPr>
          <w:rFonts w:ascii="Calibri Light" w:eastAsia="Times New Roman" w:hAnsi="Calibri Light" w:cs="Calibri Light"/>
          <w:i/>
          <w:iCs/>
          <w:lang w:val="es-ES"/>
        </w:rPr>
        <w:t xml:space="preserve">puede muy bien representar una oportunidad para llevar a cabo </w:t>
      </w:r>
      <w:r w:rsidR="008553C7">
        <w:rPr>
          <w:rFonts w:ascii="Calibri Light" w:eastAsia="Times New Roman" w:hAnsi="Calibri Light" w:cs="Calibri Light"/>
          <w:i/>
          <w:iCs/>
          <w:lang w:val="es-ES"/>
        </w:rPr>
        <w:t>la</w:t>
      </w:r>
      <w:r w:rsidR="008553C7" w:rsidRPr="000575CE">
        <w:rPr>
          <w:rFonts w:ascii="Calibri Light" w:eastAsia="Times New Roman" w:hAnsi="Calibri Light" w:cs="Calibri Light"/>
          <w:i/>
          <w:iCs/>
          <w:lang w:val="es-ES"/>
        </w:rPr>
        <w:t xml:space="preserve"> </w:t>
      </w:r>
      <w:r w:rsidRPr="000575CE">
        <w:rPr>
          <w:rFonts w:ascii="Calibri Light" w:eastAsia="Times New Roman" w:hAnsi="Calibri Light" w:cs="Calibri Light"/>
          <w:i/>
          <w:iCs/>
          <w:lang w:val="es-ES"/>
        </w:rPr>
        <w:t xml:space="preserve">muy necesaria revisión de las regulaciones de los PRIIPs de Nivel 1 y 2, siempre que la exención para los fondos de los OICVM se extienda más allá de la </w:t>
      </w:r>
      <w:r w:rsidRPr="000575CE">
        <w:rPr>
          <w:rFonts w:ascii="Calibri Light" w:eastAsia="Times New Roman" w:hAnsi="Calibri Light" w:cs="Calibri Light"/>
          <w:i/>
          <w:iCs/>
          <w:lang w:val="es-ES"/>
        </w:rPr>
        <w:lastRenderedPageBreak/>
        <w:t xml:space="preserve">finalización de esta revisión, </w:t>
      </w:r>
      <w:r w:rsidR="008553C7">
        <w:rPr>
          <w:rFonts w:ascii="Calibri Light" w:eastAsia="Times New Roman" w:hAnsi="Calibri Light" w:cs="Calibri Light"/>
          <w:i/>
          <w:iCs/>
          <w:lang w:val="es-ES"/>
        </w:rPr>
        <w:t xml:space="preserve">tal </w:t>
      </w:r>
      <w:r w:rsidRPr="000575CE">
        <w:rPr>
          <w:rFonts w:ascii="Calibri Light" w:eastAsia="Times New Roman" w:hAnsi="Calibri Light" w:cs="Calibri Light"/>
          <w:i/>
          <w:iCs/>
          <w:lang w:val="es-ES"/>
        </w:rPr>
        <w:t xml:space="preserve">como recomendó </w:t>
      </w:r>
      <w:r w:rsidR="008553C7">
        <w:rPr>
          <w:rFonts w:ascii="Calibri Light" w:eastAsia="Times New Roman" w:hAnsi="Calibri Light" w:cs="Calibri Light"/>
          <w:i/>
          <w:iCs/>
          <w:lang w:val="es-ES"/>
        </w:rPr>
        <w:t>encarecida</w:t>
      </w:r>
      <w:r w:rsidR="008553C7" w:rsidRPr="000575CE">
        <w:rPr>
          <w:rFonts w:ascii="Calibri Light" w:eastAsia="Times New Roman" w:hAnsi="Calibri Light" w:cs="Calibri Light"/>
          <w:i/>
          <w:iCs/>
          <w:lang w:val="es-ES"/>
        </w:rPr>
        <w:t xml:space="preserve">mente </w:t>
      </w:r>
      <w:r w:rsidRPr="000575CE">
        <w:rPr>
          <w:rFonts w:ascii="Calibri Light" w:eastAsia="Times New Roman" w:hAnsi="Calibri Light" w:cs="Calibri Light"/>
          <w:i/>
          <w:iCs/>
          <w:lang w:val="es-ES"/>
        </w:rPr>
        <w:t xml:space="preserve">el mes pasado el HLF </w:t>
      </w:r>
      <w:r w:rsidR="008553C7">
        <w:rPr>
          <w:rFonts w:ascii="Calibri Light" w:eastAsia="Times New Roman" w:hAnsi="Calibri Light" w:cs="Calibri Light"/>
          <w:i/>
          <w:iCs/>
          <w:lang w:val="es-ES"/>
        </w:rPr>
        <w:t xml:space="preserve">de la </w:t>
      </w:r>
      <w:r w:rsidRPr="000575CE">
        <w:rPr>
          <w:rFonts w:ascii="Calibri Light" w:eastAsia="Times New Roman" w:hAnsi="Calibri Light" w:cs="Calibri Light"/>
          <w:i/>
          <w:iCs/>
          <w:lang w:val="es-ES"/>
        </w:rPr>
        <w:t>CMU establecido por la propia CE</w:t>
      </w:r>
      <w:bookmarkStart w:id="1" w:name="_GoBack"/>
      <w:bookmarkEnd w:id="1"/>
      <w:r w:rsidRPr="000575CE">
        <w:rPr>
          <w:rFonts w:ascii="Calibri Light" w:eastAsia="Times New Roman" w:hAnsi="Calibri Light" w:cs="Calibri Light"/>
          <w:i/>
          <w:iCs/>
          <w:lang w:val="es-ES"/>
        </w:rPr>
        <w:t>".</w:t>
      </w:r>
    </w:p>
    <w:p w14:paraId="696DA20A" w14:textId="6FD8418A" w:rsidR="00563388" w:rsidRPr="000575CE" w:rsidRDefault="000575CE">
      <w:pPr>
        <w:pStyle w:val="xmsonormal"/>
        <w:jc w:val="both"/>
        <w:rPr>
          <w:lang w:val="es-ES"/>
        </w:rPr>
      </w:pPr>
      <w:r w:rsidRPr="000575CE">
        <w:rPr>
          <w:rFonts w:ascii="Calibri Light" w:hAnsi="Calibri Light" w:cs="Calibri Light"/>
          <w:i/>
          <w:iCs/>
          <w:lang w:val="es-ES"/>
        </w:rPr>
        <w:t xml:space="preserve">Añade </w:t>
      </w:r>
      <w:r w:rsidRPr="000575CE">
        <w:rPr>
          <w:rFonts w:ascii="Calibri Light" w:hAnsi="Calibri Light" w:cs="Calibri Light"/>
          <w:lang w:val="es-ES"/>
        </w:rPr>
        <w:t xml:space="preserve">que también "le complace </w:t>
      </w:r>
      <w:r w:rsidRPr="000575CE">
        <w:rPr>
          <w:rFonts w:ascii="Calibri Light" w:hAnsi="Calibri Light" w:cs="Calibri Light"/>
          <w:i/>
          <w:iCs/>
          <w:lang w:val="es-ES"/>
        </w:rPr>
        <w:t xml:space="preserve">ver que muchas de las enmiendas propuestas o respaldadas por BETTER FINANCE </w:t>
      </w:r>
      <w:r w:rsidR="008553C7" w:rsidRPr="000575CE">
        <w:rPr>
          <w:rFonts w:ascii="Calibri Light" w:hAnsi="Calibri Light" w:cs="Calibri Light"/>
          <w:i/>
          <w:iCs/>
          <w:lang w:val="es-ES"/>
        </w:rPr>
        <w:t>p</w:t>
      </w:r>
      <w:r w:rsidR="008553C7">
        <w:rPr>
          <w:rFonts w:ascii="Calibri Light" w:hAnsi="Calibri Light" w:cs="Calibri Light"/>
          <w:i/>
          <w:iCs/>
          <w:lang w:val="es-ES"/>
        </w:rPr>
        <w:t>odrían</w:t>
      </w:r>
      <w:r w:rsidR="008553C7" w:rsidRPr="000575CE">
        <w:rPr>
          <w:rFonts w:ascii="Calibri Light" w:hAnsi="Calibri Light" w:cs="Calibri Light"/>
          <w:i/>
          <w:iCs/>
          <w:lang w:val="es-ES"/>
        </w:rPr>
        <w:t xml:space="preserve"> </w:t>
      </w:r>
      <w:r w:rsidRPr="000575CE">
        <w:rPr>
          <w:rFonts w:ascii="Calibri Light" w:hAnsi="Calibri Light" w:cs="Calibri Light"/>
          <w:i/>
          <w:iCs/>
          <w:lang w:val="es-ES"/>
        </w:rPr>
        <w:t>contar con el apoyo de una mayoría cualificada en la Autoridad Bancaria Europea (ABE) y</w:t>
      </w:r>
      <w:r w:rsidR="008553C7">
        <w:rPr>
          <w:rFonts w:ascii="Calibri Light" w:hAnsi="Calibri Light" w:cs="Calibri Light"/>
          <w:i/>
          <w:iCs/>
          <w:lang w:val="es-ES"/>
        </w:rPr>
        <w:t xml:space="preserve"> en</w:t>
      </w:r>
      <w:r w:rsidRPr="000575CE">
        <w:rPr>
          <w:rFonts w:ascii="Calibri Light" w:hAnsi="Calibri Light" w:cs="Calibri Light"/>
          <w:i/>
          <w:iCs/>
          <w:lang w:val="es-ES"/>
        </w:rPr>
        <w:t xml:space="preserve"> la Autoridad Europea de Valores y Mercados (AE</w:t>
      </w:r>
      <w:r w:rsidR="008553C7">
        <w:rPr>
          <w:rFonts w:ascii="Calibri Light" w:hAnsi="Calibri Light" w:cs="Calibri Light"/>
          <w:i/>
          <w:iCs/>
          <w:lang w:val="es-ES"/>
        </w:rPr>
        <w:t>V</w:t>
      </w:r>
      <w:r w:rsidRPr="000575CE">
        <w:rPr>
          <w:rFonts w:ascii="Calibri Light" w:hAnsi="Calibri Light" w:cs="Calibri Light"/>
          <w:i/>
          <w:iCs/>
          <w:lang w:val="es-ES"/>
        </w:rPr>
        <w:t>M)".</w:t>
      </w:r>
    </w:p>
    <w:p w14:paraId="696DA20B" w14:textId="77777777" w:rsidR="00563388" w:rsidRPr="000575CE" w:rsidRDefault="000575CE">
      <w:pPr>
        <w:spacing w:before="120" w:after="0" w:line="240" w:lineRule="auto"/>
        <w:jc w:val="center"/>
        <w:rPr>
          <w:rFonts w:ascii="Calibri Light" w:hAnsi="Calibri Light" w:cs="Calibri Light"/>
          <w:lang w:val="es-ES"/>
        </w:rPr>
      </w:pPr>
      <w:r w:rsidRPr="000575CE">
        <w:rPr>
          <w:rFonts w:ascii="Calibri Light" w:hAnsi="Calibri Light" w:cs="Calibri Light"/>
          <w:lang w:val="es-ES"/>
        </w:rPr>
        <w:t>***</w:t>
      </w:r>
    </w:p>
    <w:p w14:paraId="696DA20C" w14:textId="6A45FE34" w:rsidR="00563388" w:rsidRPr="000575CE" w:rsidRDefault="000575CE">
      <w:pPr>
        <w:pStyle w:val="Textoindependiente"/>
        <w:spacing w:after="0" w:line="240" w:lineRule="auto"/>
        <w:jc w:val="center"/>
        <w:rPr>
          <w:lang w:val="es-ES"/>
        </w:rPr>
      </w:pPr>
      <w:r w:rsidRPr="000575CE">
        <w:rPr>
          <w:rFonts w:ascii="Calibri Light" w:hAnsi="Calibri Light" w:cs="Calibri Light"/>
          <w:sz w:val="20"/>
          <w:u w:val="single"/>
          <w:lang w:val="es-ES"/>
        </w:rPr>
        <w:t>Contacto</w:t>
      </w:r>
      <w:r w:rsidRPr="000575CE">
        <w:rPr>
          <w:rFonts w:ascii="Calibri Light" w:hAnsi="Calibri Light" w:cs="Calibri Light"/>
          <w:sz w:val="20"/>
          <w:lang w:val="es-ES"/>
        </w:rPr>
        <w:t xml:space="preserve">: </w:t>
      </w:r>
      <w:r w:rsidR="008553C7">
        <w:rPr>
          <w:rFonts w:ascii="Calibri Light" w:hAnsi="Calibri Light" w:cs="Calibri Light"/>
          <w:sz w:val="20"/>
          <w:lang w:val="es-ES"/>
        </w:rPr>
        <w:t>Director de Comunicación</w:t>
      </w:r>
      <w:r w:rsidRPr="000575CE">
        <w:rPr>
          <w:rFonts w:ascii="Calibri Light" w:hAnsi="Calibri Light" w:cs="Calibri Light"/>
          <w:sz w:val="20"/>
          <w:lang w:val="es-ES"/>
        </w:rPr>
        <w:t xml:space="preserve"> ǀ Arnaud Houdmont ǀ +32 (0)2 514 37 77 ǀ </w:t>
      </w:r>
      <w:hyperlink r:id="rId11" w:history="1">
        <w:r w:rsidRPr="000575CE">
          <w:rPr>
            <w:rStyle w:val="Hipervnculo"/>
            <w:rFonts w:ascii="Calibri Light" w:hAnsi="Calibri Light" w:cs="Calibri Light"/>
            <w:sz w:val="20"/>
            <w:lang w:val="es-ES"/>
          </w:rPr>
          <w:t xml:space="preserve">houdmont@betterfinance.eu </w:t>
        </w:r>
      </w:hyperlink>
    </w:p>
    <w:sectPr w:rsidR="00563388" w:rsidRPr="000575C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679D6" w14:textId="77777777" w:rsidR="0006327E" w:rsidRDefault="0006327E">
      <w:pPr>
        <w:spacing w:after="0" w:line="240" w:lineRule="auto"/>
      </w:pPr>
      <w:r>
        <w:separator/>
      </w:r>
    </w:p>
  </w:endnote>
  <w:endnote w:type="continuationSeparator" w:id="0">
    <w:p w14:paraId="64B74EDA" w14:textId="77777777" w:rsidR="0006327E" w:rsidRDefault="0006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A218" w14:textId="77777777" w:rsidR="00E35AE8" w:rsidRPr="000575CE" w:rsidRDefault="000575CE">
    <w:pPr>
      <w:spacing w:before="120" w:after="0" w:line="240" w:lineRule="auto"/>
      <w:ind w:left="-567"/>
      <w:jc w:val="center"/>
      <w:rPr>
        <w:b/>
        <w:color w:val="006FB4"/>
        <w:sz w:val="16"/>
        <w:szCs w:val="16"/>
        <w:lang w:val="es-ES"/>
      </w:rPr>
    </w:pPr>
    <w:r w:rsidRPr="000575CE">
      <w:rPr>
        <w:b/>
        <w:color w:val="006FB4"/>
        <w:sz w:val="16"/>
        <w:szCs w:val="16"/>
        <w:lang w:val="es-ES"/>
      </w:rPr>
      <w:t>La Federación Europea de Inversores y Usuarios de Servicios Financieros</w:t>
    </w:r>
  </w:p>
  <w:p w14:paraId="696DA219" w14:textId="77777777" w:rsidR="00E35AE8" w:rsidRDefault="000575CE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>44, Rue d'Arenberg, 1000 Bruselas - Bélgica</w:t>
    </w:r>
  </w:p>
  <w:p w14:paraId="696DA21A" w14:textId="77777777" w:rsidR="00E35AE8" w:rsidRPr="000575CE" w:rsidRDefault="000575CE">
    <w:pPr>
      <w:spacing w:after="0" w:line="240" w:lineRule="auto"/>
      <w:ind w:left="-567"/>
      <w:jc w:val="center"/>
      <w:rPr>
        <w:lang w:val="es-ES"/>
      </w:rPr>
    </w:pPr>
    <w:r>
      <w:rPr>
        <w:color w:val="006FB4"/>
        <w:sz w:val="16"/>
        <w:szCs w:val="16"/>
        <w:lang w:val="de-DE"/>
      </w:rPr>
      <w:t xml:space="preserve">Tel.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696DA21B" w14:textId="77777777" w:rsidR="00E35AE8" w:rsidRPr="000575CE" w:rsidRDefault="001B41A5">
    <w:pPr>
      <w:spacing w:after="0" w:line="240" w:lineRule="auto"/>
      <w:ind w:left="-567"/>
      <w:jc w:val="center"/>
      <w:rPr>
        <w:lang w:val="es-ES"/>
      </w:rPr>
    </w:pPr>
    <w:hyperlink r:id="rId1" w:history="1">
      <w:r w:rsidR="000575CE">
        <w:rPr>
          <w:color w:val="006FB4"/>
          <w:sz w:val="16"/>
          <w:szCs w:val="16"/>
          <w:u w:val="single"/>
          <w:lang w:val="it-IT"/>
        </w:rPr>
        <w:t>Correo electrónico</w:t>
      </w:r>
    </w:hyperlink>
    <w:r w:rsidR="000575CE">
      <w:rPr>
        <w:color w:val="006FB4"/>
        <w:sz w:val="16"/>
        <w:szCs w:val="16"/>
        <w:lang w:val="pt-PT"/>
      </w:rPr>
      <w:t xml:space="preserve">: info@betterfinance.eu - </w:t>
    </w:r>
    <w:bookmarkStart w:id="2" w:name="_Hlk944867"/>
    <w:r w:rsidR="000575CE">
      <w:fldChar w:fldCharType="begin"/>
    </w:r>
    <w:r w:rsidR="000575CE" w:rsidRPr="000575CE">
      <w:rPr>
        <w:lang w:val="es-ES"/>
      </w:rPr>
      <w:instrText xml:space="preserve"> HYPERLINK  "http://www.eurofinuse.org" </w:instrText>
    </w:r>
    <w:r w:rsidR="000575CE">
      <w:fldChar w:fldCharType="separate"/>
    </w:r>
    <w:r w:rsidR="000575CE">
      <w:rPr>
        <w:color w:val="006FB4"/>
        <w:sz w:val="16"/>
        <w:szCs w:val="16"/>
        <w:u w:val="single"/>
        <w:lang w:val="it-IT"/>
      </w:rPr>
      <w:t xml:space="preserve">http://www.betterfinance.eu </w:t>
    </w:r>
    <w:r w:rsidR="000575CE">
      <w:rPr>
        <w:color w:val="006FB4"/>
        <w:sz w:val="16"/>
        <w:szCs w:val="16"/>
        <w:u w:val="single"/>
        <w:lang w:val="it-IT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3936F" w14:textId="77777777" w:rsidR="0006327E" w:rsidRDefault="000632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D5C088" w14:textId="77777777" w:rsidR="0006327E" w:rsidRDefault="0006327E">
      <w:pPr>
        <w:spacing w:after="0" w:line="240" w:lineRule="auto"/>
      </w:pPr>
      <w:r>
        <w:continuationSeparator/>
      </w:r>
    </w:p>
  </w:footnote>
  <w:footnote w:id="1">
    <w:p w14:paraId="696DA20C" w14:textId="77777777" w:rsidR="00563388" w:rsidRPr="000575CE" w:rsidRDefault="000575CE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0575CE">
        <w:rPr>
          <w:rFonts w:ascii="Calibri Light" w:hAnsi="Calibri Light" w:cs="Calibri Light"/>
          <w:sz w:val="16"/>
          <w:szCs w:val="16"/>
          <w:lang w:val="es-ES"/>
        </w:rPr>
        <w:t xml:space="preserve"> Véase, por ejemplo, el BaFin Journal de noviembre de 2019, en el que se indica que algunas cuestiones pueden abordarse revisando el propio reglamento de las PRIIP - Bundesanstalt fur Finanzdienstleistungsaufischt, Der Kunden im der Blick, Seite 16, pág. 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A212" w14:textId="77777777" w:rsidR="00E35AE8" w:rsidRDefault="000575CE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696DA20A" wp14:editId="696DA20B">
          <wp:simplePos x="0" y="0"/>
          <wp:positionH relativeFrom="margin">
            <wp:posOffset>2564133</wp:posOffset>
          </wp:positionH>
          <wp:positionV relativeFrom="paragraph">
            <wp:posOffset>-189225</wp:posOffset>
          </wp:positionV>
          <wp:extent cx="3138165" cy="645164"/>
          <wp:effectExtent l="0" t="0" r="5085" b="2536"/>
          <wp:wrapSquare wrapText="bothSides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165" cy="645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96DA213" w14:textId="77777777" w:rsidR="00E35AE8" w:rsidRDefault="001B41A5">
    <w:pPr>
      <w:pStyle w:val="Encabezado"/>
    </w:pPr>
  </w:p>
  <w:p w14:paraId="696DA214" w14:textId="77777777" w:rsidR="00E35AE8" w:rsidRDefault="001B41A5">
    <w:pPr>
      <w:pStyle w:val="Encabezado"/>
      <w:rPr>
        <w:sz w:val="12"/>
        <w:szCs w:val="12"/>
      </w:rPr>
    </w:pPr>
  </w:p>
  <w:p w14:paraId="696DA215" w14:textId="77777777" w:rsidR="00E35AE8" w:rsidRDefault="001B41A5">
    <w:pPr>
      <w:pStyle w:val="Encabezado"/>
      <w:rPr>
        <w:sz w:val="12"/>
        <w:szCs w:val="12"/>
      </w:rPr>
    </w:pPr>
  </w:p>
  <w:p w14:paraId="696DA216" w14:textId="77777777" w:rsidR="00E35AE8" w:rsidRDefault="001B41A5">
    <w:pPr>
      <w:pStyle w:val="Encabezad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3388"/>
    <w:rsid w:val="000575CE"/>
    <w:rsid w:val="0006327E"/>
    <w:rsid w:val="001B41A5"/>
    <w:rsid w:val="00321C49"/>
    <w:rsid w:val="00352224"/>
    <w:rsid w:val="004D7D1A"/>
    <w:rsid w:val="00563388"/>
    <w:rsid w:val="008553C7"/>
    <w:rsid w:val="00E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A203"/>
  <w15:docId w15:val="{976E7687-DC7E-4CFD-B957-A7DA1540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Fuentedeprrafopredeter"/>
  </w:style>
  <w:style w:type="paragraph" w:styleId="Piedepgina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Fuentedeprrafopredeter"/>
  </w:style>
  <w:style w:type="paragraph" w:styleId="Textoindependiente">
    <w:name w:val="Body Text"/>
    <w:basedOn w:val="Normal"/>
    <w:pPr>
      <w:spacing w:line="240" w:lineRule="exact"/>
    </w:pPr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customStyle="1" w:styleId="BodyTextChar">
    <w:name w:val="Body Text Char"/>
    <w:basedOn w:val="Fuentedeprrafopredeter"/>
    <w:rPr>
      <w:rFonts w:ascii="Tahoma" w:eastAsia="Times New Roman" w:hAnsi="Tahoma" w:cs="Times New Roman"/>
      <w:spacing w:val="10"/>
      <w:sz w:val="17"/>
      <w:szCs w:val="20"/>
      <w:lang w:val="en-US"/>
    </w:r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SimSun" w:hAnsi="Cambria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Fuentedeprrafopredeter"/>
    <w:rPr>
      <w:rFonts w:ascii="Cambria" w:eastAsia="SimSun" w:hAnsi="Cambria" w:cs="Times New Roman"/>
      <w:spacing w:val="-10"/>
      <w:kern w:val="3"/>
      <w:sz w:val="56"/>
      <w:szCs w:val="56"/>
    </w:rPr>
  </w:style>
  <w:style w:type="paragraph" w:styleId="Textodeglobo">
    <w:name w:val="Balloon Text"/>
    <w:basedOn w:val="Normal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Fuentedeprrafopredeter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Fuentedeprrafopredeter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Textonotapie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Fuentedeprrafopredeter"/>
    <w:rPr>
      <w:sz w:val="20"/>
      <w:szCs w:val="20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character" w:styleId="Textoennegrita">
    <w:name w:val="Strong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customStyle="1" w:styleId="Heading2Char">
    <w:name w:val="Heading 2 Char"/>
    <w:basedOn w:val="Fuentedeprrafopredeter"/>
    <w:rPr>
      <w:rFonts w:ascii="Cambria" w:eastAsia="SimSun" w:hAnsi="Cambria" w:cs="Times New Roman"/>
      <w:color w:val="365F91"/>
      <w:sz w:val="26"/>
      <w:szCs w:val="26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Heading1Char">
    <w:name w:val="Heading 1 Char"/>
    <w:basedOn w:val="Fuentedeprrafopredeter"/>
    <w:rPr>
      <w:rFonts w:ascii="Cambria" w:eastAsia="SimSun" w:hAnsi="Cambria" w:cs="Times New Roman"/>
      <w:color w:val="365F91"/>
      <w:sz w:val="32"/>
      <w:szCs w:val="32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pPr>
      <w:spacing w:after="0" w:line="240" w:lineRule="auto"/>
    </w:pPr>
    <w:rPr>
      <w:rFonts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udmont@betterfinance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info/sites/info/files/business_economy_euro/growth_and_investment/documents/200610-cmu-high-level-forum-final-report_en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sma.europa.eu/sites/default/files/library/esas_2020_19_outcome_of_esa_review_on_priips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inu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8495C-C2B7-438D-8F6B-8AA14315C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1A722-8117-434F-B89A-5063E62AF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6BD637-5E9D-4F05-BABF-B14AC447F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Houdmont</dc:creator>
  <cp:lastModifiedBy>Usuario</cp:lastModifiedBy>
  <cp:revision>3</cp:revision>
  <cp:lastPrinted>2020-06-09T11:09:00Z</cp:lastPrinted>
  <dcterms:created xsi:type="dcterms:W3CDTF">2020-12-11T12:01:00Z</dcterms:created>
  <dcterms:modified xsi:type="dcterms:W3CDTF">2020-12-21T20:26:00Z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