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CB40" w14:textId="4F9A7962" w:rsidR="00C0649F" w:rsidRPr="00F53415" w:rsidRDefault="00C0649F">
      <w:pPr>
        <w:rPr>
          <w:lang w:val="es-ES_tradnl"/>
        </w:rPr>
      </w:pPr>
    </w:p>
    <w:p w14:paraId="495FCB41" w14:textId="77777777" w:rsidR="00C0649F" w:rsidRPr="00F53415" w:rsidRDefault="000E5064">
      <w:pPr>
        <w:pStyle w:val="Textoindependiente"/>
        <w:spacing w:after="120" w:line="240" w:lineRule="auto"/>
        <w:jc w:val="both"/>
        <w:rPr>
          <w:lang w:val="es-ES_tradnl"/>
        </w:rPr>
      </w:pPr>
      <w:bookmarkStart w:id="0" w:name="_Hlk4143464"/>
      <w:r w:rsidRPr="00F53415">
        <w:rPr>
          <w:rStyle w:val="Textoennegrita"/>
          <w:sz w:val="18"/>
          <w:lang w:val="es-ES_tradnl"/>
        </w:rPr>
        <w:t>COMUNICADO DE PRENSA</w:t>
      </w:r>
    </w:p>
    <w:p w14:paraId="495FCB42" w14:textId="4642BB6E" w:rsidR="00C0649F" w:rsidRPr="00F53415" w:rsidRDefault="000E5064">
      <w:pPr>
        <w:pStyle w:val="Ttulo2"/>
        <w:spacing w:after="80"/>
        <w:jc w:val="both"/>
        <w:rPr>
          <w:rFonts w:ascii="Lato" w:eastAsia="Calibri" w:hAnsi="Lato" w:cs="Arial"/>
          <w:b/>
          <w:spacing w:val="20"/>
          <w:kern w:val="3"/>
          <w:sz w:val="24"/>
          <w:szCs w:val="24"/>
          <w:lang w:val="es-ES_tradnl"/>
        </w:rPr>
      </w:pPr>
      <w:r w:rsidRPr="00F53415">
        <w:rPr>
          <w:rFonts w:ascii="Lato" w:eastAsia="Calibri" w:hAnsi="Lato" w:cs="Arial"/>
          <w:b/>
          <w:spacing w:val="20"/>
          <w:kern w:val="3"/>
          <w:sz w:val="24"/>
          <w:szCs w:val="24"/>
          <w:lang w:val="es-ES_tradnl"/>
        </w:rPr>
        <w:t xml:space="preserve">El informe del Foro de Alto Nivel </w:t>
      </w:r>
      <w:r w:rsidR="0094455B">
        <w:rPr>
          <w:rFonts w:ascii="Lato" w:eastAsia="Calibri" w:hAnsi="Lato" w:cs="Arial"/>
          <w:b/>
          <w:spacing w:val="20"/>
          <w:kern w:val="3"/>
          <w:sz w:val="24"/>
          <w:szCs w:val="24"/>
          <w:lang w:val="es-ES_tradnl"/>
        </w:rPr>
        <w:t>de</w:t>
      </w:r>
      <w:r w:rsidR="0094455B" w:rsidRPr="00F53415">
        <w:rPr>
          <w:rFonts w:ascii="Lato" w:eastAsia="Calibri" w:hAnsi="Lato" w:cs="Arial"/>
          <w:b/>
          <w:spacing w:val="20"/>
          <w:kern w:val="3"/>
          <w:sz w:val="24"/>
          <w:szCs w:val="24"/>
          <w:lang w:val="es-ES_tradnl"/>
        </w:rPr>
        <w:t xml:space="preserve"> </w:t>
      </w:r>
      <w:r w:rsidRPr="00F53415">
        <w:rPr>
          <w:rFonts w:ascii="Lato" w:eastAsia="Calibri" w:hAnsi="Lato" w:cs="Arial"/>
          <w:b/>
          <w:spacing w:val="20"/>
          <w:kern w:val="3"/>
          <w:sz w:val="24"/>
          <w:szCs w:val="24"/>
          <w:lang w:val="es-ES_tradnl"/>
        </w:rPr>
        <w:t>la Unión Europea de Mercados de Capitales (</w:t>
      </w:r>
      <w:r w:rsidR="00076032" w:rsidRPr="00F53415">
        <w:rPr>
          <w:rFonts w:ascii="Lato" w:eastAsia="Calibri" w:hAnsi="Lato" w:cs="Arial"/>
          <w:b/>
          <w:spacing w:val="20"/>
          <w:kern w:val="3"/>
          <w:sz w:val="24"/>
          <w:szCs w:val="24"/>
          <w:lang w:val="es-ES_tradnl"/>
        </w:rPr>
        <w:t>UMC</w:t>
      </w:r>
      <w:r w:rsidRPr="00F53415">
        <w:rPr>
          <w:rFonts w:ascii="Lato" w:eastAsia="Calibri" w:hAnsi="Lato" w:cs="Arial"/>
          <w:b/>
          <w:spacing w:val="20"/>
          <w:kern w:val="3"/>
          <w:sz w:val="24"/>
          <w:szCs w:val="24"/>
          <w:lang w:val="es-ES_tradnl"/>
        </w:rPr>
        <w:t>):</w:t>
      </w:r>
    </w:p>
    <w:p w14:paraId="495FCB43" w14:textId="77777777" w:rsidR="00C0649F" w:rsidRPr="00F53415" w:rsidRDefault="000E5064">
      <w:pPr>
        <w:pStyle w:val="Ttulo2"/>
        <w:spacing w:after="80"/>
        <w:jc w:val="center"/>
        <w:rPr>
          <w:lang w:val="es-ES_tradnl"/>
        </w:rPr>
      </w:pPr>
      <w:r w:rsidRPr="00F53415">
        <w:rPr>
          <w:rFonts w:eastAsia="Calibri" w:cs="Arial"/>
          <w:b/>
          <w:spacing w:val="20"/>
          <w:kern w:val="3"/>
          <w:sz w:val="30"/>
          <w:szCs w:val="30"/>
          <w:lang w:val="es-ES_tradnl"/>
        </w:rPr>
        <w:t>Los ahorradores europeos están un paso más cerca de conseguir un valor sostenible para su dinero</w:t>
      </w:r>
    </w:p>
    <w:p w14:paraId="495FCB44" w14:textId="71713B4E" w:rsidR="00C0649F" w:rsidRPr="00F53415" w:rsidRDefault="000E5064">
      <w:pPr>
        <w:spacing w:after="120" w:line="240" w:lineRule="auto"/>
        <w:jc w:val="both"/>
        <w:rPr>
          <w:lang w:val="es-ES_tradnl"/>
        </w:rPr>
      </w:pPr>
      <w:r w:rsidRPr="00F53415">
        <w:rPr>
          <w:rFonts w:ascii="Calibri Light" w:eastAsia="Times New Roman" w:hAnsi="Calibri Light" w:cs="Calibri Light"/>
          <w:b/>
          <w:bCs/>
          <w:lang w:val="es-ES_tradnl"/>
        </w:rPr>
        <w:t xml:space="preserve">Bruselas, 10 de junio de 2020 </w:t>
      </w:r>
      <w:bookmarkEnd w:id="0"/>
      <w:r w:rsidRPr="00F53415">
        <w:rPr>
          <w:rFonts w:ascii="Calibri Light" w:eastAsia="Times New Roman" w:hAnsi="Calibri Light" w:cs="Calibri Light"/>
          <w:lang w:val="es-ES_tradnl"/>
        </w:rPr>
        <w:t>- Poco más de 6 meses después de</w:t>
      </w:r>
      <w:bookmarkStart w:id="1" w:name="_Hlk42455178"/>
      <w:r w:rsidRPr="00F53415">
        <w:rPr>
          <w:rFonts w:ascii="Calibri Light" w:eastAsia="Times New Roman" w:hAnsi="Calibri Light" w:cs="Calibri Light"/>
          <w:lang w:val="es-ES_tradnl"/>
        </w:rPr>
        <w:t xml:space="preserve"> que la Comisión Europea (CE) lanzara su Foro de Alto Nivel (</w:t>
      </w:r>
      <w:r w:rsidR="001C1DB6" w:rsidRPr="00F53415">
        <w:rPr>
          <w:rFonts w:ascii="Calibri Light" w:eastAsia="Times New Roman" w:hAnsi="Calibri Light" w:cs="Calibri Light"/>
          <w:lang w:val="es-ES_tradnl"/>
        </w:rPr>
        <w:t>HLF</w:t>
      </w:r>
      <w:r w:rsidRPr="00F53415">
        <w:rPr>
          <w:rFonts w:ascii="Calibri Light" w:eastAsia="Times New Roman" w:hAnsi="Calibri Light" w:cs="Calibri Light"/>
          <w:lang w:val="es-ES_tradnl"/>
        </w:rPr>
        <w:t xml:space="preserve">) sobre el futuro de la </w:t>
      </w:r>
      <w:r w:rsidR="00076032" w:rsidRPr="00F53415">
        <w:rPr>
          <w:rFonts w:ascii="Calibri Light" w:eastAsia="Times New Roman" w:hAnsi="Calibri Light" w:cs="Calibri Light"/>
          <w:lang w:val="es-ES_tradnl"/>
        </w:rPr>
        <w:t>UMC</w:t>
      </w:r>
      <w:r w:rsidRPr="00F53415">
        <w:rPr>
          <w:rFonts w:ascii="Calibri Light" w:eastAsia="Times New Roman" w:hAnsi="Calibri Light" w:cs="Calibri Light"/>
          <w:lang w:val="es-ES_tradnl"/>
        </w:rPr>
        <w:t>,</w:t>
      </w:r>
      <w:bookmarkEnd w:id="1"/>
      <w:r w:rsidRPr="00F53415">
        <w:rPr>
          <w:rFonts w:ascii="Calibri Light" w:eastAsia="Times New Roman" w:hAnsi="Calibri Light" w:cs="Calibri Light"/>
          <w:lang w:val="es-ES_tradnl"/>
        </w:rPr>
        <w:t xml:space="preserve"> el grupo de 28 expertos ha publicado su </w:t>
      </w:r>
      <w:hyperlink r:id="rId10" w:history="1">
        <w:r w:rsidR="00076032" w:rsidRPr="00F53415">
          <w:rPr>
            <w:rStyle w:val="Hipervnculo"/>
            <w:rFonts w:ascii="Calibri Light" w:eastAsia="Times New Roman" w:hAnsi="Calibri Light" w:cs="Calibri Light"/>
            <w:lang w:val="es-ES_tradnl"/>
          </w:rPr>
          <w:t>"</w:t>
        </w:r>
        <w:r w:rsidR="00076032" w:rsidRPr="00F53415">
          <w:rPr>
            <w:rStyle w:val="Hipervnculo"/>
            <w:rFonts w:ascii="Calibri Light" w:eastAsia="Times New Roman" w:hAnsi="Calibri Light" w:cs="Calibri Light"/>
            <w:i/>
            <w:iCs/>
            <w:lang w:val="es-ES_tradnl"/>
          </w:rPr>
          <w:t>New Vision for Europe’s Capital Markets</w:t>
        </w:r>
        <w:r w:rsidR="00076032" w:rsidRPr="00F53415">
          <w:rPr>
            <w:rStyle w:val="Hipervnculo"/>
            <w:rFonts w:ascii="Calibri Light" w:eastAsia="Times New Roman" w:hAnsi="Calibri Light" w:cs="Calibri Light"/>
            <w:lang w:val="es-ES_tradnl"/>
          </w:rPr>
          <w:t>”</w:t>
        </w:r>
      </w:hyperlink>
      <w:hyperlink r:id="rId11" w:history="1">
        <w:r w:rsidR="00076032" w:rsidRPr="00F53415">
          <w:rPr>
            <w:rStyle w:val="Hipervnculo"/>
            <w:rFonts w:ascii="Calibri Light" w:eastAsia="Times New Roman" w:hAnsi="Calibri Light" w:cs="Calibri Light"/>
            <w:lang w:val="es-ES_tradnl"/>
          </w:rPr>
          <w:t>(Nueva</w:t>
        </w:r>
      </w:hyperlink>
      <w:r w:rsidR="00076032" w:rsidRPr="00F53415">
        <w:rPr>
          <w:rStyle w:val="Hipervnculo"/>
          <w:rFonts w:ascii="Calibri Light" w:eastAsia="Times New Roman" w:hAnsi="Calibri Light" w:cs="Calibri Light"/>
          <w:lang w:val="es-ES_tradnl"/>
        </w:rPr>
        <w:t xml:space="preserve"> Visión de los Mercados de Capital Europeos”) </w:t>
      </w:r>
      <w:r w:rsidRPr="00F53415">
        <w:rPr>
          <w:rFonts w:ascii="Calibri Light" w:eastAsia="Times New Roman" w:hAnsi="Calibri Light" w:cs="Calibri Light"/>
          <w:lang w:val="es-ES_tradnl"/>
        </w:rPr>
        <w:t xml:space="preserve">con una lista de recomendaciones clave. Varias de ellas han sido propuestas por BETTER FINANCE y aprobadas por el Grupo, lo que es una buena noticia para los ciudadanos de la UE </w:t>
      </w:r>
      <w:r w:rsidR="00076032" w:rsidRPr="00F53415">
        <w:rPr>
          <w:rFonts w:ascii="Calibri Light" w:eastAsia="Times New Roman" w:hAnsi="Calibri Light" w:cs="Calibri Light"/>
          <w:lang w:val="es-ES_tradnl"/>
        </w:rPr>
        <w:t xml:space="preserve">en su condición de </w:t>
      </w:r>
      <w:r w:rsidRPr="00F53415">
        <w:rPr>
          <w:rFonts w:ascii="Calibri Light" w:eastAsia="Times New Roman" w:hAnsi="Calibri Light" w:cs="Calibri Light"/>
          <w:lang w:val="es-ES_tradnl"/>
        </w:rPr>
        <w:t>usuarios financieros.</w:t>
      </w:r>
    </w:p>
    <w:p w14:paraId="495FCB45" w14:textId="6AACF2BA" w:rsidR="00C0649F" w:rsidRPr="00F53415" w:rsidRDefault="000E5064">
      <w:pPr>
        <w:spacing w:after="120" w:line="240" w:lineRule="auto"/>
        <w:jc w:val="both"/>
        <w:rPr>
          <w:lang w:val="es-ES_tradnl"/>
        </w:rPr>
      </w:pPr>
      <w:bookmarkStart w:id="2" w:name="_Hlk42455249"/>
      <w:r w:rsidRPr="00F53415">
        <w:rPr>
          <w:rFonts w:ascii="Calibri Light" w:eastAsia="Times New Roman" w:hAnsi="Calibri Light" w:cs="Calibri Light"/>
          <w:lang w:val="es-ES_tradnl"/>
        </w:rPr>
        <w:t xml:space="preserve">El Director </w:t>
      </w:r>
      <w:r w:rsidR="00076032" w:rsidRPr="00F53415">
        <w:rPr>
          <w:rFonts w:ascii="Calibri Light" w:eastAsia="Times New Roman" w:hAnsi="Calibri Light" w:cs="Calibri Light"/>
          <w:lang w:val="es-ES_tradnl"/>
        </w:rPr>
        <w:t xml:space="preserve">general </w:t>
      </w:r>
      <w:r w:rsidRPr="00F53415">
        <w:rPr>
          <w:rFonts w:ascii="Calibri Light" w:eastAsia="Times New Roman" w:hAnsi="Calibri Light" w:cs="Calibri Light"/>
          <w:lang w:val="es-ES_tradnl"/>
        </w:rPr>
        <w:t xml:space="preserve">de BETTER FINANCE, Guillaume Prache, fue uno de los dos únicos representantes de los ciudadanos de la UE ahorradores e inversores de los 28 miembros </w:t>
      </w:r>
      <w:r w:rsidR="00463CEE">
        <w:rPr>
          <w:rFonts w:ascii="Calibri Light" w:eastAsia="Times New Roman" w:hAnsi="Calibri Light" w:cs="Calibri Light"/>
          <w:lang w:val="es-ES_tradnl"/>
        </w:rPr>
        <w:t xml:space="preserve">en </w:t>
      </w:r>
      <w:r w:rsidR="00463CEE" w:rsidRPr="00F53415">
        <w:rPr>
          <w:rFonts w:ascii="Calibri Light" w:eastAsia="Times New Roman" w:hAnsi="Calibri Light" w:cs="Calibri Light"/>
          <w:lang w:val="es-ES_tradnl"/>
        </w:rPr>
        <w:t xml:space="preserve">el </w:t>
      </w:r>
      <w:r w:rsidRPr="00F53415">
        <w:rPr>
          <w:rFonts w:ascii="Calibri Light" w:eastAsia="Times New Roman" w:hAnsi="Calibri Light" w:cs="Calibri Light"/>
          <w:lang w:val="es-ES_tradnl"/>
        </w:rPr>
        <w:t xml:space="preserve">HLF. </w:t>
      </w:r>
      <w:bookmarkEnd w:id="2"/>
      <w:r w:rsidRPr="00F53415">
        <w:rPr>
          <w:rFonts w:ascii="Calibri Light" w:eastAsia="Times New Roman" w:hAnsi="Calibri Light" w:cs="Calibri Light"/>
          <w:lang w:val="es-ES_tradnl"/>
        </w:rPr>
        <w:t>A pesar de ser eclipsado por los al menos 18 miembros que representan a los intermediarios financieros o que trabajan para ellos (incluidos seis ejecutivos de instituciones financieras extra</w:t>
      </w:r>
      <w:r w:rsidR="00463CEE">
        <w:rPr>
          <w:rFonts w:ascii="Calibri Light" w:eastAsia="Times New Roman" w:hAnsi="Calibri Light" w:cs="Calibri Light"/>
          <w:lang w:val="es-ES_tradnl"/>
        </w:rPr>
        <w:t xml:space="preserve"> </w:t>
      </w:r>
      <w:r w:rsidRPr="00F53415">
        <w:rPr>
          <w:rFonts w:ascii="Calibri Light" w:eastAsia="Times New Roman" w:hAnsi="Calibri Light" w:cs="Calibri Light"/>
          <w:lang w:val="es-ES_tradnl"/>
        </w:rPr>
        <w:t>grandes de los EE.</w:t>
      </w:r>
      <w:r w:rsidR="00076032" w:rsidRPr="00F53415">
        <w:rPr>
          <w:rFonts w:ascii="Calibri Light" w:eastAsia="Times New Roman" w:hAnsi="Calibri Light" w:cs="Calibri Light"/>
          <w:lang w:val="es-ES_tradnl"/>
        </w:rPr>
        <w:t xml:space="preserve"> </w:t>
      </w:r>
      <w:r w:rsidRPr="00F53415">
        <w:rPr>
          <w:rFonts w:ascii="Calibri Light" w:eastAsia="Times New Roman" w:hAnsi="Calibri Light" w:cs="Calibri Light"/>
          <w:lang w:val="es-ES_tradnl"/>
        </w:rPr>
        <w:t xml:space="preserve">UU.), BETTER FINANCE se complace y agradece la ayuda de la CE, que pudo conseguir, al menos en parte, muchas de sus </w:t>
      </w:r>
      <w:hyperlink r:id="rId12" w:history="1">
        <w:r w:rsidRPr="00F53415">
          <w:rPr>
            <w:rStyle w:val="Hipervnculo"/>
            <w:rFonts w:ascii="Calibri Light" w:eastAsia="Times New Roman" w:hAnsi="Calibri Light" w:cs="Calibri Light"/>
            <w:lang w:val="es-ES_tradnl"/>
          </w:rPr>
          <w:t xml:space="preserve">prioridades clave </w:t>
        </w:r>
      </w:hyperlink>
      <w:r w:rsidRPr="00F53415">
        <w:rPr>
          <w:rFonts w:ascii="Calibri Light" w:eastAsia="Times New Roman" w:hAnsi="Calibri Light" w:cs="Calibri Light"/>
          <w:lang w:val="es-ES_tradnl"/>
        </w:rPr>
        <w:t>publicadas el año pasado.</w:t>
      </w:r>
    </w:p>
    <w:p w14:paraId="495FCB46" w14:textId="0965A8CE" w:rsidR="00C0649F" w:rsidRPr="00F53415" w:rsidRDefault="00076032">
      <w:pPr>
        <w:spacing w:after="120" w:line="240" w:lineRule="auto"/>
        <w:jc w:val="both"/>
        <w:rPr>
          <w:rFonts w:ascii="Calibri Light" w:eastAsia="Times New Roman" w:hAnsi="Calibri Light" w:cs="Calibri Light"/>
          <w:b/>
          <w:bCs/>
          <w:i/>
          <w:iCs/>
          <w:lang w:val="es-ES_tradnl"/>
        </w:rPr>
      </w:pPr>
      <w:r w:rsidRPr="00F53415">
        <w:rPr>
          <w:rFonts w:ascii="Calibri Light" w:eastAsia="Times New Roman" w:hAnsi="Calibri Light" w:cs="Calibri Light"/>
          <w:b/>
          <w:bCs/>
          <w:i/>
          <w:iCs/>
          <w:lang w:val="es-ES_tradnl"/>
        </w:rPr>
        <w:t>Una UMC</w:t>
      </w:r>
      <w:r w:rsidR="000E5064" w:rsidRPr="00F53415">
        <w:rPr>
          <w:rFonts w:ascii="Calibri Light" w:eastAsia="Times New Roman" w:hAnsi="Calibri Light" w:cs="Calibri Light"/>
          <w:b/>
          <w:bCs/>
          <w:i/>
          <w:iCs/>
          <w:lang w:val="es-ES_tradnl"/>
        </w:rPr>
        <w:t xml:space="preserve"> que trabaja para </w:t>
      </w:r>
      <w:r w:rsidRPr="00F53415">
        <w:rPr>
          <w:rFonts w:ascii="Calibri Light" w:eastAsia="Times New Roman" w:hAnsi="Calibri Light" w:cs="Calibri Light"/>
          <w:b/>
          <w:bCs/>
          <w:i/>
          <w:iCs/>
          <w:lang w:val="es-ES_tradnl"/>
        </w:rPr>
        <w:t>las personas</w:t>
      </w:r>
    </w:p>
    <w:p w14:paraId="495FCB47" w14:textId="1BD01316" w:rsidR="00C0649F" w:rsidRPr="00F53415" w:rsidRDefault="000E5064">
      <w:pPr>
        <w:spacing w:after="120" w:line="240" w:lineRule="auto"/>
        <w:jc w:val="both"/>
        <w:rPr>
          <w:lang w:val="es-ES_tradnl"/>
        </w:rPr>
      </w:pPr>
      <w:r w:rsidRPr="00F53415">
        <w:rPr>
          <w:rFonts w:ascii="Calibri Light" w:eastAsia="Times New Roman" w:hAnsi="Calibri Light" w:cs="Calibri Light"/>
          <w:lang w:val="es-ES_tradnl"/>
        </w:rPr>
        <w:t>Lograr "</w:t>
      </w:r>
      <w:r w:rsidRPr="00F53415">
        <w:rPr>
          <w:rFonts w:ascii="Calibri Light" w:eastAsia="Times New Roman" w:hAnsi="Calibri Light" w:cs="Calibri Light"/>
          <w:i/>
          <w:iCs/>
          <w:lang w:val="es-ES_tradnl"/>
        </w:rPr>
        <w:t xml:space="preserve">una </w:t>
      </w:r>
      <w:r w:rsidR="00076032" w:rsidRPr="00F53415">
        <w:rPr>
          <w:rFonts w:ascii="Calibri Light" w:eastAsia="Times New Roman" w:hAnsi="Calibri Light" w:cs="Calibri Light"/>
          <w:i/>
          <w:iCs/>
          <w:lang w:val="es-ES_tradnl"/>
        </w:rPr>
        <w:t xml:space="preserve">UMC </w:t>
      </w:r>
      <w:r w:rsidRPr="00F53415">
        <w:rPr>
          <w:rFonts w:ascii="Calibri Light" w:eastAsia="Times New Roman" w:hAnsi="Calibri Light" w:cs="Calibri Light"/>
          <w:i/>
          <w:iCs/>
          <w:lang w:val="es-ES_tradnl"/>
        </w:rPr>
        <w:t xml:space="preserve">que trabaje </w:t>
      </w:r>
      <w:r w:rsidR="00463CEE">
        <w:rPr>
          <w:rFonts w:ascii="Calibri Light" w:eastAsia="Times New Roman" w:hAnsi="Calibri Light" w:cs="Calibri Light"/>
          <w:i/>
          <w:iCs/>
          <w:lang w:val="es-ES_tradnl"/>
        </w:rPr>
        <w:t>a favor de</w:t>
      </w:r>
      <w:r w:rsidR="00463CEE" w:rsidRPr="00F53415">
        <w:rPr>
          <w:rFonts w:ascii="Calibri Light" w:eastAsia="Times New Roman" w:hAnsi="Calibri Light" w:cs="Calibri Light"/>
          <w:i/>
          <w:iCs/>
          <w:lang w:val="es-ES_tradnl"/>
        </w:rPr>
        <w:t xml:space="preserve"> </w:t>
      </w:r>
      <w:r w:rsidRPr="00F53415">
        <w:rPr>
          <w:rFonts w:ascii="Calibri Light" w:eastAsia="Times New Roman" w:hAnsi="Calibri Light" w:cs="Calibri Light"/>
          <w:i/>
          <w:iCs/>
          <w:lang w:val="es-ES_tradnl"/>
        </w:rPr>
        <w:t>las personas</w:t>
      </w:r>
      <w:r w:rsidRPr="00F53415">
        <w:rPr>
          <w:rFonts w:ascii="Calibri Light" w:eastAsia="Times New Roman" w:hAnsi="Calibri Light" w:cs="Calibri Light"/>
          <w:lang w:val="es-ES_tradnl"/>
        </w:rPr>
        <w:t xml:space="preserve">" ha sido una prioridad para BETTER FINANCE desde 2015, cuando la Unión Europea (UE) sentó las bases de una </w:t>
      </w:r>
      <w:r w:rsidR="00076032" w:rsidRPr="00F53415">
        <w:rPr>
          <w:rFonts w:ascii="Calibri Light" w:eastAsia="Times New Roman" w:hAnsi="Calibri Light" w:cs="Calibri Light"/>
          <w:lang w:val="es-ES_tradnl"/>
        </w:rPr>
        <w:t xml:space="preserve">UMC </w:t>
      </w:r>
      <w:r w:rsidRPr="00F53415">
        <w:rPr>
          <w:rFonts w:ascii="Calibri Light" w:eastAsia="Times New Roman" w:hAnsi="Calibri Light" w:cs="Calibri Light"/>
          <w:lang w:val="es-ES_tradnl"/>
        </w:rPr>
        <w:t xml:space="preserve">que por fin crearía el mercado único de servicios de capital e inversión decidido hace más de 60 años en el Tratado de Roma, </w:t>
      </w:r>
      <w:r w:rsidR="00076032" w:rsidRPr="00F53415">
        <w:rPr>
          <w:rFonts w:ascii="Calibri Light" w:eastAsia="Times New Roman" w:hAnsi="Calibri Light" w:cs="Calibri Light"/>
          <w:lang w:val="es-ES_tradnl"/>
        </w:rPr>
        <w:t xml:space="preserve">que </w:t>
      </w:r>
      <w:r w:rsidRPr="00F53415">
        <w:rPr>
          <w:rFonts w:ascii="Calibri Light" w:eastAsia="Times New Roman" w:hAnsi="Calibri Light" w:cs="Calibri Light"/>
          <w:lang w:val="es-ES_tradnl"/>
        </w:rPr>
        <w:t xml:space="preserve">desarrollaría una financiación más directa para la economía real y </w:t>
      </w:r>
      <w:r w:rsidR="00076032" w:rsidRPr="00F53415">
        <w:rPr>
          <w:rFonts w:ascii="Calibri Light" w:eastAsia="Times New Roman" w:hAnsi="Calibri Light" w:cs="Calibri Light"/>
          <w:lang w:val="es-ES_tradnl"/>
        </w:rPr>
        <w:t xml:space="preserve">que </w:t>
      </w:r>
      <w:r w:rsidRPr="00F53415">
        <w:rPr>
          <w:rFonts w:ascii="Calibri Light" w:eastAsia="Times New Roman" w:hAnsi="Calibri Light" w:cs="Calibri Light"/>
          <w:lang w:val="es-ES_tradnl"/>
        </w:rPr>
        <w:t xml:space="preserve">proporcionaría mejores rendimientos a los ciudadanos de la UE ahorradores </w:t>
      </w:r>
      <w:r w:rsidR="00076032" w:rsidRPr="00F53415">
        <w:rPr>
          <w:rFonts w:ascii="Calibri Light" w:eastAsia="Times New Roman" w:hAnsi="Calibri Light" w:cs="Calibri Light"/>
          <w:lang w:val="es-ES_tradnl"/>
        </w:rPr>
        <w:t xml:space="preserve">para </w:t>
      </w:r>
      <w:r w:rsidRPr="00F53415">
        <w:rPr>
          <w:rFonts w:ascii="Calibri Light" w:eastAsia="Times New Roman" w:hAnsi="Calibri Light" w:cs="Calibri Light"/>
          <w:lang w:val="es-ES_tradnl"/>
        </w:rPr>
        <w:t>pensiones:</w:t>
      </w:r>
    </w:p>
    <w:p w14:paraId="495FCB48" w14:textId="52FA786E" w:rsidR="00C0649F" w:rsidRPr="00F53415" w:rsidRDefault="000E5064">
      <w:pPr>
        <w:spacing w:after="120" w:line="240" w:lineRule="auto"/>
        <w:jc w:val="both"/>
        <w:rPr>
          <w:lang w:val="es-ES_tradnl"/>
        </w:rPr>
      </w:pPr>
      <w:r w:rsidRPr="00F53415">
        <w:rPr>
          <w:rFonts w:ascii="Calibri Light" w:hAnsi="Calibri Light" w:cs="Calibri Light"/>
          <w:i/>
          <w:iCs/>
          <w:lang w:val="es-ES_tradnl"/>
        </w:rPr>
        <w:t>"</w:t>
      </w:r>
      <w:r w:rsidRPr="00F53415">
        <w:rPr>
          <w:rFonts w:ascii="Calibri Light" w:hAnsi="Calibri Light" w:cs="Calibri Light"/>
          <w:b/>
          <w:bCs/>
          <w:i/>
          <w:iCs/>
          <w:lang w:val="es-ES_tradnl"/>
        </w:rPr>
        <w:t xml:space="preserve">Los ciudadanos europeos, </w:t>
      </w:r>
      <w:r w:rsidR="00076032" w:rsidRPr="00F53415">
        <w:rPr>
          <w:rFonts w:ascii="Calibri Light" w:hAnsi="Calibri Light" w:cs="Calibri Light"/>
          <w:b/>
          <w:bCs/>
          <w:i/>
          <w:iCs/>
          <w:lang w:val="es-ES_tradnl"/>
        </w:rPr>
        <w:t xml:space="preserve">en su condición de </w:t>
      </w:r>
      <w:r w:rsidRPr="00F53415">
        <w:rPr>
          <w:rFonts w:ascii="Calibri Light" w:hAnsi="Calibri Light" w:cs="Calibri Light"/>
          <w:b/>
          <w:bCs/>
          <w:i/>
          <w:iCs/>
          <w:lang w:val="es-ES_tradnl"/>
        </w:rPr>
        <w:t>ahorradores a largo plazo e inversores individuales</w:t>
      </w:r>
      <w:r w:rsidR="00076032" w:rsidRPr="00F53415">
        <w:rPr>
          <w:rFonts w:ascii="Calibri Light" w:hAnsi="Calibri Light" w:cs="Calibri Light"/>
          <w:b/>
          <w:bCs/>
          <w:i/>
          <w:iCs/>
          <w:lang w:val="es-ES_tradnl"/>
        </w:rPr>
        <w:t>,</w:t>
      </w:r>
      <w:r w:rsidRPr="00F53415">
        <w:rPr>
          <w:rFonts w:ascii="Calibri Light" w:hAnsi="Calibri Light" w:cs="Calibri Light"/>
          <w:b/>
          <w:bCs/>
          <w:i/>
          <w:iCs/>
          <w:lang w:val="es-ES_tradnl"/>
        </w:rPr>
        <w:t>-que son uno de los principales financiadores de los mercados de capitales y de la economía</w:t>
      </w:r>
      <w:r w:rsidR="00076032" w:rsidRPr="00F53415">
        <w:rPr>
          <w:rFonts w:ascii="Calibri Light" w:hAnsi="Calibri Light" w:cs="Calibri Light"/>
          <w:b/>
          <w:bCs/>
          <w:i/>
          <w:iCs/>
          <w:lang w:val="es-ES_tradnl"/>
        </w:rPr>
        <w:t>,</w:t>
      </w:r>
      <w:r w:rsidRPr="00F53415">
        <w:rPr>
          <w:rFonts w:ascii="Calibri Light" w:hAnsi="Calibri Light" w:cs="Calibri Light"/>
          <w:b/>
          <w:bCs/>
          <w:i/>
          <w:iCs/>
          <w:lang w:val="es-ES_tradnl"/>
        </w:rPr>
        <w:t xml:space="preserve"> obtienen con demasiada frecuencia escasos rendimientos reales netos a largo plazo. Proporcionar acceso transfronterizo a productos sencillos, comparables, rentables y transparentes que ofrezcan una rentabilidad sostenible es fundamental para el ahorro, y clave para las inversiones</w:t>
      </w:r>
      <w:r w:rsidRPr="00F53415">
        <w:rPr>
          <w:rFonts w:ascii="Calibri Light" w:hAnsi="Calibri Light" w:cs="Calibri Light"/>
          <w:i/>
          <w:iCs/>
          <w:lang w:val="es-ES_tradnl"/>
        </w:rPr>
        <w:t xml:space="preserve">". </w:t>
      </w:r>
      <w:r w:rsidRPr="00F53415">
        <w:rPr>
          <w:rFonts w:ascii="Calibri Light" w:hAnsi="Calibri Light" w:cs="Calibri Light"/>
          <w:lang w:val="es-ES_tradnl"/>
        </w:rPr>
        <w:t>(</w:t>
      </w:r>
      <w:r w:rsidR="001C1DB6" w:rsidRPr="00F53415">
        <w:rPr>
          <w:rFonts w:ascii="Calibri Light" w:hAnsi="Calibri Light" w:cs="Calibri Light"/>
          <w:lang w:val="es-ES_tradnl"/>
        </w:rPr>
        <w:t xml:space="preserve">Prólogo </w:t>
      </w:r>
      <w:r w:rsidRPr="00F53415">
        <w:rPr>
          <w:rFonts w:ascii="Calibri Light" w:hAnsi="Calibri Light" w:cs="Calibri Light"/>
          <w:lang w:val="es-ES_tradnl"/>
        </w:rPr>
        <w:t>del Presidente del Informe del HLF)</w:t>
      </w:r>
    </w:p>
    <w:p w14:paraId="495FCB49" w14:textId="77777777" w:rsidR="00C0649F" w:rsidRPr="00F53415" w:rsidRDefault="000E5064">
      <w:pPr>
        <w:spacing w:after="120" w:line="240" w:lineRule="auto"/>
        <w:jc w:val="both"/>
        <w:rPr>
          <w:rFonts w:ascii="Calibri Light" w:eastAsia="Times New Roman" w:hAnsi="Calibri Light" w:cs="Calibri Light"/>
          <w:lang w:val="es-ES_tradnl"/>
        </w:rPr>
      </w:pPr>
      <w:r w:rsidRPr="00F53415">
        <w:rPr>
          <w:rFonts w:ascii="Calibri Light" w:eastAsia="Times New Roman" w:hAnsi="Calibri Light" w:cs="Calibri Light"/>
          <w:lang w:val="es-ES_tradnl"/>
        </w:rPr>
        <w:t>Algunas de las recomendaciones se esbozan a continuación, mientras que la lista completa puede consultarse en el anexo del presente comunicado de prensa.</w:t>
      </w:r>
    </w:p>
    <w:p w14:paraId="495FCB4A" w14:textId="77777777" w:rsidR="00C0649F" w:rsidRPr="00F53415" w:rsidRDefault="000E5064">
      <w:pPr>
        <w:spacing w:after="120" w:line="240" w:lineRule="auto"/>
        <w:jc w:val="both"/>
        <w:rPr>
          <w:lang w:val="es-ES_tradnl"/>
        </w:rPr>
      </w:pPr>
      <w:r w:rsidRPr="00F53415">
        <w:rPr>
          <w:rFonts w:ascii="Calibri Light" w:eastAsia="Times New Roman" w:hAnsi="Calibri Light" w:cs="Calibri Light"/>
          <w:b/>
          <w:bCs/>
          <w:i/>
          <w:iCs/>
          <w:lang w:val="es-ES_tradnl"/>
        </w:rPr>
        <w:t xml:space="preserve">Reducción de los conflictos de intereses en la distribución </w:t>
      </w:r>
    </w:p>
    <w:p w14:paraId="495FCB4B" w14:textId="26A55193" w:rsidR="00C0649F" w:rsidRDefault="000E5064">
      <w:pPr>
        <w:pStyle w:val="Default"/>
        <w:spacing w:after="120"/>
        <w:jc w:val="both"/>
        <w:rPr>
          <w:rFonts w:ascii="Calibri Light" w:eastAsia="Times New Roman" w:hAnsi="Calibri Light" w:cs="Calibri Light"/>
          <w:sz w:val="22"/>
          <w:szCs w:val="22"/>
          <w:lang w:val="es-ES_tradnl"/>
        </w:rPr>
      </w:pPr>
      <w:r w:rsidRPr="00F53415">
        <w:rPr>
          <w:rFonts w:ascii="Calibri Light" w:eastAsia="Times New Roman" w:hAnsi="Calibri Light" w:cs="Calibri Light"/>
          <w:sz w:val="22"/>
          <w:szCs w:val="22"/>
          <w:lang w:val="es-ES_tradnl"/>
        </w:rPr>
        <w:t xml:space="preserve">El paso más importante para </w:t>
      </w:r>
      <w:r w:rsidR="00904483" w:rsidRPr="00F53415">
        <w:rPr>
          <w:rFonts w:ascii="Calibri Light" w:eastAsia="Times New Roman" w:hAnsi="Calibri Light" w:cs="Calibri Light"/>
          <w:sz w:val="22"/>
          <w:szCs w:val="22"/>
          <w:lang w:val="es-ES_tradnl"/>
        </w:rPr>
        <w:t xml:space="preserve">facilitar </w:t>
      </w:r>
      <w:r w:rsidRPr="00F53415">
        <w:rPr>
          <w:rFonts w:ascii="Calibri Light" w:eastAsia="Times New Roman" w:hAnsi="Calibri Light" w:cs="Calibri Light"/>
          <w:sz w:val="22"/>
          <w:szCs w:val="22"/>
          <w:lang w:val="es-ES_tradnl"/>
        </w:rPr>
        <w:t xml:space="preserve">a los ciudadanos de la UE inversores, </w:t>
      </w:r>
      <w:r w:rsidR="00904483" w:rsidRPr="00F53415">
        <w:rPr>
          <w:rFonts w:ascii="Calibri Light" w:eastAsia="Times New Roman" w:hAnsi="Calibri Light" w:cs="Calibri Light"/>
          <w:sz w:val="22"/>
          <w:szCs w:val="22"/>
          <w:lang w:val="es-ES_tradnl"/>
        </w:rPr>
        <w:t xml:space="preserve">el </w:t>
      </w:r>
      <w:r w:rsidRPr="00F53415">
        <w:rPr>
          <w:rFonts w:ascii="Calibri Light" w:eastAsia="Times New Roman" w:hAnsi="Calibri Light" w:cs="Calibri Light"/>
          <w:sz w:val="22"/>
          <w:szCs w:val="22"/>
          <w:lang w:val="es-ES_tradnl"/>
        </w:rPr>
        <w:t xml:space="preserve">acceso a productos de inversión sencillos y rentables, es garantizar que reciban un asesoramiento financiero justo. Con este fin, el HLF no recomienda la prohibición de </w:t>
      </w:r>
      <w:r w:rsidR="00904483" w:rsidRPr="00F53415">
        <w:rPr>
          <w:rFonts w:ascii="Calibri Light" w:eastAsia="Times New Roman" w:hAnsi="Calibri Light" w:cs="Calibri Light"/>
          <w:sz w:val="22"/>
          <w:szCs w:val="22"/>
          <w:lang w:val="es-ES_tradnl"/>
        </w:rPr>
        <w:t>las comisiones ilegales</w:t>
      </w:r>
      <w:r w:rsidRPr="00F53415">
        <w:rPr>
          <w:rFonts w:ascii="Calibri Light" w:eastAsia="Times New Roman" w:hAnsi="Calibri Light" w:cs="Calibri Light"/>
          <w:sz w:val="22"/>
          <w:szCs w:val="22"/>
          <w:lang w:val="es-ES_tradnl"/>
        </w:rPr>
        <w:t xml:space="preserve"> ("incentivos" en la jerga de la UE) a los distribuidores minoristas "no independientes" (sic)</w:t>
      </w:r>
      <w:r w:rsidR="00904483" w:rsidRPr="00F53415">
        <w:rPr>
          <w:rFonts w:ascii="Calibri Light" w:eastAsia="Times New Roman" w:hAnsi="Calibri Light" w:cs="Calibri Light"/>
          <w:sz w:val="22"/>
          <w:szCs w:val="22"/>
          <w:lang w:val="es-ES_tradnl"/>
        </w:rPr>
        <w:t xml:space="preserve">, tal </w:t>
      </w:r>
      <w:r w:rsidRPr="00F53415">
        <w:rPr>
          <w:rFonts w:ascii="Calibri Light" w:eastAsia="Times New Roman" w:hAnsi="Calibri Light" w:cs="Calibri Light"/>
          <w:sz w:val="22"/>
          <w:szCs w:val="22"/>
          <w:lang w:val="es-ES_tradnl"/>
        </w:rPr>
        <w:t xml:space="preserve">como hicieron </w:t>
      </w:r>
      <w:r w:rsidR="00904483" w:rsidRPr="00F53415">
        <w:rPr>
          <w:rFonts w:ascii="Calibri Light" w:eastAsia="Times New Roman" w:hAnsi="Calibri Light" w:cs="Calibri Light"/>
          <w:sz w:val="22"/>
          <w:szCs w:val="22"/>
          <w:lang w:val="es-ES_tradnl"/>
        </w:rPr>
        <w:t xml:space="preserve">en </w:t>
      </w:r>
      <w:r w:rsidRPr="00F53415">
        <w:rPr>
          <w:rFonts w:ascii="Calibri Light" w:eastAsia="Times New Roman" w:hAnsi="Calibri Light" w:cs="Calibri Light"/>
          <w:sz w:val="22"/>
          <w:szCs w:val="22"/>
          <w:lang w:val="es-ES_tradnl"/>
        </w:rPr>
        <w:t>los Países Bajos y el Reino Unido</w:t>
      </w:r>
      <w:r w:rsidR="00904483" w:rsidRPr="00F53415">
        <w:rPr>
          <w:rFonts w:ascii="Calibri Light" w:eastAsia="Times New Roman" w:hAnsi="Calibri Light" w:cs="Calibri Light"/>
          <w:sz w:val="22"/>
          <w:szCs w:val="22"/>
          <w:lang w:val="es-ES_tradnl"/>
        </w:rPr>
        <w:t>,</w:t>
      </w:r>
      <w:r w:rsidRPr="00F53415">
        <w:rPr>
          <w:rFonts w:ascii="Calibri Light" w:eastAsia="Times New Roman" w:hAnsi="Calibri Light" w:cs="Calibri Light"/>
          <w:sz w:val="22"/>
          <w:szCs w:val="22"/>
          <w:lang w:val="es-ES_tradnl"/>
        </w:rPr>
        <w:t xml:space="preserve"> </w:t>
      </w:r>
      <w:r w:rsidR="00904483" w:rsidRPr="00F53415">
        <w:rPr>
          <w:rFonts w:ascii="Calibri Light" w:eastAsia="Times New Roman" w:hAnsi="Calibri Light" w:cs="Calibri Light"/>
          <w:sz w:val="22"/>
          <w:szCs w:val="22"/>
          <w:lang w:val="es-ES_tradnl"/>
        </w:rPr>
        <w:t xml:space="preserve">sino que </w:t>
      </w:r>
      <w:r w:rsidRPr="00F53415">
        <w:rPr>
          <w:rFonts w:ascii="Calibri Light" w:eastAsia="Times New Roman" w:hAnsi="Calibri Light" w:cs="Calibri Light"/>
          <w:sz w:val="22"/>
          <w:szCs w:val="22"/>
          <w:lang w:val="es-ES_tradnl"/>
        </w:rPr>
        <w:t>pide a la Comisión Europea que examine, en particular, "</w:t>
      </w:r>
      <w:r w:rsidRPr="00F53415">
        <w:rPr>
          <w:rFonts w:ascii="Calibri Light" w:eastAsia="Times New Roman" w:hAnsi="Calibri Light" w:cs="Calibri Light"/>
          <w:i/>
          <w:iCs/>
          <w:sz w:val="22"/>
          <w:szCs w:val="22"/>
          <w:lang w:val="es-ES_tradnl"/>
        </w:rPr>
        <w:t>el papel de los incentivos para la adecuación del asesoramiento</w:t>
      </w:r>
      <w:r w:rsidRPr="00F53415">
        <w:rPr>
          <w:rFonts w:ascii="Calibri Light" w:eastAsia="Times New Roman" w:hAnsi="Calibri Light" w:cs="Calibri Light"/>
          <w:sz w:val="22"/>
          <w:szCs w:val="22"/>
          <w:lang w:val="es-ES_tradnl"/>
        </w:rPr>
        <w:t>" y "</w:t>
      </w:r>
      <w:r w:rsidR="00904483" w:rsidRPr="00F53415">
        <w:rPr>
          <w:rFonts w:ascii="Calibri Light" w:eastAsia="Times New Roman" w:hAnsi="Calibri Light" w:cs="Calibri Light"/>
          <w:sz w:val="22"/>
          <w:szCs w:val="22"/>
          <w:lang w:val="es-ES_tradnl"/>
        </w:rPr>
        <w:t>ver cómo</w:t>
      </w:r>
      <w:r w:rsidRPr="00F53415">
        <w:rPr>
          <w:rFonts w:ascii="Calibri Light" w:eastAsia="Times New Roman" w:hAnsi="Calibri Light" w:cs="Calibri Light"/>
          <w:sz w:val="22"/>
          <w:szCs w:val="22"/>
          <w:lang w:val="es-ES_tradnl"/>
        </w:rPr>
        <w:t xml:space="preserve"> </w:t>
      </w:r>
      <w:r w:rsidRPr="00F53415">
        <w:rPr>
          <w:rFonts w:ascii="Calibri Light" w:hAnsi="Calibri Light" w:cs="Calibri Light"/>
          <w:i/>
          <w:iCs/>
          <w:sz w:val="22"/>
          <w:szCs w:val="22"/>
          <w:lang w:val="es-ES_tradnl"/>
        </w:rPr>
        <w:t>las normas de incentivos en virtud de la IDD pueden garantizar un nivel suficiente de protección del consumidor coherente con las normas de protección del inversor aplicables en virtud de la MiFID II para los productos de inversión basados en seguros</w:t>
      </w:r>
      <w:r w:rsidRPr="00F53415">
        <w:rPr>
          <w:rFonts w:ascii="Calibri Light" w:eastAsia="Times New Roman" w:hAnsi="Calibri Light" w:cs="Calibri Light"/>
          <w:sz w:val="22"/>
          <w:szCs w:val="22"/>
          <w:lang w:val="es-ES_tradnl"/>
        </w:rPr>
        <w:t xml:space="preserve">". Estos estudios deberían ir seguidos de </w:t>
      </w:r>
      <w:r w:rsidR="00904483" w:rsidRPr="00F53415">
        <w:rPr>
          <w:rFonts w:ascii="Calibri Light" w:eastAsia="Times New Roman" w:hAnsi="Calibri Light" w:cs="Calibri Light"/>
          <w:sz w:val="22"/>
          <w:szCs w:val="22"/>
          <w:lang w:val="es-ES_tradnl"/>
        </w:rPr>
        <w:t xml:space="preserve">unas </w:t>
      </w:r>
      <w:r w:rsidRPr="00F53415">
        <w:rPr>
          <w:rFonts w:ascii="Calibri Light" w:eastAsia="Times New Roman" w:hAnsi="Calibri Light" w:cs="Calibri Light"/>
          <w:sz w:val="22"/>
          <w:szCs w:val="22"/>
          <w:lang w:val="es-ES_tradnl"/>
        </w:rPr>
        <w:t>propuestas legislativas adecuadas.</w:t>
      </w:r>
    </w:p>
    <w:p w14:paraId="761BA215" w14:textId="77777777" w:rsidR="00463CEE" w:rsidRPr="00F53415" w:rsidRDefault="00463CEE">
      <w:pPr>
        <w:pStyle w:val="Default"/>
        <w:spacing w:after="120"/>
        <w:jc w:val="both"/>
        <w:rPr>
          <w:lang w:val="es-ES_tradnl"/>
        </w:rPr>
      </w:pPr>
    </w:p>
    <w:p w14:paraId="495FCB4C" w14:textId="2F374C12" w:rsidR="00C0649F" w:rsidRPr="00F53415" w:rsidRDefault="00904483">
      <w:pPr>
        <w:pStyle w:val="Default"/>
        <w:spacing w:after="120"/>
        <w:jc w:val="both"/>
        <w:rPr>
          <w:rFonts w:ascii="Calibri Light" w:eastAsia="Times New Roman" w:hAnsi="Calibri Light" w:cs="Calibri Light"/>
          <w:b/>
          <w:bCs/>
          <w:i/>
          <w:iCs/>
          <w:sz w:val="22"/>
          <w:szCs w:val="22"/>
          <w:lang w:val="es-ES_tradnl"/>
        </w:rPr>
      </w:pPr>
      <w:r w:rsidRPr="00F53415">
        <w:rPr>
          <w:rFonts w:ascii="Calibri Light" w:eastAsia="Times New Roman" w:hAnsi="Calibri Light" w:cs="Calibri Light"/>
          <w:b/>
          <w:bCs/>
          <w:i/>
          <w:iCs/>
          <w:sz w:val="22"/>
          <w:szCs w:val="22"/>
          <w:lang w:val="es-ES_tradnl"/>
        </w:rPr>
        <w:lastRenderedPageBreak/>
        <w:t>En busca de una</w:t>
      </w:r>
      <w:r w:rsidR="000E5064" w:rsidRPr="00F53415">
        <w:rPr>
          <w:rFonts w:ascii="Calibri Light" w:eastAsia="Times New Roman" w:hAnsi="Calibri Light" w:cs="Calibri Light"/>
          <w:b/>
          <w:bCs/>
          <w:i/>
          <w:iCs/>
          <w:sz w:val="22"/>
          <w:szCs w:val="22"/>
          <w:lang w:val="es-ES_tradnl"/>
        </w:rPr>
        <w:t xml:space="preserve"> divulgación de </w:t>
      </w:r>
      <w:r w:rsidRPr="00F53415">
        <w:rPr>
          <w:rFonts w:ascii="Calibri Light" w:eastAsia="Times New Roman" w:hAnsi="Calibri Light" w:cs="Calibri Light"/>
          <w:b/>
          <w:bCs/>
          <w:i/>
          <w:iCs/>
          <w:sz w:val="22"/>
          <w:szCs w:val="22"/>
          <w:lang w:val="es-ES_tradnl"/>
        </w:rPr>
        <w:t xml:space="preserve">la </w:t>
      </w:r>
      <w:r w:rsidR="000E5064" w:rsidRPr="00F53415">
        <w:rPr>
          <w:rFonts w:ascii="Calibri Light" w:eastAsia="Times New Roman" w:hAnsi="Calibri Light" w:cs="Calibri Light"/>
          <w:b/>
          <w:bCs/>
          <w:i/>
          <w:iCs/>
          <w:sz w:val="22"/>
          <w:szCs w:val="22"/>
          <w:lang w:val="es-ES_tradnl"/>
        </w:rPr>
        <w:t>información clave clara, justa, no engañosa y comparable</w:t>
      </w:r>
    </w:p>
    <w:p w14:paraId="495FCB4D" w14:textId="3B60CFB7" w:rsidR="00C0649F" w:rsidRPr="00F53415" w:rsidRDefault="000E5064">
      <w:pPr>
        <w:pStyle w:val="Default"/>
        <w:spacing w:after="120"/>
        <w:jc w:val="both"/>
        <w:rPr>
          <w:lang w:val="es-ES_tradnl"/>
        </w:rPr>
      </w:pPr>
      <w:r w:rsidRPr="00F53415">
        <w:rPr>
          <w:rFonts w:ascii="Calibri Light" w:eastAsia="Times New Roman" w:hAnsi="Calibri Light" w:cs="Calibri Light"/>
          <w:sz w:val="22"/>
          <w:szCs w:val="22"/>
          <w:lang w:val="es-ES_tradnl"/>
        </w:rPr>
        <w:t xml:space="preserve">Además, el informe atiende a los llamamientos </w:t>
      </w:r>
      <w:r w:rsidR="00904483" w:rsidRPr="00F53415">
        <w:rPr>
          <w:rFonts w:ascii="Calibri Light" w:eastAsia="Times New Roman" w:hAnsi="Calibri Light" w:cs="Calibri Light"/>
          <w:sz w:val="22"/>
          <w:szCs w:val="22"/>
          <w:lang w:val="es-ES_tradnl"/>
        </w:rPr>
        <w:t xml:space="preserve">constantes </w:t>
      </w:r>
      <w:r w:rsidRPr="00F53415">
        <w:rPr>
          <w:rFonts w:ascii="Calibri Light" w:eastAsia="Times New Roman" w:hAnsi="Calibri Light" w:cs="Calibri Light"/>
          <w:sz w:val="22"/>
          <w:szCs w:val="22"/>
          <w:lang w:val="es-ES_tradnl"/>
        </w:rPr>
        <w:t xml:space="preserve"> de BETTER FINANCE para que se mejore la divulgación de la información clave para los productos de inversión minorista </w:t>
      </w:r>
      <w:r w:rsidR="00463CEE" w:rsidRPr="00F53415">
        <w:rPr>
          <w:rFonts w:ascii="Calibri Light" w:eastAsia="Times New Roman" w:hAnsi="Calibri Light" w:cs="Calibri Light"/>
          <w:sz w:val="22"/>
          <w:szCs w:val="22"/>
          <w:lang w:val="es-ES_tradnl"/>
        </w:rPr>
        <w:t xml:space="preserve">preempaquetados </w:t>
      </w:r>
      <w:r w:rsidRPr="00F53415">
        <w:rPr>
          <w:rFonts w:ascii="Calibri Light" w:eastAsia="Times New Roman" w:hAnsi="Calibri Light" w:cs="Calibri Light"/>
          <w:sz w:val="22"/>
          <w:szCs w:val="22"/>
          <w:lang w:val="es-ES_tradnl"/>
        </w:rPr>
        <w:t xml:space="preserve">("PRIIP") </w:t>
      </w:r>
      <w:r w:rsidR="00904483" w:rsidRPr="00F53415">
        <w:rPr>
          <w:rFonts w:ascii="Calibri Light" w:eastAsia="Times New Roman" w:hAnsi="Calibri Light" w:cs="Calibri Light"/>
          <w:sz w:val="22"/>
          <w:szCs w:val="22"/>
          <w:lang w:val="es-ES_tradnl"/>
        </w:rPr>
        <w:t xml:space="preserve">y pide </w:t>
      </w:r>
      <w:r w:rsidRPr="00F53415">
        <w:rPr>
          <w:rFonts w:ascii="Calibri Light" w:eastAsia="Times New Roman" w:hAnsi="Calibri Light" w:cs="Calibri Light"/>
          <w:sz w:val="22"/>
          <w:szCs w:val="22"/>
          <w:lang w:val="es-ES_tradnl"/>
        </w:rPr>
        <w:t xml:space="preserve">a la Comisión Europea </w:t>
      </w:r>
      <w:r w:rsidRPr="00F53415">
        <w:rPr>
          <w:rFonts w:ascii="Calibri Light" w:hAnsi="Calibri Light" w:cs="Calibri Light"/>
          <w:i/>
          <w:iCs/>
          <w:sz w:val="22"/>
          <w:szCs w:val="22"/>
          <w:lang w:val="es-ES_tradnl"/>
        </w:rPr>
        <w:t xml:space="preserve">que </w:t>
      </w:r>
      <w:r w:rsidRPr="00F53415">
        <w:rPr>
          <w:rFonts w:ascii="Calibri Light" w:eastAsia="Times New Roman" w:hAnsi="Calibri Light" w:cs="Calibri Light"/>
          <w:sz w:val="22"/>
          <w:szCs w:val="22"/>
          <w:lang w:val="es-ES_tradnl"/>
        </w:rPr>
        <w:t xml:space="preserve">"revise </w:t>
      </w:r>
      <w:r w:rsidRPr="00F53415">
        <w:rPr>
          <w:rFonts w:ascii="Calibri Light" w:hAnsi="Calibri Light" w:cs="Calibri Light"/>
          <w:i/>
          <w:iCs/>
          <w:sz w:val="22"/>
          <w:szCs w:val="22"/>
          <w:lang w:val="es-ES_tradnl"/>
        </w:rPr>
        <w:t xml:space="preserve">lo antes posible, y con tiempo suficiente para evitar un conflicto con la expiración de la exención para los OICVM, el Reglamento </w:t>
      </w:r>
      <w:r w:rsidR="00904483" w:rsidRPr="00F53415">
        <w:rPr>
          <w:rFonts w:ascii="Calibri Light" w:hAnsi="Calibri Light" w:cs="Calibri Light"/>
          <w:i/>
          <w:iCs/>
          <w:sz w:val="22"/>
          <w:szCs w:val="22"/>
          <w:lang w:val="es-ES_tradnl"/>
        </w:rPr>
        <w:t xml:space="preserve">de los </w:t>
      </w:r>
      <w:r w:rsidRPr="00F53415">
        <w:rPr>
          <w:rFonts w:ascii="Calibri Light" w:hAnsi="Calibri Light" w:cs="Calibri Light"/>
          <w:i/>
          <w:iCs/>
          <w:sz w:val="22"/>
          <w:szCs w:val="22"/>
          <w:lang w:val="es-ES_tradnl"/>
        </w:rPr>
        <w:t xml:space="preserve">PRIIP para abordar las cuestiones planteadas por la mayoría de los interesados en relación con la inteligibilidad y comparabilidad de la información y la coherencia con las normas de información de la MIFID, en particular en lo que respecta a la divulgación de los resultados y </w:t>
      </w:r>
      <w:r w:rsidR="00904483" w:rsidRPr="00F53415">
        <w:rPr>
          <w:rFonts w:ascii="Calibri Light" w:hAnsi="Calibri Light" w:cs="Calibri Light"/>
          <w:i/>
          <w:iCs/>
          <w:sz w:val="22"/>
          <w:szCs w:val="22"/>
          <w:lang w:val="es-ES_tradnl"/>
        </w:rPr>
        <w:t xml:space="preserve">de </w:t>
      </w:r>
      <w:r w:rsidRPr="00F53415">
        <w:rPr>
          <w:rFonts w:ascii="Calibri Light" w:hAnsi="Calibri Light" w:cs="Calibri Light"/>
          <w:i/>
          <w:iCs/>
          <w:sz w:val="22"/>
          <w:szCs w:val="22"/>
          <w:lang w:val="es-ES_tradnl"/>
        </w:rPr>
        <w:t xml:space="preserve">los </w:t>
      </w:r>
      <w:r w:rsidR="00904483" w:rsidRPr="00F53415">
        <w:rPr>
          <w:rFonts w:ascii="Calibri Light" w:hAnsi="Calibri Light" w:cs="Calibri Light"/>
          <w:i/>
          <w:iCs/>
          <w:sz w:val="22"/>
          <w:szCs w:val="22"/>
          <w:lang w:val="es-ES_tradnl"/>
        </w:rPr>
        <w:t>costes</w:t>
      </w:r>
      <w:r w:rsidRPr="00F53415">
        <w:rPr>
          <w:rFonts w:ascii="Calibri Light" w:hAnsi="Calibri Light" w:cs="Calibri Light"/>
          <w:sz w:val="22"/>
          <w:szCs w:val="22"/>
          <w:lang w:val="es-ES_tradnl"/>
        </w:rPr>
        <w:t xml:space="preserve">". La existencia de </w:t>
      </w:r>
      <w:r w:rsidR="00904483" w:rsidRPr="00F53415">
        <w:rPr>
          <w:rFonts w:ascii="Calibri Light" w:hAnsi="Calibri Light" w:cs="Calibri Light"/>
          <w:sz w:val="22"/>
          <w:szCs w:val="22"/>
          <w:lang w:val="es-ES_tradnl"/>
        </w:rPr>
        <w:t xml:space="preserve">unos </w:t>
      </w:r>
      <w:r w:rsidRPr="00F53415">
        <w:rPr>
          <w:rFonts w:ascii="Calibri Light" w:eastAsia="Times New Roman" w:hAnsi="Calibri Light" w:cs="Calibri Light"/>
          <w:sz w:val="22"/>
          <w:szCs w:val="22"/>
          <w:lang w:val="es-ES_tradnl"/>
        </w:rPr>
        <w:t>documentos de divulgación adecuados y claros es un requisito previo para que los consumidores puedan comparar los productos y tomar decisiones de inversión con conocimiento de causa.</w:t>
      </w:r>
    </w:p>
    <w:p w14:paraId="495FCB4E" w14:textId="77777777" w:rsidR="00C0649F" w:rsidRPr="00F53415" w:rsidRDefault="00C0649F">
      <w:pPr>
        <w:pStyle w:val="Default"/>
        <w:spacing w:after="120"/>
        <w:jc w:val="both"/>
        <w:rPr>
          <w:rFonts w:ascii="Calibri Light" w:eastAsia="Times New Roman" w:hAnsi="Calibri Light" w:cs="Calibri Light"/>
          <w:sz w:val="22"/>
          <w:szCs w:val="22"/>
          <w:lang w:val="es-ES_tradnl"/>
        </w:rPr>
      </w:pPr>
    </w:p>
    <w:p w14:paraId="495FCB4F" w14:textId="77777777" w:rsidR="00C0649F" w:rsidRPr="00F53415" w:rsidRDefault="000E5064">
      <w:pPr>
        <w:pStyle w:val="Default"/>
        <w:spacing w:after="120"/>
        <w:jc w:val="both"/>
        <w:rPr>
          <w:rFonts w:ascii="Calibri Light" w:eastAsia="Times New Roman" w:hAnsi="Calibri Light" w:cs="Calibri Light"/>
          <w:b/>
          <w:bCs/>
          <w:i/>
          <w:iCs/>
          <w:sz w:val="22"/>
          <w:szCs w:val="22"/>
          <w:lang w:val="es-ES_tradnl"/>
        </w:rPr>
      </w:pPr>
      <w:r w:rsidRPr="00F53415">
        <w:rPr>
          <w:rFonts w:ascii="Calibri Light" w:eastAsia="Times New Roman" w:hAnsi="Calibri Light" w:cs="Calibri Light"/>
          <w:b/>
          <w:bCs/>
          <w:i/>
          <w:iCs/>
          <w:sz w:val="22"/>
          <w:szCs w:val="22"/>
          <w:lang w:val="es-ES_tradnl"/>
        </w:rPr>
        <w:t xml:space="preserve">Restablecer la confianza de la gente en los mercados de valores </w:t>
      </w:r>
    </w:p>
    <w:p w14:paraId="495FCB50" w14:textId="7B2C28E9" w:rsidR="00C0649F" w:rsidRPr="00F53415" w:rsidRDefault="000E5064">
      <w:pPr>
        <w:spacing w:after="120" w:line="240" w:lineRule="auto"/>
        <w:jc w:val="both"/>
        <w:rPr>
          <w:rFonts w:ascii="Calibri Light" w:eastAsia="Times New Roman" w:hAnsi="Calibri Light" w:cs="Calibri Light"/>
          <w:lang w:val="es-ES_tradnl"/>
        </w:rPr>
      </w:pPr>
      <w:r w:rsidRPr="00F53415">
        <w:rPr>
          <w:rFonts w:ascii="Calibri Light" w:eastAsia="Times New Roman" w:hAnsi="Calibri Light" w:cs="Calibri Light"/>
          <w:lang w:val="es-ES_tradnl"/>
        </w:rPr>
        <w:t xml:space="preserve">El Foro de Alto Nivel también recomienda dejar de excluir a los inversores </w:t>
      </w:r>
      <w:r w:rsidR="00904483" w:rsidRPr="00F53415">
        <w:rPr>
          <w:rFonts w:ascii="Calibri Light" w:eastAsia="Times New Roman" w:hAnsi="Calibri Light" w:cs="Calibri Light"/>
          <w:lang w:val="es-ES_tradnl"/>
        </w:rPr>
        <w:t xml:space="preserve">privados </w:t>
      </w:r>
      <w:r w:rsidRPr="00F53415">
        <w:rPr>
          <w:rFonts w:ascii="Calibri Light" w:eastAsia="Times New Roman" w:hAnsi="Calibri Light" w:cs="Calibri Light"/>
          <w:lang w:val="es-ES_tradnl"/>
        </w:rPr>
        <w:t xml:space="preserve">en acciones y bonos que cotizan en </w:t>
      </w:r>
      <w:r w:rsidR="00904483" w:rsidRPr="00F53415">
        <w:rPr>
          <w:rFonts w:ascii="Calibri Light" w:eastAsia="Times New Roman" w:hAnsi="Calibri Light" w:cs="Calibri Light"/>
          <w:lang w:val="es-ES_tradnl"/>
        </w:rPr>
        <w:t>B</w:t>
      </w:r>
      <w:r w:rsidRPr="00F53415">
        <w:rPr>
          <w:rFonts w:ascii="Calibri Light" w:eastAsia="Times New Roman" w:hAnsi="Calibri Light" w:cs="Calibri Light"/>
          <w:lang w:val="es-ES_tradnl"/>
        </w:rPr>
        <w:t xml:space="preserve">olsa del actual proyecto normativo de recurso colectivo de la UE, y promover los planes </w:t>
      </w:r>
      <w:r w:rsidR="00904483" w:rsidRPr="00F53415">
        <w:rPr>
          <w:rFonts w:ascii="Calibri Light" w:eastAsia="Times New Roman" w:hAnsi="Calibri Light" w:cs="Calibri Light"/>
          <w:lang w:val="es-ES_tradnl"/>
        </w:rPr>
        <w:t>de participación accionaria de los</w:t>
      </w:r>
      <w:r w:rsidRPr="00F53415">
        <w:rPr>
          <w:rFonts w:ascii="Calibri Light" w:eastAsia="Times New Roman" w:hAnsi="Calibri Light" w:cs="Calibri Light"/>
          <w:lang w:val="es-ES_tradnl"/>
        </w:rPr>
        <w:t xml:space="preserve"> empleados (ESOP) como una forma </w:t>
      </w:r>
      <w:r w:rsidR="00904483" w:rsidRPr="00F53415">
        <w:rPr>
          <w:rFonts w:ascii="Calibri Light" w:eastAsia="Times New Roman" w:hAnsi="Calibri Light" w:cs="Calibri Light"/>
          <w:lang w:val="es-ES_tradnl"/>
        </w:rPr>
        <w:t xml:space="preserve">potente </w:t>
      </w:r>
      <w:r w:rsidRPr="00F53415">
        <w:rPr>
          <w:rFonts w:ascii="Calibri Light" w:eastAsia="Times New Roman" w:hAnsi="Calibri Light" w:cs="Calibri Light"/>
          <w:lang w:val="es-ES_tradnl"/>
        </w:rPr>
        <w:t xml:space="preserve">de mejorar la financiación de las PYMES (hasta la fecha, los ESOP de los Estados Unidos han invertido... cien veces más en PYMES que no cotizan en </w:t>
      </w:r>
      <w:r w:rsidR="00641378" w:rsidRPr="00F53415">
        <w:rPr>
          <w:rFonts w:ascii="Calibri Light" w:eastAsia="Times New Roman" w:hAnsi="Calibri Light" w:cs="Calibri Light"/>
          <w:lang w:val="es-ES_tradnl"/>
        </w:rPr>
        <w:t>B</w:t>
      </w:r>
      <w:r w:rsidRPr="00F53415">
        <w:rPr>
          <w:rFonts w:ascii="Calibri Light" w:eastAsia="Times New Roman" w:hAnsi="Calibri Light" w:cs="Calibri Light"/>
          <w:lang w:val="es-ES_tradnl"/>
        </w:rPr>
        <w:t xml:space="preserve">olsa que </w:t>
      </w:r>
      <w:r w:rsidR="00641378" w:rsidRPr="00F53415">
        <w:rPr>
          <w:rFonts w:ascii="Calibri Light" w:eastAsia="Times New Roman" w:hAnsi="Calibri Light" w:cs="Calibri Light"/>
          <w:lang w:val="es-ES_tradnl"/>
        </w:rPr>
        <w:t>los europeos</w:t>
      </w:r>
      <w:r w:rsidRPr="00F53415">
        <w:rPr>
          <w:rFonts w:ascii="Calibri Light" w:eastAsia="Times New Roman" w:hAnsi="Calibri Light" w:cs="Calibri Light"/>
          <w:lang w:val="es-ES_tradnl"/>
        </w:rPr>
        <w:t xml:space="preserve">) y de revivir la cultura </w:t>
      </w:r>
      <w:r w:rsidR="00641378" w:rsidRPr="00F53415">
        <w:rPr>
          <w:rFonts w:ascii="Calibri Light" w:eastAsia="Times New Roman" w:hAnsi="Calibri Light" w:cs="Calibri Light"/>
          <w:lang w:val="es-ES_tradnl"/>
        </w:rPr>
        <w:t>accionarial</w:t>
      </w:r>
      <w:r w:rsidRPr="00F53415">
        <w:rPr>
          <w:rFonts w:ascii="Calibri Light" w:eastAsia="Times New Roman" w:hAnsi="Calibri Light" w:cs="Calibri Light"/>
          <w:lang w:val="es-ES_tradnl"/>
        </w:rPr>
        <w:t xml:space="preserve">, </w:t>
      </w:r>
      <w:r w:rsidR="00641378" w:rsidRPr="00F53415">
        <w:rPr>
          <w:rFonts w:ascii="Calibri Light" w:eastAsia="Times New Roman" w:hAnsi="Calibri Light" w:cs="Calibri Light"/>
          <w:lang w:val="es-ES_tradnl"/>
        </w:rPr>
        <w:t xml:space="preserve">menoscabada </w:t>
      </w:r>
      <w:r w:rsidRPr="00F53415">
        <w:rPr>
          <w:rFonts w:ascii="Calibri Light" w:eastAsia="Times New Roman" w:hAnsi="Calibri Light" w:cs="Calibri Light"/>
          <w:lang w:val="es-ES_tradnl"/>
        </w:rPr>
        <w:t>por décadas de asesoramiento minorista sesgado. El ejercicio de los derechos de voto por parte de los accionistas individuales también debería ser menos difícil.</w:t>
      </w:r>
    </w:p>
    <w:p w14:paraId="495FCB51" w14:textId="7EDFA0E2" w:rsidR="00C0649F" w:rsidRPr="00F53415" w:rsidRDefault="000E5064">
      <w:pPr>
        <w:spacing w:after="120" w:line="240" w:lineRule="auto"/>
        <w:jc w:val="both"/>
        <w:rPr>
          <w:rFonts w:ascii="Calibri Light" w:eastAsia="Times New Roman" w:hAnsi="Calibri Light" w:cs="Calibri Light"/>
          <w:b/>
          <w:bCs/>
          <w:i/>
          <w:iCs/>
          <w:lang w:val="es-ES_tradnl"/>
        </w:rPr>
      </w:pPr>
      <w:r w:rsidRPr="00F53415">
        <w:rPr>
          <w:rFonts w:ascii="Calibri Light" w:eastAsia="Times New Roman" w:hAnsi="Calibri Light" w:cs="Calibri Light"/>
          <w:b/>
          <w:bCs/>
          <w:i/>
          <w:iCs/>
          <w:lang w:val="es-ES_tradnl"/>
        </w:rPr>
        <w:t>El dinero de otras personas</w:t>
      </w:r>
    </w:p>
    <w:p w14:paraId="495FCB52" w14:textId="6EC18A66" w:rsidR="00C0649F" w:rsidRPr="00F53415" w:rsidRDefault="000E5064">
      <w:pPr>
        <w:spacing w:after="120" w:line="240" w:lineRule="auto"/>
        <w:jc w:val="both"/>
        <w:rPr>
          <w:lang w:val="es-ES_tradnl"/>
        </w:rPr>
      </w:pPr>
      <w:r w:rsidRPr="00F53415">
        <w:rPr>
          <w:rFonts w:ascii="Calibri Light" w:eastAsia="Times New Roman" w:hAnsi="Calibri Light" w:cs="Calibri Light"/>
          <w:i/>
          <w:iCs/>
          <w:lang w:val="es-ES_tradnl"/>
        </w:rPr>
        <w:t xml:space="preserve">"Aunque nos complace ver que los ciudadanos de la UE ahorradores están encontrando discretamente el lugar que les corresponde en el corazón de la Unión de Mercados de Capitales", </w:t>
      </w:r>
      <w:r w:rsidRPr="00F53415">
        <w:rPr>
          <w:rFonts w:ascii="Calibri Light" w:eastAsia="Times New Roman" w:hAnsi="Calibri Light" w:cs="Calibri Light"/>
          <w:lang w:val="es-ES_tradnl"/>
        </w:rPr>
        <w:t xml:space="preserve">subraya Guillaume Prache, "sigue existiendo </w:t>
      </w:r>
      <w:r w:rsidRPr="00F53415">
        <w:rPr>
          <w:rFonts w:ascii="Calibri Light" w:eastAsia="Times New Roman" w:hAnsi="Calibri Light" w:cs="Calibri Light"/>
          <w:i/>
          <w:iCs/>
          <w:lang w:val="es-ES_tradnl"/>
        </w:rPr>
        <w:t xml:space="preserve">un malentendido fundamental sobre la "razón de ser" de los mercados de capitales y </w:t>
      </w:r>
      <w:r w:rsidR="008D7C51" w:rsidRPr="00F53415">
        <w:rPr>
          <w:rFonts w:ascii="Calibri Light" w:eastAsia="Times New Roman" w:hAnsi="Calibri Light" w:cs="Calibri Light"/>
          <w:i/>
          <w:iCs/>
          <w:lang w:val="es-ES_tradnl"/>
        </w:rPr>
        <w:t>para quienes</w:t>
      </w:r>
      <w:r w:rsidR="00641378" w:rsidRPr="00F53415">
        <w:rPr>
          <w:rFonts w:ascii="Calibri Light" w:eastAsia="Times New Roman" w:hAnsi="Calibri Light" w:cs="Calibri Light"/>
          <w:i/>
          <w:iCs/>
          <w:lang w:val="es-ES_tradnl"/>
        </w:rPr>
        <w:t xml:space="preserve"> son</w:t>
      </w:r>
      <w:r w:rsidRPr="00F53415">
        <w:rPr>
          <w:rFonts w:ascii="Calibri Light" w:eastAsia="Times New Roman" w:hAnsi="Calibri Light" w:cs="Calibri Light"/>
          <w:i/>
          <w:iCs/>
          <w:lang w:val="es-ES_tradnl"/>
        </w:rPr>
        <w:t>: no son principalmente para los</w:t>
      </w:r>
      <w:r w:rsidR="00641378" w:rsidRPr="00F53415">
        <w:rPr>
          <w:rFonts w:ascii="Calibri Light" w:eastAsia="Times New Roman" w:hAnsi="Calibri Light" w:cs="Calibri Light"/>
          <w:i/>
          <w:iCs/>
          <w:lang w:val="es-ES_tradnl"/>
        </w:rPr>
        <w:t xml:space="preserve"> </w:t>
      </w:r>
      <w:r w:rsidRPr="00F53415">
        <w:rPr>
          <w:rFonts w:ascii="Calibri Light" w:eastAsia="Times New Roman" w:hAnsi="Calibri Light" w:cs="Calibri Light"/>
          <w:i/>
          <w:iCs/>
          <w:lang w:val="es-ES_tradnl"/>
        </w:rPr>
        <w:t>intermediarios financieros, sino para los usuarios de la economía real y los proveedores de capital: las empresas que necesitan capital para crecer y los inversores finales que proporcionan este capital. ¿Y quiénes son estos proveedores de capital, que invierten directamente o a través de fondos de pensiones, fondos de inversión o productos de inversión basados en seguros? Los ciudadanos de la UE ahorradores</w:t>
      </w:r>
      <w:r w:rsidRPr="00F53415">
        <w:rPr>
          <w:rFonts w:ascii="Calibri Light" w:eastAsia="Times New Roman" w:hAnsi="Calibri Light" w:cs="Calibri Light"/>
          <w:lang w:val="es-ES_tradnl"/>
        </w:rPr>
        <w:t>”</w:t>
      </w:r>
      <w:r w:rsidR="00B9393B">
        <w:rPr>
          <w:rFonts w:ascii="Calibri Light" w:eastAsia="Times New Roman" w:hAnsi="Calibri Light" w:cs="Calibri Light"/>
          <w:lang w:val="es-ES_tradnl"/>
        </w:rPr>
        <w:t>.</w:t>
      </w:r>
      <w:r w:rsidRPr="00F53415">
        <w:rPr>
          <w:rFonts w:ascii="Calibri Light" w:eastAsia="Times New Roman" w:hAnsi="Calibri Light" w:cs="Calibri Light"/>
          <w:lang w:val="es-ES_tradnl"/>
        </w:rPr>
        <w:t xml:space="preserve"> </w:t>
      </w:r>
    </w:p>
    <w:p w14:paraId="495FCB53" w14:textId="05165A28" w:rsidR="00C0649F" w:rsidRPr="00F53415" w:rsidRDefault="000E5064">
      <w:pPr>
        <w:spacing w:after="120" w:line="240" w:lineRule="auto"/>
        <w:jc w:val="both"/>
        <w:rPr>
          <w:lang w:val="es-ES_tradnl"/>
        </w:rPr>
      </w:pPr>
      <w:r w:rsidRPr="00F53415">
        <w:rPr>
          <w:rFonts w:ascii="Calibri Light" w:eastAsia="Times New Roman" w:hAnsi="Calibri Light" w:cs="Calibri Light"/>
          <w:lang w:val="es-ES_tradnl"/>
        </w:rPr>
        <w:t>El Sr. Prache también hace hincapié en la necesidad de un sólido respaldo político a estas recomendaciones: "</w:t>
      </w:r>
      <w:r w:rsidRPr="00F53415">
        <w:rPr>
          <w:rFonts w:ascii="Calibri Light" w:eastAsia="Times New Roman" w:hAnsi="Calibri Light" w:cs="Calibri Light"/>
          <w:i/>
          <w:iCs/>
          <w:lang w:val="es-ES_tradnl"/>
        </w:rPr>
        <w:t xml:space="preserve">Es demasiado pronto para declarar la victoria. El restablecimiento de la tan necesaria confianza entre los inversores </w:t>
      </w:r>
      <w:r w:rsidR="00641378" w:rsidRPr="00F53415">
        <w:rPr>
          <w:rFonts w:ascii="Calibri Light" w:eastAsia="Times New Roman" w:hAnsi="Calibri Light" w:cs="Calibri Light"/>
          <w:i/>
          <w:iCs/>
          <w:lang w:val="es-ES_tradnl"/>
        </w:rPr>
        <w:t xml:space="preserve">privados </w:t>
      </w:r>
      <w:r w:rsidRPr="00F53415">
        <w:rPr>
          <w:rFonts w:ascii="Calibri Light" w:eastAsia="Times New Roman" w:hAnsi="Calibri Light" w:cs="Calibri Light"/>
          <w:i/>
          <w:iCs/>
          <w:lang w:val="es-ES_tradnl"/>
        </w:rPr>
        <w:t xml:space="preserve">sólo será posible si los responsables políticos tienen en cuenta este informe y se comprometen seriamente con sus propuestas de </w:t>
      </w:r>
      <w:r w:rsidR="00B9393B" w:rsidRPr="00B9393B">
        <w:rPr>
          <w:rFonts w:asciiTheme="minorHAnsi" w:hAnsiTheme="minorHAnsi" w:cstheme="minorBidi"/>
          <w:lang w:val="es-ES"/>
        </w:rPr>
        <w:t>«</w:t>
      </w:r>
      <w:r w:rsidR="00B9393B" w:rsidRPr="00F53415">
        <w:rPr>
          <w:rFonts w:ascii="Calibri Light" w:eastAsia="Times New Roman" w:hAnsi="Calibri Light" w:cs="Calibri Light"/>
          <w:i/>
          <w:iCs/>
          <w:lang w:val="es-ES_tradnl"/>
        </w:rPr>
        <w:t>cambio de juego</w:t>
      </w:r>
      <w:r w:rsidR="00B9393B" w:rsidRPr="00B9393B">
        <w:rPr>
          <w:rFonts w:asciiTheme="minorHAnsi" w:hAnsiTheme="minorHAnsi" w:cstheme="minorBidi"/>
          <w:lang w:val="es-ES"/>
        </w:rPr>
        <w:t>»</w:t>
      </w:r>
      <w:r w:rsidRPr="00F53415">
        <w:rPr>
          <w:rFonts w:ascii="Calibri Light" w:eastAsia="Times New Roman" w:hAnsi="Calibri Light" w:cs="Calibri Light"/>
          <w:lang w:val="es-ES_tradnl"/>
        </w:rPr>
        <w:t>”</w:t>
      </w:r>
      <w:r w:rsidR="00B9393B">
        <w:rPr>
          <w:rFonts w:ascii="Calibri Light" w:eastAsia="Times New Roman" w:hAnsi="Calibri Light" w:cs="Calibri Light"/>
          <w:lang w:val="es-ES_tradnl"/>
        </w:rPr>
        <w:t>.</w:t>
      </w:r>
      <w:r w:rsidRPr="00F53415">
        <w:rPr>
          <w:rFonts w:ascii="Calibri Light" w:eastAsia="Times New Roman" w:hAnsi="Calibri Light" w:cs="Calibri Light"/>
          <w:lang w:val="es-ES_tradnl"/>
        </w:rPr>
        <w:t xml:space="preserve"> </w:t>
      </w:r>
    </w:p>
    <w:p w14:paraId="495FCB54" w14:textId="12FFC7A5" w:rsidR="00C0649F" w:rsidRPr="00F53415" w:rsidRDefault="000E5064">
      <w:pPr>
        <w:spacing w:after="120" w:line="240" w:lineRule="auto"/>
        <w:jc w:val="both"/>
        <w:rPr>
          <w:rFonts w:ascii="Calibri Light" w:eastAsia="Times New Roman" w:hAnsi="Calibri Light" w:cs="Calibri Light"/>
          <w:lang w:val="es-ES_tradnl"/>
        </w:rPr>
      </w:pPr>
      <w:r w:rsidRPr="00F53415">
        <w:rPr>
          <w:rFonts w:ascii="Calibri Light" w:eastAsia="Times New Roman" w:hAnsi="Calibri Light" w:cs="Calibri Light"/>
          <w:lang w:val="es-ES_tradnl"/>
        </w:rPr>
        <w:t xml:space="preserve">BETTER FINANCE seguirá de cerca y </w:t>
      </w:r>
      <w:r w:rsidR="001C1DB6" w:rsidRPr="00F53415">
        <w:rPr>
          <w:rFonts w:ascii="Calibri Light" w:eastAsia="Times New Roman" w:hAnsi="Calibri Light" w:cs="Calibri Light"/>
          <w:lang w:val="es-ES_tradnl"/>
        </w:rPr>
        <w:t>supervi</w:t>
      </w:r>
      <w:r w:rsidR="00641378" w:rsidRPr="00F53415">
        <w:rPr>
          <w:rFonts w:ascii="Calibri Light" w:eastAsia="Times New Roman" w:hAnsi="Calibri Light" w:cs="Calibri Light"/>
          <w:lang w:val="es-ES_tradnl"/>
        </w:rPr>
        <w:t xml:space="preserve">sará </w:t>
      </w:r>
      <w:r w:rsidRPr="00F53415">
        <w:rPr>
          <w:rFonts w:ascii="Calibri Light" w:eastAsia="Times New Roman" w:hAnsi="Calibri Light" w:cs="Calibri Light"/>
          <w:lang w:val="es-ES_tradnl"/>
        </w:rPr>
        <w:t xml:space="preserve">el </w:t>
      </w:r>
      <w:r w:rsidR="00641378" w:rsidRPr="00F53415">
        <w:rPr>
          <w:rFonts w:ascii="Calibri Light" w:eastAsia="Times New Roman" w:hAnsi="Calibri Light" w:cs="Calibri Light"/>
          <w:lang w:val="es-ES_tradnl"/>
        </w:rPr>
        <w:t>avance</w:t>
      </w:r>
      <w:r w:rsidRPr="00F53415">
        <w:rPr>
          <w:rFonts w:ascii="Calibri Light" w:eastAsia="Times New Roman" w:hAnsi="Calibri Light" w:cs="Calibri Light"/>
          <w:lang w:val="es-ES_tradnl"/>
        </w:rPr>
        <w:t>.</w:t>
      </w:r>
    </w:p>
    <w:p w14:paraId="495FCB55" w14:textId="77777777" w:rsidR="00C0649F" w:rsidRPr="00F53415" w:rsidRDefault="000E5064">
      <w:pPr>
        <w:spacing w:after="0" w:line="240" w:lineRule="auto"/>
        <w:jc w:val="center"/>
        <w:rPr>
          <w:rFonts w:ascii="Calibri Light" w:hAnsi="Calibri Light" w:cs="Calibri Light"/>
          <w:lang w:val="es-ES_tradnl"/>
        </w:rPr>
      </w:pPr>
      <w:r w:rsidRPr="00F53415">
        <w:rPr>
          <w:rFonts w:ascii="Calibri Light" w:hAnsi="Calibri Light" w:cs="Calibri Light"/>
          <w:lang w:val="es-ES_tradnl"/>
        </w:rPr>
        <w:t>***</w:t>
      </w:r>
    </w:p>
    <w:p w14:paraId="495FCB56" w14:textId="799AC54D" w:rsidR="00C0649F" w:rsidRPr="00F53415" w:rsidRDefault="000E5064">
      <w:pPr>
        <w:pStyle w:val="Textoindependiente"/>
        <w:spacing w:before="120" w:after="0" w:line="240" w:lineRule="auto"/>
        <w:jc w:val="center"/>
        <w:rPr>
          <w:lang w:val="es-ES_tradnl"/>
        </w:rPr>
      </w:pPr>
      <w:r w:rsidRPr="00F53415">
        <w:rPr>
          <w:rFonts w:ascii="Calibri Light" w:hAnsi="Calibri Light" w:cs="Calibri Light"/>
          <w:sz w:val="20"/>
          <w:u w:val="single"/>
          <w:lang w:val="es-ES_tradnl"/>
        </w:rPr>
        <w:t>Contacto</w:t>
      </w:r>
      <w:r w:rsidRPr="00F53415">
        <w:rPr>
          <w:rFonts w:ascii="Calibri Light" w:hAnsi="Calibri Light" w:cs="Calibri Light"/>
          <w:sz w:val="20"/>
          <w:lang w:val="es-ES_tradnl"/>
        </w:rPr>
        <w:t xml:space="preserve">: </w:t>
      </w:r>
      <w:r w:rsidR="00641378" w:rsidRPr="00F53415">
        <w:rPr>
          <w:rFonts w:ascii="Calibri Light" w:hAnsi="Calibri Light" w:cs="Calibri Light"/>
          <w:sz w:val="20"/>
          <w:lang w:val="es-ES_tradnl"/>
        </w:rPr>
        <w:t>Director de Comunicación</w:t>
      </w:r>
      <w:r w:rsidRPr="00F53415">
        <w:rPr>
          <w:rFonts w:ascii="Calibri Light" w:hAnsi="Calibri Light" w:cs="Calibri Light"/>
          <w:sz w:val="20"/>
          <w:lang w:val="es-ES_tradnl"/>
        </w:rPr>
        <w:t xml:space="preserve"> ǀ Arnaud Houdmont ǀ +32 (0)2 514 37 77 ǀ </w:t>
      </w:r>
      <w:hyperlink r:id="rId13" w:history="1">
        <w:r w:rsidRPr="00F53415">
          <w:rPr>
            <w:rStyle w:val="Hipervnculo"/>
            <w:rFonts w:ascii="Calibri Light" w:hAnsi="Calibri Light" w:cs="Calibri Light"/>
            <w:sz w:val="20"/>
            <w:lang w:val="es-ES_tradnl"/>
          </w:rPr>
          <w:t>houdmont@betterfinance.eu</w:t>
        </w:r>
      </w:hyperlink>
    </w:p>
    <w:p w14:paraId="495FCB57" w14:textId="77777777" w:rsidR="00C0649F" w:rsidRPr="00F53415" w:rsidRDefault="00C0649F">
      <w:pPr>
        <w:pStyle w:val="Textoindependiente"/>
        <w:spacing w:before="120" w:after="0" w:line="240" w:lineRule="auto"/>
        <w:rPr>
          <w:lang w:val="es-ES_tradnl"/>
        </w:rPr>
      </w:pPr>
    </w:p>
    <w:p w14:paraId="495FCB58" w14:textId="074E1544" w:rsidR="00C0649F" w:rsidRPr="00F53415" w:rsidRDefault="000E5064">
      <w:pPr>
        <w:pStyle w:val="Textoindependiente"/>
        <w:numPr>
          <w:ilvl w:val="0"/>
          <w:numId w:val="1"/>
        </w:numPr>
        <w:spacing w:before="120" w:after="0" w:line="240" w:lineRule="auto"/>
        <w:ind w:left="426" w:hanging="426"/>
        <w:rPr>
          <w:lang w:val="es-ES_tradnl"/>
        </w:rPr>
      </w:pPr>
      <w:r w:rsidRPr="00F53415">
        <w:rPr>
          <w:rFonts w:ascii="Calibri Light" w:hAnsi="Calibri Light" w:cs="Calibri Light"/>
          <w:color w:val="1F497D"/>
          <w:spacing w:val="0"/>
          <w:sz w:val="20"/>
          <w:u w:val="single"/>
          <w:lang w:val="es-ES_tradnl"/>
        </w:rPr>
        <w:t xml:space="preserve">Véase </w:t>
      </w:r>
      <w:r w:rsidR="00641378" w:rsidRPr="00F53415">
        <w:rPr>
          <w:rFonts w:ascii="Calibri Light" w:hAnsi="Calibri Light" w:cs="Calibri Light"/>
          <w:color w:val="1F497D"/>
          <w:spacing w:val="0"/>
          <w:sz w:val="20"/>
          <w:u w:val="single"/>
          <w:lang w:val="es-ES_tradnl"/>
        </w:rPr>
        <w:t xml:space="preserve">el Anexo en </w:t>
      </w:r>
      <w:r w:rsidRPr="00F53415">
        <w:rPr>
          <w:rFonts w:ascii="Calibri Light" w:hAnsi="Calibri Light" w:cs="Calibri Light"/>
          <w:color w:val="1F497D"/>
          <w:spacing w:val="0"/>
          <w:sz w:val="20"/>
          <w:u w:val="single"/>
          <w:lang w:val="es-ES_tradnl"/>
        </w:rPr>
        <w:t>la página siguiente</w:t>
      </w:r>
      <w:r w:rsidRPr="00F53415">
        <w:rPr>
          <w:rFonts w:ascii="Calibri Light" w:hAnsi="Calibri Light" w:cs="Calibri Light"/>
          <w:color w:val="1F497D"/>
          <w:spacing w:val="0"/>
          <w:sz w:val="20"/>
          <w:lang w:val="es-ES_tradnl"/>
        </w:rPr>
        <w:t xml:space="preserve">: "Recomendaciones del Informe Final </w:t>
      </w:r>
      <w:r w:rsidR="001C1DB6" w:rsidRPr="00F53415">
        <w:rPr>
          <w:rFonts w:ascii="Calibri Light" w:hAnsi="Calibri Light" w:cs="Calibri Light"/>
          <w:color w:val="1F497D"/>
          <w:spacing w:val="0"/>
          <w:sz w:val="20"/>
          <w:lang w:val="es-ES_tradnl"/>
        </w:rPr>
        <w:t xml:space="preserve">del HLF sobre </w:t>
      </w:r>
      <w:r w:rsidRPr="00F53415">
        <w:rPr>
          <w:rFonts w:ascii="Calibri Light" w:hAnsi="Calibri Light" w:cs="Calibri Light"/>
          <w:color w:val="1F497D"/>
          <w:spacing w:val="0"/>
          <w:sz w:val="20"/>
          <w:lang w:val="es-ES_tradnl"/>
        </w:rPr>
        <w:t xml:space="preserve">la </w:t>
      </w:r>
      <w:r w:rsidR="00641378" w:rsidRPr="00F53415">
        <w:rPr>
          <w:rFonts w:ascii="Calibri Light" w:hAnsi="Calibri Light" w:cs="Calibri Light"/>
          <w:color w:val="1F497D"/>
          <w:spacing w:val="0"/>
          <w:sz w:val="20"/>
          <w:lang w:val="es-ES_tradnl"/>
        </w:rPr>
        <w:t xml:space="preserve">UMC en comparación </w:t>
      </w:r>
      <w:r w:rsidRPr="00F53415">
        <w:rPr>
          <w:rFonts w:ascii="Calibri Light" w:hAnsi="Calibri Light" w:cs="Calibri Light"/>
          <w:color w:val="1F497D"/>
          <w:spacing w:val="0"/>
          <w:sz w:val="20"/>
          <w:lang w:val="es-ES_tradnl"/>
        </w:rPr>
        <w:t xml:space="preserve">con las prioridades clave de </w:t>
      </w:r>
      <w:r w:rsidR="00641378" w:rsidRPr="00F53415">
        <w:rPr>
          <w:rFonts w:ascii="Calibri Light" w:hAnsi="Calibri Light" w:cs="Calibri Light"/>
          <w:color w:val="1F497D"/>
          <w:spacing w:val="0"/>
          <w:sz w:val="20"/>
          <w:lang w:val="es-ES_tradnl"/>
        </w:rPr>
        <w:t>BETTER FINANCE</w:t>
      </w:r>
      <w:r w:rsidRPr="00F53415">
        <w:rPr>
          <w:rFonts w:ascii="Calibri Light" w:hAnsi="Calibri Light" w:cs="Calibri Light"/>
          <w:color w:val="1F497D"/>
          <w:spacing w:val="0"/>
          <w:sz w:val="20"/>
          <w:lang w:val="es-ES_tradnl"/>
        </w:rPr>
        <w:t xml:space="preserve"> (2019-2024)"</w:t>
      </w:r>
    </w:p>
    <w:p w14:paraId="495FCB59" w14:textId="77777777" w:rsidR="00C0649F" w:rsidRPr="00F53415" w:rsidRDefault="00C0649F">
      <w:pPr>
        <w:pageBreakBefore/>
        <w:rPr>
          <w:lang w:val="es-ES_tradnl"/>
        </w:rPr>
      </w:pPr>
    </w:p>
    <w:p w14:paraId="495FCB5A" w14:textId="77777777" w:rsidR="00261D20" w:rsidRPr="00F53415" w:rsidRDefault="00261D20">
      <w:pPr>
        <w:rPr>
          <w:lang w:val="es-ES_tradnl"/>
        </w:rPr>
        <w:sectPr w:rsidR="00261D20" w:rsidRPr="00F53415">
          <w:headerReference w:type="default" r:id="rId14"/>
          <w:footerReference w:type="default" r:id="rId15"/>
          <w:pgSz w:w="11906" w:h="16838"/>
          <w:pgMar w:top="1440" w:right="1440" w:bottom="1440" w:left="1440" w:header="708" w:footer="708" w:gutter="0"/>
          <w:cols w:space="720"/>
        </w:sectPr>
      </w:pPr>
    </w:p>
    <w:p w14:paraId="495FCB5B" w14:textId="77777777" w:rsidR="00C0649F" w:rsidRPr="00F53415" w:rsidRDefault="000E5064">
      <w:pPr>
        <w:pStyle w:val="Ttulo2"/>
        <w:spacing w:after="80"/>
        <w:jc w:val="center"/>
        <w:rPr>
          <w:rFonts w:eastAsia="Calibri" w:cs="Arial"/>
          <w:b/>
          <w:color w:val="auto"/>
          <w:spacing w:val="20"/>
          <w:kern w:val="3"/>
          <w:sz w:val="24"/>
          <w:szCs w:val="24"/>
          <w:lang w:val="es-ES_tradnl"/>
        </w:rPr>
      </w:pPr>
      <w:r w:rsidRPr="00F53415">
        <w:rPr>
          <w:rFonts w:eastAsia="Calibri" w:cs="Arial"/>
          <w:b/>
          <w:color w:val="auto"/>
          <w:spacing w:val="20"/>
          <w:kern w:val="3"/>
          <w:sz w:val="24"/>
          <w:szCs w:val="24"/>
          <w:lang w:val="es-ES_tradnl"/>
        </w:rPr>
        <w:t>COMUNICADO DE PRENSA ANEXO</w:t>
      </w:r>
    </w:p>
    <w:p w14:paraId="67B1C307" w14:textId="77777777" w:rsidR="0004540A" w:rsidRDefault="000E5064">
      <w:pPr>
        <w:pStyle w:val="Ttulo2"/>
        <w:spacing w:before="0" w:line="240" w:lineRule="auto"/>
        <w:jc w:val="center"/>
        <w:rPr>
          <w:rFonts w:eastAsia="Calibri" w:cs="Arial"/>
          <w:b/>
          <w:spacing w:val="20"/>
          <w:kern w:val="3"/>
          <w:sz w:val="28"/>
          <w:szCs w:val="28"/>
          <w:lang w:val="es-ES_tradnl"/>
        </w:rPr>
      </w:pPr>
      <w:r w:rsidRPr="00F53415">
        <w:rPr>
          <w:rFonts w:eastAsia="Calibri" w:cs="Arial"/>
          <w:b/>
          <w:spacing w:val="20"/>
          <w:kern w:val="3"/>
          <w:sz w:val="28"/>
          <w:szCs w:val="28"/>
          <w:lang w:val="es-ES_tradnl"/>
        </w:rPr>
        <w:t xml:space="preserve">Recomendaciones del Informe Final </w:t>
      </w:r>
      <w:r w:rsidR="001C1DB6" w:rsidRPr="00F53415">
        <w:rPr>
          <w:rFonts w:eastAsia="Calibri" w:cs="Arial"/>
          <w:b/>
          <w:spacing w:val="20"/>
          <w:kern w:val="3"/>
          <w:sz w:val="28"/>
          <w:szCs w:val="28"/>
          <w:lang w:val="es-ES_tradnl"/>
        </w:rPr>
        <w:t xml:space="preserve">del HLF </w:t>
      </w:r>
      <w:r w:rsidR="00463CEE">
        <w:rPr>
          <w:rFonts w:eastAsia="Calibri" w:cs="Arial"/>
          <w:b/>
          <w:spacing w:val="20"/>
          <w:kern w:val="3"/>
          <w:sz w:val="28"/>
          <w:szCs w:val="28"/>
          <w:lang w:val="es-ES_tradnl"/>
        </w:rPr>
        <w:t>sobre</w:t>
      </w:r>
      <w:r w:rsidR="00463CEE" w:rsidRPr="00F53415">
        <w:rPr>
          <w:rFonts w:eastAsia="Calibri" w:cs="Arial"/>
          <w:b/>
          <w:spacing w:val="20"/>
          <w:kern w:val="3"/>
          <w:sz w:val="28"/>
          <w:szCs w:val="28"/>
          <w:lang w:val="es-ES_tradnl"/>
        </w:rPr>
        <w:t xml:space="preserve"> </w:t>
      </w:r>
      <w:r w:rsidR="00641378" w:rsidRPr="00F53415">
        <w:rPr>
          <w:rFonts w:eastAsia="Calibri" w:cs="Arial"/>
          <w:b/>
          <w:spacing w:val="20"/>
          <w:kern w:val="3"/>
          <w:sz w:val="28"/>
          <w:szCs w:val="28"/>
          <w:lang w:val="es-ES_tradnl"/>
        </w:rPr>
        <w:t>la UMC</w:t>
      </w:r>
      <w:r w:rsidRPr="00F53415">
        <w:rPr>
          <w:rFonts w:eastAsia="Calibri" w:cs="Arial"/>
          <w:b/>
          <w:spacing w:val="20"/>
          <w:kern w:val="3"/>
          <w:sz w:val="28"/>
          <w:szCs w:val="28"/>
          <w:lang w:val="es-ES_tradnl"/>
        </w:rPr>
        <w:t xml:space="preserve"> </w:t>
      </w:r>
      <w:r w:rsidR="00641378" w:rsidRPr="00F53415">
        <w:rPr>
          <w:rFonts w:eastAsia="Calibri" w:cs="Arial"/>
          <w:b/>
          <w:spacing w:val="20"/>
          <w:kern w:val="3"/>
          <w:sz w:val="28"/>
          <w:szCs w:val="28"/>
          <w:lang w:val="es-ES_tradnl"/>
        </w:rPr>
        <w:t xml:space="preserve">en comparación </w:t>
      </w:r>
      <w:r w:rsidRPr="00F53415">
        <w:rPr>
          <w:rFonts w:eastAsia="Calibri" w:cs="Arial"/>
          <w:b/>
          <w:spacing w:val="20"/>
          <w:kern w:val="3"/>
          <w:sz w:val="28"/>
          <w:szCs w:val="28"/>
          <w:lang w:val="es-ES_tradnl"/>
        </w:rPr>
        <w:t xml:space="preserve">con las prioridades clave </w:t>
      </w:r>
    </w:p>
    <w:p w14:paraId="495FCB5C" w14:textId="47C83BFA" w:rsidR="00C0649F" w:rsidRPr="00F53415" w:rsidRDefault="000E5064">
      <w:pPr>
        <w:pStyle w:val="Ttulo2"/>
        <w:spacing w:before="0" w:line="240" w:lineRule="auto"/>
        <w:jc w:val="center"/>
        <w:rPr>
          <w:rFonts w:eastAsia="Calibri" w:cs="Arial"/>
          <w:b/>
          <w:spacing w:val="20"/>
          <w:kern w:val="3"/>
          <w:sz w:val="28"/>
          <w:szCs w:val="28"/>
          <w:lang w:val="es-ES_tradnl"/>
        </w:rPr>
      </w:pPr>
      <w:bookmarkStart w:id="4" w:name="_GoBack"/>
      <w:bookmarkEnd w:id="4"/>
      <w:r w:rsidRPr="00F53415">
        <w:rPr>
          <w:rFonts w:eastAsia="Calibri" w:cs="Arial"/>
          <w:b/>
          <w:spacing w:val="20"/>
          <w:kern w:val="3"/>
          <w:sz w:val="28"/>
          <w:szCs w:val="28"/>
          <w:lang w:val="es-ES_tradnl"/>
        </w:rPr>
        <w:t xml:space="preserve">de </w:t>
      </w:r>
      <w:r w:rsidR="00641378" w:rsidRPr="00F53415">
        <w:rPr>
          <w:rFonts w:eastAsia="Calibri" w:cs="Arial"/>
          <w:b/>
          <w:spacing w:val="20"/>
          <w:kern w:val="3"/>
          <w:sz w:val="28"/>
          <w:szCs w:val="28"/>
          <w:lang w:val="es-ES_tradnl"/>
        </w:rPr>
        <w:t>BETTER FINANCE</w:t>
      </w:r>
      <w:r w:rsidRPr="00F53415">
        <w:rPr>
          <w:rFonts w:eastAsia="Calibri" w:cs="Arial"/>
          <w:b/>
          <w:spacing w:val="20"/>
          <w:kern w:val="3"/>
          <w:sz w:val="28"/>
          <w:szCs w:val="28"/>
          <w:lang w:val="es-ES_tradnl"/>
        </w:rPr>
        <w:t xml:space="preserve"> (2019-2024)</w:t>
      </w:r>
    </w:p>
    <w:p w14:paraId="495FCB5D" w14:textId="77777777" w:rsidR="00C0649F" w:rsidRPr="00F53415" w:rsidRDefault="00C0649F">
      <w:pPr>
        <w:pBdr>
          <w:bottom w:val="single" w:sz="4" w:space="1" w:color="000000"/>
        </w:pBdr>
        <w:spacing w:after="0"/>
        <w:rPr>
          <w:rFonts w:ascii="Cambria" w:hAnsi="Cambria"/>
          <w:color w:val="0070C0"/>
          <w:sz w:val="18"/>
          <w:szCs w:val="18"/>
          <w:lang w:val="es-ES_tradnl"/>
        </w:rPr>
      </w:pPr>
    </w:p>
    <w:p w14:paraId="495FCB5E" w14:textId="77777777" w:rsidR="00C0649F" w:rsidRPr="00F53415" w:rsidRDefault="00C0649F">
      <w:pPr>
        <w:spacing w:after="0"/>
        <w:jc w:val="both"/>
        <w:rPr>
          <w:rFonts w:ascii="Cambria" w:hAnsi="Cambria" w:cs="Cambria"/>
          <w:sz w:val="18"/>
          <w:szCs w:val="18"/>
          <w:lang w:val="es-ES_tradnl"/>
        </w:rPr>
      </w:pPr>
    </w:p>
    <w:p w14:paraId="495FCB5F" w14:textId="458FDA0D" w:rsidR="00C0649F" w:rsidRPr="00F53415" w:rsidRDefault="000E5064">
      <w:pPr>
        <w:spacing w:after="120"/>
        <w:jc w:val="both"/>
        <w:rPr>
          <w:rFonts w:ascii="Calibri Light" w:hAnsi="Calibri Light" w:cs="Calibri Light"/>
          <w:sz w:val="20"/>
          <w:szCs w:val="20"/>
          <w:lang w:val="es-ES_tradnl"/>
        </w:rPr>
      </w:pPr>
      <w:r w:rsidRPr="00F53415">
        <w:rPr>
          <w:rFonts w:ascii="Calibri Light" w:hAnsi="Calibri Light" w:cs="Calibri Light"/>
          <w:sz w:val="20"/>
          <w:szCs w:val="20"/>
          <w:lang w:val="es-ES_tradnl"/>
        </w:rPr>
        <w:t>En este cuadro se enumeran las prioridades clave de BETTER FINANCE (en negrita) y la forma en que se tienen en cuenta en las recomendaciones concretas formuladas en el Informe Final del Foro de Alto Nivel sobre el futuro de la Unión de Mercados de Capitales (</w:t>
      </w:r>
      <w:r w:rsidR="001C1DB6" w:rsidRPr="00F53415">
        <w:rPr>
          <w:rFonts w:ascii="Calibri Light" w:hAnsi="Calibri Light" w:cs="Calibri Light"/>
          <w:sz w:val="20"/>
          <w:szCs w:val="20"/>
          <w:lang w:val="es-ES_tradnl"/>
        </w:rPr>
        <w:t xml:space="preserve">HLF </w:t>
      </w:r>
      <w:r w:rsidR="00463CEE">
        <w:rPr>
          <w:rFonts w:ascii="Calibri Light" w:hAnsi="Calibri Light" w:cs="Calibri Light"/>
          <w:sz w:val="20"/>
          <w:szCs w:val="20"/>
          <w:lang w:val="es-ES_tradnl"/>
        </w:rPr>
        <w:t>sobre</w:t>
      </w:r>
      <w:r w:rsidR="00463CEE" w:rsidRPr="00F53415">
        <w:rPr>
          <w:rFonts w:ascii="Calibri Light" w:hAnsi="Calibri Light" w:cs="Calibri Light"/>
          <w:sz w:val="20"/>
          <w:szCs w:val="20"/>
          <w:lang w:val="es-ES_tradnl"/>
        </w:rPr>
        <w:t xml:space="preserve"> </w:t>
      </w:r>
      <w:r w:rsidR="001C1DB6" w:rsidRPr="00F53415">
        <w:rPr>
          <w:rFonts w:ascii="Calibri Light" w:hAnsi="Calibri Light" w:cs="Calibri Light"/>
          <w:sz w:val="20"/>
          <w:szCs w:val="20"/>
          <w:lang w:val="es-ES_tradnl"/>
        </w:rPr>
        <w:t>la UMC</w:t>
      </w:r>
      <w:r w:rsidRPr="00F53415">
        <w:rPr>
          <w:rFonts w:ascii="Calibri Light" w:hAnsi="Calibri Light" w:cs="Calibri Light"/>
          <w:sz w:val="20"/>
          <w:szCs w:val="20"/>
          <w:lang w:val="es-ES_tradnl"/>
        </w:rPr>
        <w:t xml:space="preserve">), </w:t>
      </w:r>
      <w:r w:rsidR="00641378" w:rsidRPr="00F53415">
        <w:rPr>
          <w:rFonts w:ascii="Calibri Light" w:hAnsi="Calibri Light" w:cs="Calibri Light"/>
          <w:sz w:val="20"/>
          <w:szCs w:val="20"/>
          <w:lang w:val="es-ES_tradnl"/>
        </w:rPr>
        <w:t>codo con codo</w:t>
      </w:r>
      <w:r w:rsidRPr="00F53415">
        <w:rPr>
          <w:rFonts w:ascii="Calibri Light" w:hAnsi="Calibri Light" w:cs="Calibri Light"/>
          <w:sz w:val="20"/>
          <w:szCs w:val="20"/>
          <w:lang w:val="es-ES_tradnl"/>
        </w:rPr>
        <w:t>.</w:t>
      </w:r>
    </w:p>
    <w:p w14:paraId="495FCB60" w14:textId="19DCA9EB" w:rsidR="00C0649F" w:rsidRPr="00F53415" w:rsidRDefault="000E5064">
      <w:pPr>
        <w:jc w:val="both"/>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El informe final </w:t>
      </w:r>
      <w:r w:rsidR="001C1DB6" w:rsidRPr="00F53415">
        <w:rPr>
          <w:rFonts w:ascii="Calibri Light" w:hAnsi="Calibri Light" w:cs="Calibri Light"/>
          <w:sz w:val="20"/>
          <w:szCs w:val="20"/>
          <w:lang w:val="es-ES_tradnl"/>
        </w:rPr>
        <w:t xml:space="preserve">del HLF </w:t>
      </w:r>
      <w:r w:rsidR="00463CEE">
        <w:rPr>
          <w:rFonts w:ascii="Calibri Light" w:hAnsi="Calibri Light" w:cs="Calibri Light"/>
          <w:sz w:val="20"/>
          <w:szCs w:val="20"/>
          <w:lang w:val="es-ES_tradnl"/>
        </w:rPr>
        <w:t>sobre</w:t>
      </w:r>
      <w:r w:rsidR="00463CEE" w:rsidRPr="00F53415">
        <w:rPr>
          <w:rFonts w:ascii="Calibri Light" w:hAnsi="Calibri Light" w:cs="Calibri Light"/>
          <w:sz w:val="20"/>
          <w:szCs w:val="20"/>
          <w:lang w:val="es-ES_tradnl"/>
        </w:rPr>
        <w:t xml:space="preserve"> </w:t>
      </w:r>
      <w:r w:rsidRPr="00F53415">
        <w:rPr>
          <w:rFonts w:ascii="Calibri Light" w:hAnsi="Calibri Light" w:cs="Calibri Light"/>
          <w:sz w:val="20"/>
          <w:szCs w:val="20"/>
          <w:lang w:val="es-ES_tradnl"/>
        </w:rPr>
        <w:t xml:space="preserve">la </w:t>
      </w:r>
      <w:r w:rsidR="00641378" w:rsidRPr="00F53415">
        <w:rPr>
          <w:rFonts w:ascii="Calibri Light" w:hAnsi="Calibri Light" w:cs="Calibri Light"/>
          <w:sz w:val="20"/>
          <w:szCs w:val="20"/>
          <w:lang w:val="es-ES_tradnl"/>
        </w:rPr>
        <w:t xml:space="preserve">UMC </w:t>
      </w:r>
      <w:r w:rsidRPr="00F53415">
        <w:rPr>
          <w:rFonts w:ascii="Calibri Light" w:hAnsi="Calibri Light" w:cs="Calibri Light"/>
          <w:sz w:val="20"/>
          <w:szCs w:val="20"/>
          <w:lang w:val="es-ES_tradnl"/>
        </w:rPr>
        <w:t xml:space="preserve">abarca todas las prioridades clave de BF presentadas para crear una </w:t>
      </w:r>
      <w:r w:rsidR="00641378" w:rsidRPr="00F53415">
        <w:rPr>
          <w:rFonts w:ascii="Calibri Light" w:hAnsi="Calibri Light" w:cs="Calibri Light"/>
          <w:sz w:val="20"/>
          <w:szCs w:val="20"/>
          <w:lang w:val="es-ES_tradnl"/>
        </w:rPr>
        <w:t xml:space="preserve">UMC </w:t>
      </w:r>
      <w:r w:rsidRPr="00F53415">
        <w:rPr>
          <w:rFonts w:ascii="Calibri Light" w:hAnsi="Calibri Light" w:cs="Calibri Light"/>
          <w:sz w:val="20"/>
          <w:szCs w:val="20"/>
          <w:lang w:val="es-ES_tradnl"/>
        </w:rPr>
        <w:t xml:space="preserve">que </w:t>
      </w:r>
      <w:r w:rsidR="00641378" w:rsidRPr="00F53415">
        <w:rPr>
          <w:rFonts w:ascii="Calibri Light" w:hAnsi="Calibri Light" w:cs="Calibri Light"/>
          <w:sz w:val="20"/>
          <w:szCs w:val="20"/>
          <w:lang w:val="es-ES_tradnl"/>
        </w:rPr>
        <w:t xml:space="preserve">restablezca </w:t>
      </w:r>
      <w:r w:rsidRPr="00F53415">
        <w:rPr>
          <w:rFonts w:ascii="Calibri Light" w:hAnsi="Calibri Light" w:cs="Calibri Light"/>
          <w:sz w:val="20"/>
          <w:szCs w:val="20"/>
          <w:lang w:val="es-ES_tradnl"/>
        </w:rPr>
        <w:t xml:space="preserve">la confianza de los ciudadanos en la industria financiera, </w:t>
      </w:r>
      <w:r w:rsidR="00641378" w:rsidRPr="00F53415">
        <w:rPr>
          <w:rFonts w:ascii="Calibri Light" w:hAnsi="Calibri Light" w:cs="Calibri Light"/>
          <w:sz w:val="20"/>
          <w:szCs w:val="20"/>
          <w:lang w:val="es-ES_tradnl"/>
        </w:rPr>
        <w:t xml:space="preserve">para </w:t>
      </w:r>
      <w:r w:rsidRPr="00F53415">
        <w:rPr>
          <w:rFonts w:ascii="Calibri Light" w:hAnsi="Calibri Light" w:cs="Calibri Light"/>
          <w:sz w:val="20"/>
          <w:szCs w:val="20"/>
          <w:lang w:val="es-ES_tradnl"/>
        </w:rPr>
        <w:t xml:space="preserve">desactivar la bomba de </w:t>
      </w:r>
      <w:r w:rsidR="003A6769" w:rsidRPr="00F53415">
        <w:rPr>
          <w:rFonts w:ascii="Calibri Light" w:hAnsi="Calibri Light" w:cs="Calibri Light"/>
          <w:sz w:val="20"/>
          <w:szCs w:val="20"/>
          <w:lang w:val="es-ES_tradnl"/>
        </w:rPr>
        <w:t xml:space="preserve">relojería </w:t>
      </w:r>
      <w:r w:rsidRPr="00F53415">
        <w:rPr>
          <w:rFonts w:ascii="Calibri Light" w:hAnsi="Calibri Light" w:cs="Calibri Light"/>
          <w:sz w:val="20"/>
          <w:szCs w:val="20"/>
          <w:lang w:val="es-ES_tradnl"/>
        </w:rPr>
        <w:t xml:space="preserve">de las pensiones y aumentar el atractivo de los mercados de capital de la UE. Las recomendaciones de la </w:t>
      </w:r>
      <w:r w:rsidR="003A6769" w:rsidRPr="00F53415">
        <w:rPr>
          <w:rFonts w:ascii="Calibri Light" w:hAnsi="Calibri Light" w:cs="Calibri Light"/>
          <w:sz w:val="20"/>
          <w:szCs w:val="20"/>
          <w:lang w:val="es-ES_tradnl"/>
        </w:rPr>
        <w:t xml:space="preserve">UMC </w:t>
      </w:r>
      <w:r w:rsidRPr="00F53415">
        <w:rPr>
          <w:rFonts w:ascii="Calibri Light" w:hAnsi="Calibri Light" w:cs="Calibri Light"/>
          <w:sz w:val="20"/>
          <w:szCs w:val="20"/>
          <w:lang w:val="es-ES_tradnl"/>
        </w:rPr>
        <w:t>del HLF aprobaron 16 de nuestras 35 medidas clave.</w:t>
      </w:r>
    </w:p>
    <w:p w14:paraId="495FCB61" w14:textId="70BB775E" w:rsidR="00C0649F" w:rsidRPr="00F53415" w:rsidRDefault="000E5064">
      <w:pPr>
        <w:jc w:val="both"/>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La lista que figura a continuación no es exhaustiva, pero se centra en </w:t>
      </w:r>
      <w:r w:rsidR="003A6769" w:rsidRPr="00F53415">
        <w:rPr>
          <w:rFonts w:ascii="Calibri Light" w:hAnsi="Calibri Light" w:cs="Calibri Light"/>
          <w:sz w:val="20"/>
          <w:szCs w:val="20"/>
          <w:lang w:val="es-ES_tradnl"/>
        </w:rPr>
        <w:t xml:space="preserve">las </w:t>
      </w:r>
      <w:r w:rsidRPr="00F53415">
        <w:rPr>
          <w:rFonts w:ascii="Calibri Light" w:hAnsi="Calibri Light" w:cs="Calibri Light"/>
          <w:sz w:val="20"/>
          <w:szCs w:val="20"/>
          <w:lang w:val="es-ES_tradnl"/>
        </w:rPr>
        <w:t>más relevantes (</w:t>
      </w:r>
      <w:r w:rsidR="003A6769" w:rsidRPr="00F53415">
        <w:rPr>
          <w:rFonts w:ascii="Calibri Light" w:hAnsi="Calibri Light" w:cs="Calibri Light"/>
          <w:sz w:val="20"/>
          <w:szCs w:val="20"/>
          <w:lang w:val="es-ES_tradnl"/>
        </w:rPr>
        <w:t xml:space="preserve">las </w:t>
      </w:r>
      <w:r w:rsidRPr="00F53415">
        <w:rPr>
          <w:rFonts w:ascii="Calibri Light" w:hAnsi="Calibri Light" w:cs="Calibri Light"/>
          <w:sz w:val="20"/>
          <w:szCs w:val="20"/>
          <w:lang w:val="es-ES_tradnl"/>
        </w:rPr>
        <w:t xml:space="preserve">"imprescindibles") para los inversores </w:t>
      </w:r>
      <w:r w:rsidR="003A6769" w:rsidRPr="00F53415">
        <w:rPr>
          <w:rFonts w:ascii="Calibri Light" w:hAnsi="Calibri Light" w:cs="Calibri Light"/>
          <w:sz w:val="20"/>
          <w:szCs w:val="20"/>
          <w:lang w:val="es-ES_tradnl"/>
        </w:rPr>
        <w:t>privados</w:t>
      </w:r>
      <w:r w:rsidRPr="00F53415">
        <w:rPr>
          <w:rFonts w:ascii="Calibri Light" w:hAnsi="Calibri Light" w:cs="Calibri Light"/>
          <w:sz w:val="20"/>
          <w:szCs w:val="20"/>
          <w:lang w:val="es-ES_tradnl"/>
        </w:rPr>
        <w:t>.</w:t>
      </w:r>
    </w:p>
    <w:tbl>
      <w:tblPr>
        <w:tblW w:w="10485" w:type="dxa"/>
        <w:tblCellMar>
          <w:left w:w="10" w:type="dxa"/>
          <w:right w:w="10" w:type="dxa"/>
        </w:tblCellMar>
        <w:tblLook w:val="04A0" w:firstRow="1" w:lastRow="0" w:firstColumn="1" w:lastColumn="0" w:noHBand="0" w:noVBand="1"/>
      </w:tblPr>
      <w:tblGrid>
        <w:gridCol w:w="5382"/>
        <w:gridCol w:w="5103"/>
      </w:tblGrid>
      <w:tr w:rsidR="00C0649F" w:rsidRPr="00B9393B" w14:paraId="495FCB64"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62" w14:textId="62DF352D" w:rsidR="00C0649F" w:rsidRPr="00F53415" w:rsidRDefault="000E5064">
            <w:pPr>
              <w:spacing w:after="0" w:line="240" w:lineRule="auto"/>
              <w:jc w:val="center"/>
              <w:rPr>
                <w:lang w:val="es-ES_tradnl"/>
              </w:rPr>
            </w:pPr>
            <w:r w:rsidRPr="00F53415">
              <w:rPr>
                <w:rFonts w:ascii="Calibri Light" w:hAnsi="Calibri Light" w:cs="Calibri Light"/>
                <w:b/>
                <w:bCs/>
                <w:color w:val="0070C0"/>
                <w:sz w:val="20"/>
                <w:szCs w:val="20"/>
                <w:lang w:val="es-ES_tradnl"/>
              </w:rPr>
              <w:t>Prioridades clave de BF 2019 - 2024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63" w14:textId="67E3B7A8" w:rsidR="00C0649F" w:rsidRPr="00F53415" w:rsidRDefault="000E5064" w:rsidP="00463CEE">
            <w:pPr>
              <w:spacing w:after="0" w:line="240" w:lineRule="auto"/>
              <w:jc w:val="center"/>
              <w:rPr>
                <w:rFonts w:ascii="Calibri Light" w:hAnsi="Calibri Light" w:cs="Calibri Light"/>
                <w:b/>
                <w:bCs/>
                <w:sz w:val="20"/>
                <w:szCs w:val="20"/>
                <w:lang w:val="es-ES_tradnl"/>
              </w:rPr>
            </w:pPr>
            <w:r w:rsidRPr="00F53415">
              <w:rPr>
                <w:rFonts w:ascii="Calibri Light" w:hAnsi="Calibri Light" w:cs="Calibri Light"/>
                <w:b/>
                <w:bCs/>
                <w:sz w:val="20"/>
                <w:szCs w:val="20"/>
                <w:lang w:val="es-ES_tradnl"/>
              </w:rPr>
              <w:t xml:space="preserve">Recomendaciones </w:t>
            </w:r>
            <w:r w:rsidR="001E7DDB" w:rsidRPr="00F53415">
              <w:rPr>
                <w:rFonts w:ascii="Calibri Light" w:hAnsi="Calibri Light" w:cs="Calibri Light"/>
                <w:b/>
                <w:bCs/>
                <w:sz w:val="20"/>
                <w:szCs w:val="20"/>
                <w:lang w:val="es-ES_tradnl"/>
              </w:rPr>
              <w:t>del HLF</w:t>
            </w:r>
            <w:r w:rsidR="001E7DDB" w:rsidRPr="00F53415" w:rsidDel="003A6769">
              <w:rPr>
                <w:rFonts w:ascii="Calibri Light" w:hAnsi="Calibri Light" w:cs="Calibri Light"/>
                <w:b/>
                <w:bCs/>
                <w:sz w:val="20"/>
                <w:szCs w:val="20"/>
                <w:lang w:val="es-ES_tradnl"/>
              </w:rPr>
              <w:t xml:space="preserve"> </w:t>
            </w:r>
            <w:r w:rsidR="00463CEE">
              <w:rPr>
                <w:rFonts w:ascii="Calibri Light" w:hAnsi="Calibri Light" w:cs="Calibri Light"/>
                <w:b/>
                <w:bCs/>
                <w:sz w:val="20"/>
                <w:szCs w:val="20"/>
                <w:lang w:val="es-ES_tradnl"/>
              </w:rPr>
              <w:t>sobre</w:t>
            </w:r>
            <w:r w:rsidR="00463CEE" w:rsidRPr="00F53415">
              <w:rPr>
                <w:rFonts w:ascii="Calibri Light" w:hAnsi="Calibri Light" w:cs="Calibri Light"/>
                <w:b/>
                <w:bCs/>
                <w:sz w:val="20"/>
                <w:szCs w:val="20"/>
                <w:lang w:val="es-ES_tradnl"/>
              </w:rPr>
              <w:t xml:space="preserve"> </w:t>
            </w:r>
            <w:r w:rsidR="003A6769" w:rsidRPr="00F53415">
              <w:rPr>
                <w:rFonts w:ascii="Calibri Light" w:hAnsi="Calibri Light" w:cs="Calibri Light"/>
                <w:b/>
                <w:bCs/>
                <w:sz w:val="20"/>
                <w:szCs w:val="20"/>
                <w:lang w:val="es-ES_tradnl"/>
              </w:rPr>
              <w:t xml:space="preserve">la UMC </w:t>
            </w:r>
          </w:p>
        </w:tc>
      </w:tr>
      <w:tr w:rsidR="00C0649F" w:rsidRPr="00B9393B" w14:paraId="495FCB6E"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65" w14:textId="77777777" w:rsidR="00C0649F" w:rsidRPr="00F53415" w:rsidRDefault="000E5064">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t>Mejor acceso a productos simples y transparentes</w:t>
            </w:r>
          </w:p>
          <w:p w14:paraId="495FCB66" w14:textId="1776C003" w:rsidR="00C0649F" w:rsidRPr="00F53415" w:rsidRDefault="000E5064">
            <w:pPr>
              <w:spacing w:after="120" w:line="240" w:lineRule="auto"/>
              <w:jc w:val="both"/>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1) "Una mejor </w:t>
            </w:r>
            <w:r w:rsidR="003A6769" w:rsidRPr="00F53415">
              <w:rPr>
                <w:rFonts w:ascii="Calibri Light" w:hAnsi="Calibri Light" w:cs="Calibri Light"/>
                <w:sz w:val="20"/>
                <w:szCs w:val="20"/>
                <w:lang w:val="es-ES_tradnl"/>
              </w:rPr>
              <w:t xml:space="preserve">armonización </w:t>
            </w:r>
            <w:r w:rsidRPr="00F53415">
              <w:rPr>
                <w:rFonts w:ascii="Calibri Light" w:hAnsi="Calibri Light" w:cs="Calibri Light"/>
                <w:sz w:val="20"/>
                <w:szCs w:val="20"/>
                <w:lang w:val="es-ES_tradnl"/>
              </w:rPr>
              <w:t xml:space="preserve">de los incentivos de los distribuidores con las ganancias de los clientes </w:t>
            </w:r>
            <w:r w:rsidR="003A6769" w:rsidRPr="00F53415">
              <w:rPr>
                <w:rFonts w:ascii="Calibri Light" w:hAnsi="Calibri Light" w:cs="Calibri Light"/>
                <w:sz w:val="20"/>
                <w:szCs w:val="20"/>
                <w:lang w:val="es-ES_tradnl"/>
              </w:rPr>
              <w:t xml:space="preserve">mediante la minimización de </w:t>
            </w:r>
            <w:r w:rsidRPr="00F53415">
              <w:rPr>
                <w:rFonts w:ascii="Calibri Light" w:hAnsi="Calibri Light" w:cs="Calibri Light"/>
                <w:sz w:val="20"/>
                <w:szCs w:val="20"/>
                <w:lang w:val="es-ES_tradnl"/>
              </w:rPr>
              <w:t>los conflictos de intereses en la distribución..."</w:t>
            </w:r>
          </w:p>
          <w:p w14:paraId="495FCB67" w14:textId="77777777" w:rsidR="00C0649F" w:rsidRPr="00F53415" w:rsidRDefault="000E5064">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t>Asegurar la coherencia de todas las normas de protección de los usuarios financieros de la UE</w:t>
            </w:r>
          </w:p>
          <w:p w14:paraId="495FCB68" w14:textId="77777777" w:rsidR="00C0649F" w:rsidRPr="00F53415" w:rsidRDefault="000E5064">
            <w:pPr>
              <w:spacing w:after="0" w:line="240" w:lineRule="auto"/>
              <w:jc w:val="both"/>
              <w:rPr>
                <w:rFonts w:ascii="Calibri Light" w:hAnsi="Calibri Light" w:cs="Calibri Light"/>
                <w:sz w:val="20"/>
                <w:szCs w:val="20"/>
                <w:lang w:val="es-ES_tradnl"/>
              </w:rPr>
            </w:pPr>
            <w:r w:rsidRPr="00F53415">
              <w:rPr>
                <w:rFonts w:ascii="Calibri Light" w:hAnsi="Calibri Light" w:cs="Calibri Light"/>
                <w:sz w:val="20"/>
                <w:szCs w:val="20"/>
                <w:lang w:val="es-ES_tradnl"/>
              </w:rPr>
              <w:t>2) "Eliminar las incoherencias entre las normas existentes de protección de los inversores y los asegurados (por ejemplo, MiFID II y PRIIP, IDD e IBIP) (...) en particular los conflictos de intereses".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69" w14:textId="3B72EFDF" w:rsidR="00C0649F" w:rsidRPr="00F53415" w:rsidRDefault="00C7624B">
            <w:pPr>
              <w:spacing w:after="0" w:line="240" w:lineRule="auto"/>
              <w:rPr>
                <w:lang w:val="es-ES_tradnl"/>
              </w:rPr>
            </w:pPr>
            <w:r w:rsidRPr="00F53415">
              <w:rPr>
                <w:rFonts w:ascii="Calibri Light" w:hAnsi="Calibri Light" w:cs="Calibri Light"/>
                <w:b/>
                <w:bCs/>
                <w:sz w:val="20"/>
                <w:szCs w:val="20"/>
                <w:lang w:val="es-ES_tradnl"/>
              </w:rPr>
              <w:t xml:space="preserve">Cuestiones </w:t>
            </w:r>
            <w:r w:rsidR="000E5064" w:rsidRPr="00F53415">
              <w:rPr>
                <w:rFonts w:ascii="Calibri Light" w:hAnsi="Calibri Light" w:cs="Calibri Light"/>
                <w:b/>
                <w:bCs/>
                <w:sz w:val="20"/>
                <w:szCs w:val="20"/>
                <w:lang w:val="es-ES_tradnl"/>
              </w:rPr>
              <w:t xml:space="preserve">y </w:t>
            </w:r>
            <w:r w:rsidR="00A66425" w:rsidRPr="00F53415">
              <w:rPr>
                <w:rFonts w:ascii="Calibri Light" w:hAnsi="Calibri Light" w:cs="Calibri Light"/>
                <w:b/>
                <w:bCs/>
                <w:sz w:val="20"/>
                <w:szCs w:val="20"/>
                <w:lang w:val="es-ES_tradnl"/>
              </w:rPr>
              <w:t>reglas d</w:t>
            </w:r>
            <w:r w:rsidR="000E5064" w:rsidRPr="00F53415">
              <w:rPr>
                <w:rFonts w:ascii="Calibri Light" w:hAnsi="Calibri Light" w:cs="Calibri Light"/>
                <w:b/>
                <w:bCs/>
                <w:sz w:val="20"/>
                <w:szCs w:val="20"/>
                <w:lang w:val="es-ES_tradnl"/>
              </w:rPr>
              <w:t>el juego:</w:t>
            </w:r>
          </w:p>
          <w:p w14:paraId="495FCB6A" w14:textId="77777777" w:rsidR="00C0649F" w:rsidRPr="00F53415" w:rsidRDefault="000E5064">
            <w:pPr>
              <w:pStyle w:val="Prrafodelista"/>
              <w:numPr>
                <w:ilvl w:val="0"/>
                <w:numId w:val="2"/>
              </w:numPr>
              <w:spacing w:after="0" w:line="240" w:lineRule="auto"/>
              <w:ind w:left="174" w:hanging="218"/>
              <w:rPr>
                <w:lang w:val="es-ES_tradnl"/>
              </w:rPr>
            </w:pPr>
            <w:r w:rsidRPr="00F53415">
              <w:rPr>
                <w:rFonts w:ascii="Calibri Light" w:hAnsi="Calibri Light" w:cs="Calibri Light"/>
                <w:sz w:val="20"/>
                <w:szCs w:val="20"/>
                <w:lang w:val="es-ES_tradnl"/>
              </w:rPr>
              <w:t>"</w:t>
            </w:r>
            <w:r w:rsidRPr="00F53415">
              <w:rPr>
                <w:rFonts w:ascii="Calibri Light" w:hAnsi="Calibri Light" w:cs="Calibri Light"/>
                <w:i/>
                <w:iCs/>
                <w:sz w:val="20"/>
                <w:szCs w:val="20"/>
                <w:lang w:val="es-ES_tradnl"/>
              </w:rPr>
              <w:t>necesidad de que la Comisión investigue el papel de los incentivos</w:t>
            </w:r>
            <w:r w:rsidRPr="00F53415">
              <w:rPr>
                <w:rFonts w:ascii="Calibri Light" w:hAnsi="Calibri Light" w:cs="Calibri Light"/>
                <w:sz w:val="20"/>
                <w:szCs w:val="20"/>
                <w:lang w:val="es-ES_tradnl"/>
              </w:rPr>
              <w:t>"</w:t>
            </w:r>
          </w:p>
          <w:p w14:paraId="495FCB6B" w14:textId="436922DE" w:rsidR="00C0649F" w:rsidRPr="00F53415" w:rsidRDefault="000E5064">
            <w:pPr>
              <w:pStyle w:val="Default"/>
              <w:numPr>
                <w:ilvl w:val="0"/>
                <w:numId w:val="3"/>
              </w:numPr>
              <w:ind w:left="599" w:hanging="239"/>
              <w:rPr>
                <w:lang w:val="es-ES_tradnl"/>
              </w:rPr>
            </w:pPr>
            <w:r w:rsidRPr="00F53415">
              <w:rPr>
                <w:rFonts w:ascii="Calibri Light" w:hAnsi="Calibri Light" w:cs="Calibri Light"/>
                <w:i/>
                <w:iCs/>
                <w:sz w:val="20"/>
                <w:szCs w:val="20"/>
                <w:lang w:val="es-ES_tradnl"/>
              </w:rPr>
              <w:t>"</w:t>
            </w:r>
            <w:r w:rsidR="003A6769" w:rsidRPr="00F53415">
              <w:rPr>
                <w:rFonts w:ascii="Calibri Light" w:hAnsi="Calibri Light" w:cs="Calibri Light"/>
                <w:i/>
                <w:iCs/>
                <w:sz w:val="20"/>
                <w:szCs w:val="20"/>
                <w:lang w:val="es-ES_tradnl"/>
              </w:rPr>
              <w:t xml:space="preserve">estudio </w:t>
            </w:r>
            <w:r w:rsidRPr="00F53415">
              <w:rPr>
                <w:rFonts w:ascii="Calibri Light" w:hAnsi="Calibri Light" w:cs="Calibri Light"/>
                <w:i/>
                <w:iCs/>
                <w:sz w:val="20"/>
                <w:szCs w:val="20"/>
                <w:lang w:val="es-ES_tradnl"/>
              </w:rPr>
              <w:t>sobre el papel de los incentivos para la adecuación del asesoramiento".</w:t>
            </w:r>
          </w:p>
          <w:p w14:paraId="495FCB6C" w14:textId="77777777" w:rsidR="00C0649F" w:rsidRPr="00F53415" w:rsidRDefault="000E5064">
            <w:pPr>
              <w:pStyle w:val="Prrafodelista"/>
              <w:numPr>
                <w:ilvl w:val="0"/>
                <w:numId w:val="2"/>
              </w:numPr>
              <w:spacing w:after="0" w:line="240" w:lineRule="auto"/>
              <w:ind w:left="174" w:hanging="218"/>
              <w:rPr>
                <w:lang w:val="es-ES_tradnl"/>
              </w:rPr>
            </w:pPr>
            <w:r w:rsidRPr="00F53415">
              <w:rPr>
                <w:rFonts w:ascii="Calibri Light" w:hAnsi="Calibri Light" w:cs="Calibri Light"/>
                <w:sz w:val="20"/>
                <w:szCs w:val="20"/>
                <w:lang w:val="es-ES_tradnl"/>
              </w:rPr>
              <w:t>"</w:t>
            </w:r>
            <w:r w:rsidRPr="00F53415">
              <w:rPr>
                <w:rFonts w:ascii="Calibri Light" w:hAnsi="Calibri Light" w:cs="Calibri Light"/>
                <w:i/>
                <w:iCs/>
                <w:sz w:val="20"/>
                <w:szCs w:val="20"/>
                <w:lang w:val="es-ES_tradnl"/>
              </w:rPr>
              <w:t>normas más armonizadas sobre los incentivos en la legislación sectorial</w:t>
            </w:r>
            <w:r w:rsidRPr="00F53415">
              <w:rPr>
                <w:rFonts w:ascii="Calibri Light" w:hAnsi="Calibri Light" w:cs="Calibri Light"/>
                <w:sz w:val="20"/>
                <w:szCs w:val="20"/>
                <w:lang w:val="es-ES_tradnl"/>
              </w:rPr>
              <w:t xml:space="preserve">" </w:t>
            </w:r>
          </w:p>
          <w:p w14:paraId="495FCB6D" w14:textId="336B64DB" w:rsidR="00C0649F" w:rsidRPr="00F53415" w:rsidRDefault="000E5064">
            <w:pPr>
              <w:pStyle w:val="Default"/>
              <w:numPr>
                <w:ilvl w:val="0"/>
                <w:numId w:val="3"/>
              </w:numPr>
              <w:ind w:left="599" w:hanging="239"/>
              <w:rPr>
                <w:lang w:val="es-ES_tradnl"/>
              </w:rPr>
            </w:pPr>
            <w:r w:rsidRPr="00F53415">
              <w:rPr>
                <w:rFonts w:ascii="Calibri Light" w:hAnsi="Calibri Light" w:cs="Calibri Light"/>
                <w:i/>
                <w:iCs/>
                <w:sz w:val="20"/>
                <w:szCs w:val="20"/>
                <w:lang w:val="es-ES_tradnl"/>
              </w:rPr>
              <w:t>"Enmiendas a</w:t>
            </w:r>
            <w:r w:rsidR="003A6769" w:rsidRPr="00F53415">
              <w:rPr>
                <w:rFonts w:ascii="Calibri Light" w:hAnsi="Calibri Light" w:cs="Calibri Light"/>
                <w:i/>
                <w:iCs/>
                <w:sz w:val="20"/>
                <w:szCs w:val="20"/>
                <w:lang w:val="es-ES_tradnl"/>
              </w:rPr>
              <w:t>l</w:t>
            </w:r>
            <w:r w:rsidRPr="00F53415">
              <w:rPr>
                <w:rFonts w:ascii="Calibri Light" w:hAnsi="Calibri Light" w:cs="Calibri Light"/>
                <w:i/>
                <w:iCs/>
                <w:sz w:val="20"/>
                <w:szCs w:val="20"/>
                <w:lang w:val="es-ES_tradnl"/>
              </w:rPr>
              <w:t xml:space="preserve"> IDD</w:t>
            </w:r>
            <w:r w:rsidR="003A6769" w:rsidRPr="00F53415">
              <w:rPr>
                <w:rFonts w:ascii="Calibri Light" w:hAnsi="Calibri Light" w:cs="Calibri Light"/>
                <w:i/>
                <w:iCs/>
                <w:sz w:val="20"/>
                <w:szCs w:val="20"/>
                <w:lang w:val="es-ES_tradnl"/>
              </w:rPr>
              <w:t xml:space="preserve"> y la</w:t>
            </w:r>
            <w:r w:rsidRPr="00F53415">
              <w:rPr>
                <w:rFonts w:ascii="Calibri Light" w:hAnsi="Calibri Light" w:cs="Calibri Light"/>
                <w:i/>
                <w:iCs/>
                <w:sz w:val="20"/>
                <w:szCs w:val="20"/>
                <w:lang w:val="es-ES_tradnl"/>
              </w:rPr>
              <w:t xml:space="preserve"> MiFID II para mejorar la equidad y la calidad del asesoramiento financiero" </w:t>
            </w:r>
          </w:p>
        </w:tc>
      </w:tr>
      <w:tr w:rsidR="00C0649F" w:rsidRPr="00B9393B" w14:paraId="495FCB84"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6F" w14:textId="3A0906F7" w:rsidR="00C0649F" w:rsidRPr="00F53415" w:rsidRDefault="000E5064">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t>Hacer que los mercados de capital europeos sean más atractivos para los ciudadanos de la UE ahorradores e inversores</w:t>
            </w:r>
          </w:p>
          <w:p w14:paraId="495FCB70" w14:textId="77777777" w:rsidR="00C0649F" w:rsidRPr="00F53415" w:rsidRDefault="000E5064">
            <w:pPr>
              <w:spacing w:after="0" w:line="240" w:lineRule="auto"/>
              <w:rPr>
                <w:rFonts w:ascii="Calibri Light" w:hAnsi="Calibri Light" w:cs="Calibri Light"/>
                <w:sz w:val="20"/>
                <w:szCs w:val="20"/>
                <w:lang w:val="es-ES_tradnl"/>
              </w:rPr>
            </w:pPr>
            <w:r w:rsidRPr="00F53415">
              <w:rPr>
                <w:rFonts w:ascii="Calibri Light" w:hAnsi="Calibri Light" w:cs="Calibri Light"/>
                <w:sz w:val="20"/>
                <w:szCs w:val="20"/>
                <w:lang w:val="es-ES_tradnl"/>
              </w:rPr>
              <w:t>3) "garantizar la aplicación adecuada de las normas de la UE contra la venta engañosa"</w:t>
            </w:r>
          </w:p>
          <w:p w14:paraId="495FCB71" w14:textId="77777777" w:rsidR="00C0649F" w:rsidRPr="00F53415" w:rsidRDefault="000E5064">
            <w:pPr>
              <w:spacing w:after="0" w:line="240" w:lineRule="auto"/>
              <w:rPr>
                <w:rFonts w:ascii="Calibri Light" w:hAnsi="Calibri Light" w:cs="Calibri Light"/>
                <w:sz w:val="20"/>
                <w:szCs w:val="20"/>
                <w:lang w:val="es-ES_tradnl"/>
              </w:rPr>
            </w:pPr>
            <w:r w:rsidRPr="00F53415">
              <w:rPr>
                <w:rFonts w:ascii="Calibri Light" w:hAnsi="Calibri Light" w:cs="Calibri Light"/>
                <w:sz w:val="20"/>
                <w:szCs w:val="20"/>
                <w:lang w:val="es-ES_tradnl"/>
              </w:rPr>
              <w:t>4) "usar los impuestos como un incentivo, no como un castigo"</w:t>
            </w:r>
          </w:p>
          <w:p w14:paraId="495FCB72" w14:textId="77777777" w:rsidR="00C0649F" w:rsidRPr="00F53415" w:rsidRDefault="000E5064">
            <w:pPr>
              <w:spacing w:after="120" w:line="240" w:lineRule="auto"/>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5) "aumentar la responsabilidad de los inversores institucionales" </w:t>
            </w:r>
          </w:p>
          <w:p w14:paraId="495FCB73" w14:textId="185528EB" w:rsidR="00C0649F" w:rsidRPr="00F53415" w:rsidRDefault="000E5064">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t xml:space="preserve">Asegurar </w:t>
            </w:r>
            <w:r w:rsidR="003A6769" w:rsidRPr="00F53415">
              <w:rPr>
                <w:rFonts w:ascii="Calibri Light" w:hAnsi="Calibri Light" w:cs="Calibri Light"/>
                <w:b/>
                <w:bCs/>
                <w:color w:val="0070C0"/>
                <w:sz w:val="20"/>
                <w:szCs w:val="20"/>
                <w:lang w:val="es-ES_tradnl"/>
              </w:rPr>
              <w:t xml:space="preserve">un </w:t>
            </w:r>
            <w:r w:rsidRPr="00F53415">
              <w:rPr>
                <w:rFonts w:ascii="Calibri Light" w:hAnsi="Calibri Light" w:cs="Calibri Light"/>
                <w:b/>
                <w:bCs/>
                <w:color w:val="0070C0"/>
                <w:sz w:val="20"/>
                <w:szCs w:val="20"/>
                <w:lang w:val="es-ES_tradnl"/>
              </w:rPr>
              <w:t xml:space="preserve">acceso justo e igualitario </w:t>
            </w:r>
            <w:r w:rsidR="003A6769" w:rsidRPr="00F53415">
              <w:rPr>
                <w:rFonts w:ascii="Calibri Light" w:hAnsi="Calibri Light" w:cs="Calibri Light"/>
                <w:b/>
                <w:bCs/>
                <w:color w:val="0070C0"/>
                <w:sz w:val="20"/>
                <w:szCs w:val="20"/>
                <w:lang w:val="es-ES_tradnl"/>
              </w:rPr>
              <w:t>al resarcimiento</w:t>
            </w:r>
          </w:p>
          <w:p w14:paraId="495FCB74" w14:textId="77777777" w:rsidR="00C0649F" w:rsidRPr="00F53415" w:rsidRDefault="000E5064">
            <w:pPr>
              <w:spacing w:after="0" w:line="240" w:lineRule="auto"/>
              <w:rPr>
                <w:rFonts w:ascii="Calibri Light" w:hAnsi="Calibri Light" w:cs="Calibri Light"/>
                <w:sz w:val="20"/>
                <w:szCs w:val="20"/>
                <w:lang w:val="es-ES_tradnl"/>
              </w:rPr>
            </w:pPr>
            <w:r w:rsidRPr="00F53415">
              <w:rPr>
                <w:rFonts w:ascii="Calibri Light" w:hAnsi="Calibri Light" w:cs="Calibri Light"/>
                <w:sz w:val="20"/>
                <w:szCs w:val="20"/>
                <w:lang w:val="es-ES_tradnl"/>
              </w:rPr>
              <w:t>6) "Introducir normas comunes para el resarcimiento colectivo de todos los inversores de la UE"</w:t>
            </w:r>
          </w:p>
          <w:p w14:paraId="495FCB75" w14:textId="77777777" w:rsidR="00C0649F" w:rsidRPr="00F53415" w:rsidRDefault="00C0649F">
            <w:pPr>
              <w:spacing w:after="0" w:line="240" w:lineRule="auto"/>
              <w:rPr>
                <w:rFonts w:ascii="Calibri Light" w:hAnsi="Calibri Light" w:cs="Calibri Light"/>
                <w:sz w:val="20"/>
                <w:szCs w:val="20"/>
                <w:lang w:val="es-ES_tradnl"/>
              </w:rPr>
            </w:pPr>
          </w:p>
          <w:p w14:paraId="495FCB76" w14:textId="77777777" w:rsidR="00C0649F" w:rsidRPr="00F53415" w:rsidRDefault="00C0649F">
            <w:pPr>
              <w:spacing w:after="0" w:line="240" w:lineRule="auto"/>
              <w:rPr>
                <w:rFonts w:ascii="Calibri Light" w:hAnsi="Calibri Light" w:cs="Calibri Light"/>
                <w:sz w:val="20"/>
                <w:szCs w:val="20"/>
                <w:lang w:val="es-ES_tradn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77" w14:textId="40EBB3FC" w:rsidR="00C0649F" w:rsidRPr="00F53415" w:rsidRDefault="00C7624B">
            <w:pPr>
              <w:spacing w:after="0" w:line="240" w:lineRule="auto"/>
              <w:rPr>
                <w:rFonts w:ascii="Calibri Light" w:hAnsi="Calibri Light" w:cs="Calibri Light"/>
                <w:b/>
                <w:bCs/>
                <w:sz w:val="20"/>
                <w:szCs w:val="20"/>
                <w:lang w:val="es-ES_tradnl"/>
              </w:rPr>
            </w:pPr>
            <w:r w:rsidRPr="00F53415">
              <w:rPr>
                <w:rFonts w:ascii="Calibri Light" w:hAnsi="Calibri Light" w:cs="Calibri Light"/>
                <w:b/>
                <w:bCs/>
                <w:sz w:val="20"/>
                <w:szCs w:val="20"/>
                <w:lang w:val="es-ES_tradnl"/>
              </w:rPr>
              <w:t xml:space="preserve">Cuestiones </w:t>
            </w:r>
            <w:r w:rsidR="000E5064" w:rsidRPr="00F53415">
              <w:rPr>
                <w:rFonts w:ascii="Calibri Light" w:hAnsi="Calibri Light" w:cs="Calibri Light"/>
                <w:b/>
                <w:bCs/>
                <w:sz w:val="20"/>
                <w:szCs w:val="20"/>
                <w:lang w:val="es-ES_tradnl"/>
              </w:rPr>
              <w:t xml:space="preserve">y </w:t>
            </w:r>
            <w:r w:rsidR="00A66425" w:rsidRPr="00F53415">
              <w:rPr>
                <w:rFonts w:ascii="Calibri Light" w:hAnsi="Calibri Light" w:cs="Calibri Light"/>
                <w:b/>
                <w:bCs/>
                <w:sz w:val="20"/>
                <w:szCs w:val="20"/>
                <w:lang w:val="es-ES_tradnl"/>
              </w:rPr>
              <w:t>reglas d</w:t>
            </w:r>
            <w:r w:rsidR="000E5064" w:rsidRPr="00F53415">
              <w:rPr>
                <w:rFonts w:ascii="Calibri Light" w:hAnsi="Calibri Light" w:cs="Calibri Light"/>
                <w:b/>
                <w:bCs/>
                <w:sz w:val="20"/>
                <w:szCs w:val="20"/>
                <w:lang w:val="es-ES_tradnl"/>
              </w:rPr>
              <w:t>el juego:</w:t>
            </w:r>
          </w:p>
          <w:p w14:paraId="495FCB78" w14:textId="410D95B3" w:rsidR="00C0649F" w:rsidRPr="00F53415" w:rsidRDefault="000E5064">
            <w:pPr>
              <w:pStyle w:val="Prrafodelista"/>
              <w:numPr>
                <w:ilvl w:val="0"/>
                <w:numId w:val="2"/>
              </w:numPr>
              <w:spacing w:after="0" w:line="240" w:lineRule="auto"/>
              <w:ind w:left="176" w:hanging="214"/>
              <w:jc w:val="both"/>
              <w:rPr>
                <w:lang w:val="es-ES_tradnl"/>
              </w:rPr>
            </w:pPr>
            <w:r w:rsidRPr="00F53415">
              <w:rPr>
                <w:rFonts w:ascii="Calibri Light" w:hAnsi="Calibri Light" w:cs="Calibri Light"/>
                <w:i/>
                <w:iCs/>
                <w:sz w:val="20"/>
                <w:szCs w:val="20"/>
                <w:lang w:val="es-ES_tradnl"/>
              </w:rPr>
              <w:t xml:space="preserve">"La confianza de los ciudadanos en los mercados de capital debe </w:t>
            </w:r>
            <w:r w:rsidR="001C1DB6" w:rsidRPr="00F53415">
              <w:rPr>
                <w:rFonts w:ascii="Calibri Light" w:hAnsi="Calibri Light" w:cs="Calibri Light"/>
                <w:i/>
                <w:iCs/>
                <w:sz w:val="20"/>
                <w:szCs w:val="20"/>
                <w:lang w:val="es-ES_tradnl"/>
              </w:rPr>
              <w:t xml:space="preserve">consolidarse </w:t>
            </w:r>
            <w:r w:rsidRPr="00F53415">
              <w:rPr>
                <w:rFonts w:ascii="Calibri Light" w:hAnsi="Calibri Light" w:cs="Calibri Light"/>
                <w:i/>
                <w:iCs/>
                <w:sz w:val="20"/>
                <w:szCs w:val="20"/>
                <w:lang w:val="es-ES_tradnl"/>
              </w:rPr>
              <w:t xml:space="preserve">aún más </w:t>
            </w:r>
            <w:r w:rsidR="001C1DB6" w:rsidRPr="00F53415">
              <w:rPr>
                <w:rFonts w:ascii="Calibri Light" w:hAnsi="Calibri Light" w:cs="Calibri Light"/>
                <w:i/>
                <w:iCs/>
                <w:sz w:val="20"/>
                <w:szCs w:val="20"/>
                <w:lang w:val="es-ES_tradnl"/>
              </w:rPr>
              <w:t>con la</w:t>
            </w:r>
            <w:r w:rsidR="003A6769" w:rsidRPr="00F53415">
              <w:rPr>
                <w:rFonts w:ascii="Calibri Light" w:hAnsi="Calibri Light" w:cs="Calibri Light"/>
                <w:i/>
                <w:iCs/>
                <w:sz w:val="20"/>
                <w:szCs w:val="20"/>
                <w:lang w:val="es-ES_tradnl"/>
              </w:rPr>
              <w:t xml:space="preserve"> garantía de </w:t>
            </w:r>
            <w:r w:rsidRPr="00F53415">
              <w:rPr>
                <w:rFonts w:ascii="Calibri Light" w:hAnsi="Calibri Light" w:cs="Calibri Light"/>
                <w:i/>
                <w:iCs/>
                <w:sz w:val="20"/>
                <w:szCs w:val="20"/>
                <w:lang w:val="es-ES_tradnl"/>
              </w:rPr>
              <w:t xml:space="preserve">que los instrumentos de </w:t>
            </w:r>
            <w:r w:rsidR="003A6769" w:rsidRPr="00F53415">
              <w:rPr>
                <w:rFonts w:ascii="Calibri Light" w:hAnsi="Calibri Light" w:cs="Calibri Light"/>
                <w:i/>
                <w:iCs/>
                <w:sz w:val="20"/>
                <w:szCs w:val="20"/>
                <w:lang w:val="es-ES_tradnl"/>
              </w:rPr>
              <w:t xml:space="preserve">resarcimiento </w:t>
            </w:r>
            <w:r w:rsidRPr="00F53415">
              <w:rPr>
                <w:rFonts w:ascii="Calibri Light" w:hAnsi="Calibri Light" w:cs="Calibri Light"/>
                <w:i/>
                <w:iCs/>
                <w:sz w:val="20"/>
                <w:szCs w:val="20"/>
                <w:lang w:val="es-ES_tradnl"/>
              </w:rPr>
              <w:t>colectiv</w:t>
            </w:r>
            <w:r w:rsidR="003A6769" w:rsidRPr="00F53415">
              <w:rPr>
                <w:rFonts w:ascii="Calibri Light" w:hAnsi="Calibri Light" w:cs="Calibri Light"/>
                <w:i/>
                <w:iCs/>
                <w:sz w:val="20"/>
                <w:szCs w:val="20"/>
                <w:lang w:val="es-ES_tradnl"/>
              </w:rPr>
              <w:t>o</w:t>
            </w:r>
            <w:r w:rsidRPr="00F53415">
              <w:rPr>
                <w:rFonts w:ascii="Calibri Light" w:hAnsi="Calibri Light" w:cs="Calibri Light"/>
                <w:i/>
                <w:iCs/>
                <w:sz w:val="20"/>
                <w:szCs w:val="20"/>
                <w:lang w:val="es-ES_tradnl"/>
              </w:rPr>
              <w:t xml:space="preserve"> tengan el alcance adecuado y sean eficaces</w:t>
            </w:r>
            <w:r w:rsidRPr="00F53415">
              <w:rPr>
                <w:rFonts w:ascii="Calibri Light" w:hAnsi="Calibri Light" w:cs="Calibri Light"/>
                <w:sz w:val="20"/>
                <w:szCs w:val="20"/>
                <w:lang w:val="es-ES_tradnl"/>
              </w:rPr>
              <w:t>".</w:t>
            </w:r>
          </w:p>
          <w:p w14:paraId="495FCB79" w14:textId="4618BDEA" w:rsidR="00C0649F" w:rsidRPr="00F53415" w:rsidRDefault="000E5064">
            <w:pPr>
              <w:pStyle w:val="Prrafodelista"/>
              <w:numPr>
                <w:ilvl w:val="1"/>
                <w:numId w:val="2"/>
              </w:numPr>
              <w:spacing w:after="0" w:line="240" w:lineRule="auto"/>
              <w:ind w:left="599" w:hanging="219"/>
              <w:jc w:val="both"/>
              <w:rPr>
                <w:lang w:val="es-ES_tradnl"/>
              </w:rPr>
            </w:pPr>
            <w:r w:rsidRPr="00F53415">
              <w:rPr>
                <w:rFonts w:ascii="Calibri Light" w:hAnsi="Calibri Light" w:cs="Calibri Light"/>
                <w:i/>
                <w:iCs/>
                <w:sz w:val="20"/>
                <w:szCs w:val="20"/>
                <w:lang w:val="es-ES_tradnl"/>
              </w:rPr>
              <w:t>"</w:t>
            </w:r>
            <w:r w:rsidRPr="00F53415">
              <w:rPr>
                <w:rFonts w:ascii="Calibri Light" w:hAnsi="Calibri Light" w:cs="Calibri Light"/>
                <w:b/>
                <w:bCs/>
                <w:i/>
                <w:iCs/>
                <w:sz w:val="20"/>
                <w:szCs w:val="20"/>
                <w:lang w:val="es-ES_tradnl"/>
              </w:rPr>
              <w:t xml:space="preserve">El </w:t>
            </w:r>
            <w:r w:rsidR="003A6769" w:rsidRPr="00F53415">
              <w:rPr>
                <w:rFonts w:ascii="Calibri Light" w:hAnsi="Calibri Light" w:cs="Calibri Light"/>
                <w:b/>
                <w:bCs/>
                <w:i/>
                <w:iCs/>
                <w:sz w:val="20"/>
                <w:szCs w:val="20"/>
                <w:lang w:val="es-ES_tradnl"/>
              </w:rPr>
              <w:t xml:space="preserve">HLF </w:t>
            </w:r>
            <w:r w:rsidRPr="00F53415">
              <w:rPr>
                <w:rFonts w:ascii="Calibri Light" w:hAnsi="Calibri Light" w:cs="Calibri Light"/>
                <w:b/>
                <w:bCs/>
                <w:i/>
                <w:iCs/>
                <w:sz w:val="20"/>
                <w:szCs w:val="20"/>
                <w:lang w:val="es-ES_tradnl"/>
              </w:rPr>
              <w:t xml:space="preserve">pide a los colegisladores que no discriminen las inversiones directas individuales de los inversores minoristas en instrumentos de renta variable y fija, </w:t>
            </w:r>
            <w:r w:rsidR="003A6769" w:rsidRPr="00F53415">
              <w:rPr>
                <w:rFonts w:ascii="Calibri Light" w:hAnsi="Calibri Light" w:cs="Calibri Light"/>
                <w:b/>
                <w:bCs/>
                <w:i/>
                <w:iCs/>
                <w:sz w:val="20"/>
                <w:szCs w:val="20"/>
                <w:lang w:val="es-ES_tradnl"/>
              </w:rPr>
              <w:t xml:space="preserve">y las incluya </w:t>
            </w:r>
            <w:r w:rsidRPr="00F53415">
              <w:rPr>
                <w:rFonts w:ascii="Calibri Light" w:hAnsi="Calibri Light" w:cs="Calibri Light"/>
                <w:b/>
                <w:bCs/>
                <w:i/>
                <w:iCs/>
                <w:sz w:val="20"/>
                <w:szCs w:val="20"/>
                <w:lang w:val="es-ES_tradnl"/>
              </w:rPr>
              <w:t xml:space="preserve">en el ámbito de aplicación de la Directiva sobre acciones representativas para la protección de los intereses colectivos de los consumidores </w:t>
            </w:r>
            <w:r w:rsidRPr="00F53415">
              <w:rPr>
                <w:rFonts w:ascii="Calibri Light" w:hAnsi="Calibri Light" w:cs="Calibri Light"/>
                <w:sz w:val="20"/>
                <w:szCs w:val="20"/>
                <w:lang w:val="es-ES_tradnl"/>
              </w:rPr>
              <w:t xml:space="preserve">(...) </w:t>
            </w:r>
            <w:r w:rsidRPr="00F53415">
              <w:rPr>
                <w:rFonts w:ascii="Calibri Light" w:hAnsi="Calibri Light" w:cs="Calibri Light"/>
                <w:b/>
                <w:bCs/>
                <w:i/>
                <w:iCs/>
                <w:sz w:val="20"/>
                <w:szCs w:val="20"/>
                <w:lang w:val="es-ES_tradnl"/>
              </w:rPr>
              <w:t xml:space="preserve">mediante la inclusión del </w:t>
            </w:r>
            <w:r w:rsidR="001E7DDB" w:rsidRPr="00F53415">
              <w:rPr>
                <w:rFonts w:ascii="Calibri Light" w:hAnsi="Calibri Light" w:cs="Calibri Light"/>
                <w:b/>
                <w:bCs/>
                <w:i/>
                <w:iCs/>
                <w:sz w:val="20"/>
                <w:szCs w:val="20"/>
                <w:lang w:val="es-ES_tradnl"/>
              </w:rPr>
              <w:t xml:space="preserve">MAR </w:t>
            </w:r>
            <w:r w:rsidRPr="00F53415">
              <w:rPr>
                <w:rFonts w:ascii="Calibri Light" w:hAnsi="Calibri Light" w:cs="Calibri Light"/>
                <w:b/>
                <w:bCs/>
                <w:i/>
                <w:iCs/>
                <w:sz w:val="20"/>
                <w:szCs w:val="20"/>
                <w:lang w:val="es-ES_tradnl"/>
              </w:rPr>
              <w:t xml:space="preserve">y la </w:t>
            </w:r>
            <w:r w:rsidR="001E7DDB" w:rsidRPr="00F53415">
              <w:rPr>
                <w:rFonts w:ascii="Calibri Light" w:hAnsi="Calibri Light" w:cs="Calibri Light"/>
                <w:b/>
                <w:bCs/>
                <w:i/>
                <w:iCs/>
                <w:sz w:val="20"/>
                <w:szCs w:val="20"/>
                <w:lang w:val="es-ES_tradnl"/>
              </w:rPr>
              <w:t xml:space="preserve">SRD </w:t>
            </w:r>
            <w:r w:rsidRPr="00F53415">
              <w:rPr>
                <w:rFonts w:ascii="Calibri Light" w:hAnsi="Calibri Light" w:cs="Calibri Light"/>
                <w:b/>
                <w:bCs/>
                <w:i/>
                <w:iCs/>
                <w:sz w:val="20"/>
                <w:szCs w:val="20"/>
                <w:lang w:val="es-ES_tradnl"/>
              </w:rPr>
              <w:t>en su Anexo I".</w:t>
            </w:r>
          </w:p>
          <w:p w14:paraId="495FCB7A" w14:textId="77777777" w:rsidR="00C0649F" w:rsidRPr="00F53415" w:rsidRDefault="000E5064">
            <w:pPr>
              <w:pStyle w:val="Prrafodelista"/>
              <w:numPr>
                <w:ilvl w:val="0"/>
                <w:numId w:val="2"/>
              </w:numPr>
              <w:spacing w:after="0" w:line="240" w:lineRule="auto"/>
              <w:ind w:left="176" w:hanging="214"/>
              <w:jc w:val="both"/>
              <w:rPr>
                <w:lang w:val="es-ES_tradnl"/>
              </w:rPr>
            </w:pPr>
            <w:r w:rsidRPr="00F53415">
              <w:rPr>
                <w:rFonts w:ascii="Calibri Light" w:hAnsi="Calibri Light" w:cs="Calibri Light"/>
                <w:sz w:val="20"/>
                <w:szCs w:val="20"/>
                <w:lang w:val="es-ES_tradnl"/>
              </w:rPr>
              <w:t>"</w:t>
            </w:r>
            <w:r w:rsidRPr="00F53415">
              <w:rPr>
                <w:rFonts w:ascii="Calibri Light" w:hAnsi="Calibri Light" w:cs="Calibri Light"/>
                <w:i/>
                <w:iCs/>
                <w:sz w:val="20"/>
                <w:szCs w:val="20"/>
                <w:lang w:val="es-ES_tradnl"/>
              </w:rPr>
              <w:t>falta de armonización y normalización en los Estados miembros de las normas que rigen la atribución de derechos y el ejercicio de los derechos de voto por parte de los accionistas</w:t>
            </w:r>
            <w:r w:rsidRPr="00F53415">
              <w:rPr>
                <w:rFonts w:ascii="Calibri Light" w:hAnsi="Calibri Light" w:cs="Calibri Light"/>
                <w:sz w:val="20"/>
                <w:szCs w:val="20"/>
                <w:lang w:val="es-ES_tradnl"/>
              </w:rPr>
              <w:t>"</w:t>
            </w:r>
          </w:p>
          <w:p w14:paraId="495FCB7B" w14:textId="77777777" w:rsidR="00C0649F" w:rsidRPr="00F53415" w:rsidRDefault="000E5064">
            <w:pPr>
              <w:pStyle w:val="Prrafodelista"/>
              <w:numPr>
                <w:ilvl w:val="0"/>
                <w:numId w:val="3"/>
              </w:numPr>
              <w:spacing w:after="0" w:line="240" w:lineRule="auto"/>
              <w:ind w:left="605" w:hanging="245"/>
              <w:rPr>
                <w:lang w:val="es-ES_tradnl"/>
              </w:rPr>
            </w:pPr>
            <w:r w:rsidRPr="00F53415">
              <w:rPr>
                <w:rFonts w:ascii="Calibri Light" w:hAnsi="Calibri Light" w:cs="Calibri Light"/>
                <w:i/>
                <w:iCs/>
                <w:sz w:val="20"/>
                <w:szCs w:val="20"/>
                <w:lang w:val="es-ES_tradnl"/>
              </w:rPr>
              <w:t xml:space="preserve">"presentar una propuesta de Reglamento sobre los derechos de los accionistas para </w:t>
            </w:r>
            <w:r w:rsidRPr="00F53415">
              <w:rPr>
                <w:rFonts w:ascii="Calibri Light" w:hAnsi="Calibri Light" w:cs="Calibri Light"/>
                <w:b/>
                <w:bCs/>
                <w:i/>
                <w:iCs/>
                <w:sz w:val="20"/>
                <w:szCs w:val="20"/>
                <w:lang w:val="es-ES_tradnl"/>
              </w:rPr>
              <w:t xml:space="preserve">proporcionar una </w:t>
            </w:r>
            <w:r w:rsidRPr="00F53415">
              <w:rPr>
                <w:rFonts w:ascii="Calibri Light" w:hAnsi="Calibri Light" w:cs="Calibri Light"/>
                <w:b/>
                <w:bCs/>
                <w:i/>
                <w:iCs/>
                <w:sz w:val="20"/>
                <w:szCs w:val="20"/>
                <w:lang w:val="es-ES_tradnl"/>
              </w:rPr>
              <w:lastRenderedPageBreak/>
              <w:t xml:space="preserve">definición armonizada de "accionista" </w:t>
            </w:r>
            <w:r w:rsidRPr="00F53415">
              <w:rPr>
                <w:rFonts w:ascii="Calibri Light" w:hAnsi="Calibri Light" w:cs="Calibri Light"/>
                <w:i/>
                <w:iCs/>
                <w:sz w:val="20"/>
                <w:szCs w:val="20"/>
                <w:lang w:val="es-ES_tradnl"/>
              </w:rPr>
              <w:t>a nivel de la UE</w:t>
            </w:r>
            <w:r w:rsidRPr="00F53415">
              <w:rPr>
                <w:rFonts w:ascii="Calibri Light" w:hAnsi="Calibri Light" w:cs="Calibri Light"/>
                <w:sz w:val="20"/>
                <w:szCs w:val="20"/>
                <w:lang w:val="es-ES_tradnl"/>
              </w:rPr>
              <w:t>"</w:t>
            </w:r>
          </w:p>
          <w:p w14:paraId="495FCB7C" w14:textId="77777777" w:rsidR="00C0649F" w:rsidRPr="00F53415" w:rsidRDefault="000E5064">
            <w:pPr>
              <w:pStyle w:val="Prrafodelista"/>
              <w:numPr>
                <w:ilvl w:val="0"/>
                <w:numId w:val="2"/>
              </w:numPr>
              <w:spacing w:after="0" w:line="240" w:lineRule="auto"/>
              <w:ind w:left="176" w:hanging="214"/>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"la gestión de los complejos y divergentes procesos de acción empresarial en los Estados Miembros también sigue siendo ineficiente y costosa".</w:t>
            </w:r>
          </w:p>
          <w:p w14:paraId="495FCB7D" w14:textId="12C58CD0" w:rsidR="00C0649F" w:rsidRPr="00F53415" w:rsidRDefault="000E5064">
            <w:pPr>
              <w:pStyle w:val="Prrafodelista"/>
              <w:numPr>
                <w:ilvl w:val="1"/>
                <w:numId w:val="2"/>
              </w:numPr>
              <w:spacing w:after="0" w:line="240" w:lineRule="auto"/>
              <w:ind w:left="599" w:hanging="218"/>
              <w:jc w:val="both"/>
              <w:rPr>
                <w:lang w:val="es-ES_tradnl"/>
              </w:rPr>
            </w:pPr>
            <w:r w:rsidRPr="00F53415">
              <w:rPr>
                <w:rFonts w:ascii="Calibri Light" w:hAnsi="Calibri Light" w:cs="Calibri Light"/>
                <w:i/>
                <w:iCs/>
                <w:sz w:val="20"/>
                <w:szCs w:val="20"/>
                <w:lang w:val="es-ES_tradnl"/>
              </w:rPr>
              <w:t>"modificar la Directiva sobre los derechos de los accionistas 2 (</w:t>
            </w:r>
            <w:r w:rsidR="006B7056" w:rsidRPr="00F53415">
              <w:rPr>
                <w:rFonts w:ascii="Calibri Light" w:hAnsi="Calibri Light" w:cs="Calibri Light"/>
                <w:i/>
                <w:iCs/>
                <w:sz w:val="20"/>
                <w:szCs w:val="20"/>
                <w:lang w:val="es-ES_tradnl"/>
              </w:rPr>
              <w:t xml:space="preserve">SRD </w:t>
            </w:r>
            <w:r w:rsidRPr="00F53415">
              <w:rPr>
                <w:rFonts w:ascii="Calibri Light" w:hAnsi="Calibri Light" w:cs="Calibri Light"/>
                <w:i/>
                <w:iCs/>
                <w:sz w:val="20"/>
                <w:szCs w:val="20"/>
                <w:lang w:val="es-ES_tradnl"/>
              </w:rPr>
              <w:t xml:space="preserve">2) y su </w:t>
            </w:r>
            <w:r w:rsidRPr="00F53415">
              <w:rPr>
                <w:rFonts w:ascii="Calibri Light" w:hAnsi="Calibri Light" w:cs="Calibri Light"/>
                <w:b/>
                <w:bCs/>
                <w:i/>
                <w:iCs/>
                <w:sz w:val="20"/>
                <w:szCs w:val="20"/>
                <w:lang w:val="es-ES_tradnl"/>
              </w:rPr>
              <w:t xml:space="preserve">Reglamento </w:t>
            </w:r>
            <w:r w:rsidRPr="00F53415">
              <w:rPr>
                <w:rFonts w:ascii="Calibri Light" w:hAnsi="Calibri Light" w:cs="Calibri Light"/>
                <w:i/>
                <w:iCs/>
                <w:sz w:val="20"/>
                <w:szCs w:val="20"/>
                <w:lang w:val="es-ES_tradnl"/>
              </w:rPr>
              <w:t xml:space="preserve">de aplicación </w:t>
            </w:r>
            <w:r w:rsidRPr="00F53415">
              <w:rPr>
                <w:rFonts w:ascii="Calibri Light" w:hAnsi="Calibri Light" w:cs="Calibri Light"/>
                <w:b/>
                <w:bCs/>
                <w:i/>
                <w:iCs/>
                <w:sz w:val="20"/>
                <w:szCs w:val="20"/>
                <w:lang w:val="es-ES_tradnl"/>
              </w:rPr>
              <w:t xml:space="preserve">para aclarar y armonizar aún más la interacción entre los inversores, los intermediarios, incluidos los </w:t>
            </w:r>
            <w:r w:rsidR="006B7056" w:rsidRPr="00F53415">
              <w:rPr>
                <w:rFonts w:ascii="Calibri Light" w:hAnsi="Calibri Light" w:cs="Calibri Light"/>
                <w:b/>
                <w:bCs/>
                <w:i/>
                <w:iCs/>
                <w:sz w:val="20"/>
                <w:szCs w:val="20"/>
                <w:lang w:val="es-ES_tradnl"/>
              </w:rPr>
              <w:t>CSD</w:t>
            </w:r>
            <w:r w:rsidRPr="00F53415">
              <w:rPr>
                <w:rFonts w:ascii="Calibri Light" w:hAnsi="Calibri Light" w:cs="Calibri Light"/>
                <w:b/>
                <w:bCs/>
                <w:i/>
                <w:iCs/>
                <w:sz w:val="20"/>
                <w:szCs w:val="20"/>
                <w:lang w:val="es-ES_tradnl"/>
              </w:rPr>
              <w:t xml:space="preserve">, y los emisores/agentes emisores con respecto al ejercicio de los derechos de voto y el procesamiento de las </w:t>
            </w:r>
            <w:r w:rsidR="006B7056" w:rsidRPr="00F53415">
              <w:rPr>
                <w:rFonts w:ascii="Calibri Light" w:hAnsi="Calibri Light" w:cs="Calibri Light"/>
                <w:b/>
                <w:bCs/>
                <w:i/>
                <w:iCs/>
                <w:sz w:val="20"/>
                <w:szCs w:val="20"/>
                <w:lang w:val="es-ES_tradnl"/>
              </w:rPr>
              <w:t>acciones empresariales</w:t>
            </w:r>
            <w:r w:rsidRPr="00F53415">
              <w:rPr>
                <w:rFonts w:ascii="Calibri Light" w:hAnsi="Calibri Light" w:cs="Calibri Light"/>
                <w:i/>
                <w:iCs/>
                <w:sz w:val="20"/>
                <w:szCs w:val="20"/>
                <w:lang w:val="es-ES_tradnl"/>
              </w:rPr>
              <w:t>";</w:t>
            </w:r>
          </w:p>
          <w:p w14:paraId="495FCB7E" w14:textId="2D058083" w:rsidR="00C0649F" w:rsidRPr="00F53415" w:rsidRDefault="000E5064">
            <w:pPr>
              <w:pStyle w:val="Prrafodelista"/>
              <w:numPr>
                <w:ilvl w:val="0"/>
                <w:numId w:val="2"/>
              </w:numPr>
              <w:spacing w:after="0" w:line="240" w:lineRule="auto"/>
              <w:ind w:left="174" w:hanging="218"/>
              <w:jc w:val="both"/>
              <w:rPr>
                <w:lang w:val="es-ES_tradnl"/>
              </w:rPr>
            </w:pPr>
            <w:r w:rsidRPr="00F53415">
              <w:rPr>
                <w:rFonts w:ascii="Calibri Light" w:hAnsi="Calibri Light" w:cs="Calibri Light"/>
                <w:i/>
                <w:iCs/>
                <w:sz w:val="20"/>
                <w:szCs w:val="20"/>
                <w:lang w:val="es-ES_tradnl"/>
              </w:rPr>
              <w:t xml:space="preserve">"el uso de </w:t>
            </w:r>
            <w:r w:rsidR="006B7056" w:rsidRPr="00F53415">
              <w:rPr>
                <w:rFonts w:ascii="Calibri Light" w:hAnsi="Calibri Light" w:cs="Calibri Light"/>
                <w:i/>
                <w:iCs/>
                <w:sz w:val="20"/>
                <w:szCs w:val="20"/>
                <w:lang w:val="es-ES_tradnl"/>
              </w:rPr>
              <w:t xml:space="preserve">las </w:t>
            </w:r>
            <w:r w:rsidRPr="00F53415">
              <w:rPr>
                <w:rFonts w:ascii="Calibri Light" w:hAnsi="Calibri Light" w:cs="Calibri Light"/>
                <w:i/>
                <w:iCs/>
                <w:sz w:val="20"/>
                <w:szCs w:val="20"/>
                <w:lang w:val="es-ES_tradnl"/>
              </w:rPr>
              <w:t>nuevas tecnologías tiene el potencial de producir mejoras en la eficiencia (...) y facilitar el ejercicio de los derechos de los accionistas en un contexto transfronterizo</w:t>
            </w:r>
            <w:r w:rsidRPr="00F53415">
              <w:rPr>
                <w:rFonts w:ascii="Calibri Light" w:hAnsi="Calibri Light" w:cs="Calibri Light"/>
                <w:sz w:val="20"/>
                <w:szCs w:val="20"/>
                <w:lang w:val="es-ES_tradnl"/>
              </w:rPr>
              <w:t>".</w:t>
            </w:r>
          </w:p>
          <w:p w14:paraId="495FCB7F" w14:textId="031FC881" w:rsidR="00C0649F" w:rsidRPr="00F53415" w:rsidRDefault="000E5064">
            <w:pPr>
              <w:pStyle w:val="Prrafodelista"/>
              <w:numPr>
                <w:ilvl w:val="0"/>
                <w:numId w:val="3"/>
              </w:numPr>
              <w:spacing w:after="0" w:line="240" w:lineRule="auto"/>
              <w:ind w:left="599" w:hanging="239"/>
              <w:jc w:val="both"/>
              <w:rPr>
                <w:lang w:val="es-ES_tradnl"/>
              </w:rPr>
            </w:pPr>
            <w:r w:rsidRPr="00F53415">
              <w:rPr>
                <w:rFonts w:ascii="Calibri Light" w:hAnsi="Calibri Light" w:cs="Calibri Light"/>
                <w:i/>
                <w:iCs/>
                <w:sz w:val="20"/>
                <w:szCs w:val="20"/>
                <w:lang w:val="es-ES_tradnl"/>
              </w:rPr>
              <w:t>"</w:t>
            </w:r>
            <w:r w:rsidRPr="00F53415">
              <w:rPr>
                <w:rFonts w:ascii="Calibri Light" w:hAnsi="Calibri Light" w:cs="Calibri Light"/>
                <w:b/>
                <w:bCs/>
                <w:i/>
                <w:iCs/>
                <w:sz w:val="20"/>
                <w:szCs w:val="20"/>
                <w:lang w:val="es-ES_tradnl"/>
              </w:rPr>
              <w:t xml:space="preserve">facilitar el uso de las nuevas tecnologías digitales </w:t>
            </w:r>
            <w:r w:rsidRPr="00F53415">
              <w:rPr>
                <w:rFonts w:ascii="Calibri Light" w:hAnsi="Calibri Light" w:cs="Calibri Light"/>
                <w:i/>
                <w:iCs/>
                <w:sz w:val="20"/>
                <w:szCs w:val="20"/>
                <w:lang w:val="es-ES_tradnl"/>
              </w:rPr>
              <w:t xml:space="preserve">para i) permitir </w:t>
            </w:r>
            <w:r w:rsidRPr="00F53415">
              <w:rPr>
                <w:rFonts w:ascii="Calibri Light" w:hAnsi="Calibri Light" w:cs="Calibri Light"/>
                <w:b/>
                <w:bCs/>
                <w:i/>
                <w:iCs/>
                <w:sz w:val="20"/>
                <w:szCs w:val="20"/>
                <w:lang w:val="es-ES_tradnl"/>
              </w:rPr>
              <w:t xml:space="preserve">una mayor participación de los inversores </w:t>
            </w:r>
            <w:r w:rsidRPr="00F53415">
              <w:rPr>
                <w:rFonts w:ascii="Calibri Light" w:hAnsi="Calibri Light" w:cs="Calibri Light"/>
                <w:sz w:val="20"/>
                <w:szCs w:val="20"/>
                <w:lang w:val="es-ES_tradnl"/>
              </w:rPr>
              <w:t xml:space="preserve">(...) </w:t>
            </w:r>
            <w:r w:rsidRPr="00F53415">
              <w:rPr>
                <w:rFonts w:ascii="Calibri Light" w:hAnsi="Calibri Light" w:cs="Calibri Light"/>
                <w:i/>
                <w:iCs/>
                <w:sz w:val="20"/>
                <w:szCs w:val="20"/>
                <w:lang w:val="es-ES_tradnl"/>
              </w:rPr>
              <w:t xml:space="preserve">y ii) </w:t>
            </w:r>
            <w:r w:rsidR="006B7056" w:rsidRPr="00F53415">
              <w:rPr>
                <w:rFonts w:ascii="Calibri Light" w:hAnsi="Calibri Light" w:cs="Calibri Light"/>
                <w:b/>
                <w:bCs/>
                <w:i/>
                <w:iCs/>
                <w:sz w:val="20"/>
                <w:szCs w:val="20"/>
                <w:lang w:val="es-ES_tradnl"/>
              </w:rPr>
              <w:t>aumentar la eficiencia de l</w:t>
            </w:r>
            <w:r w:rsidRPr="00F53415">
              <w:rPr>
                <w:rFonts w:ascii="Calibri Light" w:hAnsi="Calibri Light" w:cs="Calibri Light"/>
                <w:b/>
                <w:bCs/>
                <w:i/>
                <w:iCs/>
                <w:sz w:val="20"/>
                <w:szCs w:val="20"/>
                <w:lang w:val="es-ES_tradnl"/>
              </w:rPr>
              <w:t xml:space="preserve">os procesos de </w:t>
            </w:r>
            <w:r w:rsidR="006B7056" w:rsidRPr="00F53415">
              <w:rPr>
                <w:rFonts w:ascii="Calibri Light" w:hAnsi="Calibri Light" w:cs="Calibri Light"/>
                <w:b/>
                <w:bCs/>
                <w:i/>
                <w:iCs/>
                <w:sz w:val="20"/>
                <w:szCs w:val="20"/>
                <w:lang w:val="es-ES_tradnl"/>
              </w:rPr>
              <w:t xml:space="preserve">acción </w:t>
            </w:r>
            <w:r w:rsidRPr="00F53415">
              <w:rPr>
                <w:rFonts w:ascii="Calibri Light" w:hAnsi="Calibri Light" w:cs="Calibri Light"/>
                <w:b/>
                <w:bCs/>
                <w:i/>
                <w:iCs/>
                <w:sz w:val="20"/>
                <w:szCs w:val="20"/>
                <w:lang w:val="es-ES_tradnl"/>
              </w:rPr>
              <w:t xml:space="preserve">empresarial y de las </w:t>
            </w:r>
            <w:r w:rsidR="006B7056" w:rsidRPr="00F53415">
              <w:rPr>
                <w:rFonts w:ascii="Calibri Light" w:hAnsi="Calibri Light" w:cs="Calibri Light"/>
                <w:b/>
                <w:bCs/>
                <w:i/>
                <w:iCs/>
                <w:sz w:val="20"/>
                <w:szCs w:val="20"/>
                <w:lang w:val="es-ES_tradnl"/>
              </w:rPr>
              <w:t xml:space="preserve">juntas </w:t>
            </w:r>
            <w:r w:rsidRPr="00F53415">
              <w:rPr>
                <w:rFonts w:ascii="Calibri Light" w:hAnsi="Calibri Light" w:cs="Calibri Light"/>
                <w:b/>
                <w:bCs/>
                <w:i/>
                <w:iCs/>
                <w:sz w:val="20"/>
                <w:szCs w:val="20"/>
                <w:lang w:val="es-ES_tradnl"/>
              </w:rPr>
              <w:t>generales</w:t>
            </w:r>
            <w:r w:rsidRPr="00F53415">
              <w:rPr>
                <w:rFonts w:ascii="Calibri Light" w:hAnsi="Calibri Light" w:cs="Calibri Light"/>
                <w:i/>
                <w:iCs/>
                <w:sz w:val="20"/>
                <w:szCs w:val="20"/>
                <w:lang w:val="es-ES_tradnl"/>
              </w:rPr>
              <w:t>".</w:t>
            </w:r>
          </w:p>
          <w:p w14:paraId="495FCB80" w14:textId="5E129FE5" w:rsidR="00C0649F" w:rsidRPr="00F53415" w:rsidRDefault="000E5064">
            <w:pPr>
              <w:pStyle w:val="Prrafodelista"/>
              <w:numPr>
                <w:ilvl w:val="0"/>
                <w:numId w:val="4"/>
              </w:numPr>
              <w:spacing w:after="0" w:line="240" w:lineRule="auto"/>
              <w:ind w:left="174" w:hanging="174"/>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"Un sistema único de la UE permitiría obtener un alivio inmediato en </w:t>
            </w:r>
            <w:r w:rsidR="006B7056" w:rsidRPr="00F53415">
              <w:rPr>
                <w:rFonts w:ascii="Calibri Light" w:hAnsi="Calibri Light" w:cs="Calibri Light"/>
                <w:i/>
                <w:iCs/>
                <w:sz w:val="20"/>
                <w:szCs w:val="20"/>
                <w:lang w:val="es-ES_tradnl"/>
              </w:rPr>
              <w:t xml:space="preserve"> origen</w:t>
            </w:r>
            <w:r w:rsidRPr="00F53415">
              <w:rPr>
                <w:rFonts w:ascii="Calibri Light" w:hAnsi="Calibri Light" w:cs="Calibri Light"/>
                <w:i/>
                <w:iCs/>
                <w:sz w:val="20"/>
                <w:szCs w:val="20"/>
                <w:lang w:val="es-ES_tradnl"/>
              </w:rPr>
              <w:t xml:space="preserve"> </w:t>
            </w:r>
            <w:r w:rsidR="006B7056" w:rsidRPr="00F53415">
              <w:rPr>
                <w:rFonts w:ascii="Calibri Light" w:hAnsi="Calibri Light" w:cs="Calibri Light"/>
                <w:i/>
                <w:iCs/>
                <w:sz w:val="20"/>
                <w:szCs w:val="20"/>
                <w:lang w:val="es-ES_tradnl"/>
              </w:rPr>
              <w:t xml:space="preserve">sobre </w:t>
            </w:r>
            <w:r w:rsidRPr="00F53415">
              <w:rPr>
                <w:rFonts w:ascii="Calibri Light" w:hAnsi="Calibri Light" w:cs="Calibri Light"/>
                <w:i/>
                <w:iCs/>
                <w:sz w:val="20"/>
                <w:szCs w:val="20"/>
                <w:lang w:val="es-ES_tradnl"/>
              </w:rPr>
              <w:t xml:space="preserve">las retenciones de impuestos </w:t>
            </w:r>
            <w:r w:rsidR="006B7056" w:rsidRPr="00F53415">
              <w:rPr>
                <w:rFonts w:ascii="Calibri Light" w:hAnsi="Calibri Light" w:cs="Calibri Light"/>
                <w:i/>
                <w:iCs/>
                <w:sz w:val="20"/>
                <w:szCs w:val="20"/>
                <w:lang w:val="es-ES_tradnl"/>
              </w:rPr>
              <w:t>en los</w:t>
            </w:r>
            <w:r w:rsidRPr="00F53415">
              <w:rPr>
                <w:rFonts w:ascii="Calibri Light" w:hAnsi="Calibri Light" w:cs="Calibri Light"/>
                <w:i/>
                <w:iCs/>
                <w:sz w:val="20"/>
                <w:szCs w:val="20"/>
                <w:lang w:val="es-ES_tradnl"/>
              </w:rPr>
              <w:t xml:space="preserve"> ingresos por inversiones"</w:t>
            </w:r>
          </w:p>
          <w:p w14:paraId="495FCB81" w14:textId="77777777" w:rsidR="00C0649F" w:rsidRPr="00F53415" w:rsidRDefault="000E5064">
            <w:pPr>
              <w:pStyle w:val="Prrafodelista"/>
              <w:numPr>
                <w:ilvl w:val="0"/>
                <w:numId w:val="5"/>
              </w:numPr>
              <w:spacing w:after="0" w:line="240" w:lineRule="auto"/>
              <w:ind w:left="599" w:hanging="218"/>
              <w:rPr>
                <w:lang w:val="es-ES_tradnl"/>
              </w:rPr>
            </w:pPr>
            <w:r w:rsidRPr="00F53415">
              <w:rPr>
                <w:rFonts w:ascii="Calibri Light" w:hAnsi="Calibri Light" w:cs="Calibri Light"/>
                <w:i/>
                <w:iCs/>
                <w:sz w:val="20"/>
                <w:szCs w:val="20"/>
                <w:lang w:val="es-ES_tradnl"/>
              </w:rPr>
              <w:t>"Se invita a la Comisión a que establezca en la legislación de la UE definiciones comunes, procesos comunes y un formulario único, en relación con los procedimientos de reducción de la retención fiscal en origen y su racionalización".</w:t>
            </w:r>
          </w:p>
          <w:p w14:paraId="495FCB82" w14:textId="77777777" w:rsidR="00C0649F" w:rsidRPr="00F53415" w:rsidRDefault="000E5064">
            <w:pPr>
              <w:pStyle w:val="Prrafodelista"/>
              <w:numPr>
                <w:ilvl w:val="0"/>
                <w:numId w:val="4"/>
              </w:numPr>
              <w:spacing w:after="0" w:line="240" w:lineRule="auto"/>
              <w:ind w:left="174" w:hanging="174"/>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"La UE ha sufrido una escasez crónica de financiación para las empresas con potencial para convertirse en actores globales, así como para las inversiones a largo plazo necesarias para la sostenibilidad del medio ambiente".</w:t>
            </w:r>
          </w:p>
          <w:p w14:paraId="495FCB83" w14:textId="0B8CEB1D" w:rsidR="00C0649F" w:rsidRPr="00F53415" w:rsidRDefault="000E5064" w:rsidP="00F53415">
            <w:pPr>
              <w:pStyle w:val="Prrafodelista"/>
              <w:numPr>
                <w:ilvl w:val="1"/>
                <w:numId w:val="4"/>
              </w:numPr>
              <w:spacing w:after="0" w:line="240" w:lineRule="auto"/>
              <w:ind w:left="599" w:hanging="218"/>
              <w:jc w:val="both"/>
              <w:rPr>
                <w:lang w:val="es-ES_tradnl"/>
              </w:rPr>
            </w:pPr>
            <w:r w:rsidRPr="00F53415">
              <w:rPr>
                <w:rFonts w:ascii="Calibri Light" w:hAnsi="Calibri Light" w:cs="Calibri Light"/>
                <w:sz w:val="20"/>
                <w:szCs w:val="20"/>
                <w:lang w:val="es-ES_tradnl"/>
              </w:rPr>
              <w:t xml:space="preserve">"Se invita a los </w:t>
            </w:r>
            <w:r w:rsidRPr="00F53415">
              <w:rPr>
                <w:rFonts w:ascii="Calibri Light" w:hAnsi="Calibri Light" w:cs="Calibri Light"/>
                <w:i/>
                <w:iCs/>
                <w:sz w:val="20"/>
                <w:szCs w:val="20"/>
                <w:lang w:val="es-ES_tradnl"/>
              </w:rPr>
              <w:t xml:space="preserve">Estados miembros a simplificar las normas fiscales aplicables a los Fondos Europeos de Inversión a Largo Plazo (ELTIF) y/o </w:t>
            </w:r>
            <w:r w:rsidR="006B7056" w:rsidRPr="00F53415">
              <w:rPr>
                <w:rFonts w:ascii="Calibri Light" w:hAnsi="Calibri Light" w:cs="Calibri Light"/>
                <w:i/>
                <w:iCs/>
                <w:sz w:val="20"/>
                <w:szCs w:val="20"/>
                <w:lang w:val="es-ES_tradnl"/>
              </w:rPr>
              <w:t xml:space="preserve">un </w:t>
            </w:r>
            <w:r w:rsidRPr="00F53415">
              <w:rPr>
                <w:rFonts w:ascii="Calibri Light" w:hAnsi="Calibri Light" w:cs="Calibri Light"/>
                <w:i/>
                <w:iCs/>
                <w:sz w:val="20"/>
                <w:szCs w:val="20"/>
                <w:lang w:val="es-ES_tradnl"/>
              </w:rPr>
              <w:t>tratamiento fiscal preferencial para los ELTIF. Además, los Estados miembros deberían considerar incentivos fiscales para promover la inversión a largo plazo en las PYMES a través de los ELTIF</w:t>
            </w:r>
            <w:r w:rsidRPr="00F53415">
              <w:rPr>
                <w:rFonts w:ascii="Calibri Light" w:hAnsi="Calibri Light" w:cs="Calibri Light"/>
                <w:sz w:val="20"/>
                <w:szCs w:val="20"/>
                <w:lang w:val="es-ES_tradnl"/>
              </w:rPr>
              <w:t>".</w:t>
            </w:r>
          </w:p>
        </w:tc>
      </w:tr>
      <w:tr w:rsidR="00C0649F" w:rsidRPr="00B9393B" w14:paraId="495FCB91"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85" w14:textId="77777777" w:rsidR="00C0649F" w:rsidRPr="00F53415" w:rsidRDefault="000E5064">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lastRenderedPageBreak/>
              <w:t>Mejorar la competitividad de los mercados europeos de capital para las PYMES</w:t>
            </w:r>
          </w:p>
          <w:p w14:paraId="495FCB86" w14:textId="38245F9F" w:rsidR="00C0649F" w:rsidRPr="00F53415" w:rsidRDefault="000E5064">
            <w:pPr>
              <w:spacing w:after="0" w:line="240" w:lineRule="auto"/>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7) "Aumentar el atractivo de las </w:t>
            </w:r>
            <w:r w:rsidR="006B7056" w:rsidRPr="00F53415">
              <w:rPr>
                <w:rFonts w:ascii="Calibri Light" w:hAnsi="Calibri Light" w:cs="Calibri Light"/>
                <w:sz w:val="20"/>
                <w:szCs w:val="20"/>
                <w:lang w:val="es-ES_tradnl"/>
              </w:rPr>
              <w:t>B</w:t>
            </w:r>
            <w:r w:rsidRPr="00F53415">
              <w:rPr>
                <w:rFonts w:ascii="Calibri Light" w:hAnsi="Calibri Light" w:cs="Calibri Light"/>
                <w:sz w:val="20"/>
                <w:szCs w:val="20"/>
                <w:lang w:val="es-ES_tradnl"/>
              </w:rPr>
              <w:t>olsas de la UE para las PYMES de la UE"</w:t>
            </w:r>
          </w:p>
          <w:p w14:paraId="495FCB87" w14:textId="6675376B" w:rsidR="00C0649F" w:rsidRPr="00F53415" w:rsidRDefault="000E5064" w:rsidP="00F53415">
            <w:pPr>
              <w:spacing w:after="0" w:line="240" w:lineRule="auto"/>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8) "Fortalecer el mercado </w:t>
            </w:r>
            <w:r w:rsidR="00A66425" w:rsidRPr="00F53415">
              <w:rPr>
                <w:rFonts w:ascii="Calibri Light" w:hAnsi="Calibri Light" w:cs="Calibri Light"/>
                <w:sz w:val="20"/>
                <w:szCs w:val="20"/>
                <w:lang w:val="es-ES_tradnl"/>
              </w:rPr>
              <w:t>OPV</w:t>
            </w:r>
            <w:r w:rsidRPr="00F53415">
              <w:rPr>
                <w:rFonts w:ascii="Calibri Light" w:hAnsi="Calibri Light" w:cs="Calibri Light"/>
                <w:sz w:val="20"/>
                <w:szCs w:val="20"/>
                <w:lang w:val="es-ES_tradnl"/>
              </w:rPr>
              <w:t xml:space="preserve"> en Europa Continental..."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88" w14:textId="44A70BD7" w:rsidR="00C0649F" w:rsidRPr="00F53415" w:rsidRDefault="00C7624B">
            <w:pPr>
              <w:spacing w:after="0" w:line="240" w:lineRule="auto"/>
              <w:rPr>
                <w:rFonts w:ascii="Calibri Light" w:hAnsi="Calibri Light" w:cs="Calibri Light"/>
                <w:b/>
                <w:bCs/>
                <w:sz w:val="20"/>
                <w:szCs w:val="20"/>
                <w:lang w:val="es-ES_tradnl"/>
              </w:rPr>
            </w:pPr>
            <w:r w:rsidRPr="00F53415">
              <w:rPr>
                <w:rFonts w:ascii="Calibri Light" w:hAnsi="Calibri Light" w:cs="Calibri Light"/>
                <w:b/>
                <w:bCs/>
                <w:sz w:val="20"/>
                <w:szCs w:val="20"/>
                <w:lang w:val="es-ES_tradnl"/>
              </w:rPr>
              <w:t xml:space="preserve">Cuestiones </w:t>
            </w:r>
            <w:r w:rsidR="000E5064" w:rsidRPr="00F53415">
              <w:rPr>
                <w:rFonts w:ascii="Calibri Light" w:hAnsi="Calibri Light" w:cs="Calibri Light"/>
                <w:b/>
                <w:bCs/>
                <w:sz w:val="20"/>
                <w:szCs w:val="20"/>
                <w:lang w:val="es-ES_tradnl"/>
              </w:rPr>
              <w:t xml:space="preserve">y </w:t>
            </w:r>
            <w:r w:rsidR="00A66425" w:rsidRPr="00F53415">
              <w:rPr>
                <w:rFonts w:ascii="Calibri Light" w:hAnsi="Calibri Light" w:cs="Calibri Light"/>
                <w:b/>
                <w:bCs/>
                <w:sz w:val="20"/>
                <w:szCs w:val="20"/>
                <w:lang w:val="es-ES_tradnl"/>
              </w:rPr>
              <w:t>reglas d</w:t>
            </w:r>
            <w:r w:rsidR="000E5064" w:rsidRPr="00F53415">
              <w:rPr>
                <w:rFonts w:ascii="Calibri Light" w:hAnsi="Calibri Light" w:cs="Calibri Light"/>
                <w:b/>
                <w:bCs/>
                <w:sz w:val="20"/>
                <w:szCs w:val="20"/>
                <w:lang w:val="es-ES_tradnl"/>
              </w:rPr>
              <w:t>el juego:</w:t>
            </w:r>
          </w:p>
          <w:p w14:paraId="495FCB89" w14:textId="1D243558" w:rsidR="00C0649F" w:rsidRPr="00F53415" w:rsidRDefault="000E5064">
            <w:pPr>
              <w:pStyle w:val="Prrafodelista"/>
              <w:numPr>
                <w:ilvl w:val="0"/>
                <w:numId w:val="6"/>
              </w:numPr>
              <w:spacing w:after="0" w:line="240" w:lineRule="auto"/>
              <w:ind w:left="173" w:hanging="218"/>
              <w:jc w:val="both"/>
              <w:rPr>
                <w:lang w:val="es-ES_tradnl"/>
              </w:rPr>
            </w:pPr>
            <w:r w:rsidRPr="00F53415">
              <w:rPr>
                <w:rFonts w:ascii="Calibri Light" w:hAnsi="Calibri Light" w:cs="Calibri Light"/>
                <w:sz w:val="20"/>
                <w:szCs w:val="20"/>
                <w:lang w:val="es-ES_tradnl"/>
              </w:rPr>
              <w:t>"</w:t>
            </w:r>
            <w:r w:rsidR="00A66425" w:rsidRPr="00F53415">
              <w:rPr>
                <w:rFonts w:ascii="Calibri Light" w:hAnsi="Calibri Light" w:cs="Calibri Light"/>
                <w:sz w:val="20"/>
                <w:szCs w:val="20"/>
                <w:lang w:val="es-ES_tradnl"/>
              </w:rPr>
              <w:t>El hecho de a</w:t>
            </w:r>
            <w:r w:rsidRPr="00F53415">
              <w:rPr>
                <w:rFonts w:ascii="Calibri Light" w:hAnsi="Calibri Light" w:cs="Calibri Light"/>
                <w:sz w:val="20"/>
                <w:szCs w:val="20"/>
                <w:lang w:val="es-ES_tradnl"/>
              </w:rPr>
              <w:t xml:space="preserve">segurarse </w:t>
            </w:r>
            <w:r w:rsidRPr="00F53415">
              <w:rPr>
                <w:rFonts w:ascii="Calibri Light" w:hAnsi="Calibri Light" w:cs="Calibri Light"/>
                <w:i/>
                <w:iCs/>
                <w:sz w:val="20"/>
                <w:szCs w:val="20"/>
                <w:lang w:val="es-ES_tradnl"/>
              </w:rPr>
              <w:t xml:space="preserve">de que las PYMES no tengan que hacer frente a una carga administrativa </w:t>
            </w:r>
            <w:r w:rsidR="00A66425" w:rsidRPr="00F53415">
              <w:rPr>
                <w:rFonts w:ascii="Calibri Light" w:hAnsi="Calibri Light" w:cs="Calibri Light"/>
                <w:i/>
                <w:iCs/>
                <w:sz w:val="20"/>
                <w:szCs w:val="20"/>
                <w:lang w:val="es-ES_tradnl"/>
              </w:rPr>
              <w:t xml:space="preserve">ni </w:t>
            </w:r>
            <w:r w:rsidRPr="00F53415">
              <w:rPr>
                <w:rFonts w:ascii="Calibri Light" w:hAnsi="Calibri Light" w:cs="Calibri Light"/>
                <w:i/>
                <w:iCs/>
                <w:sz w:val="20"/>
                <w:szCs w:val="20"/>
                <w:lang w:val="es-ES_tradnl"/>
              </w:rPr>
              <w:t xml:space="preserve">a </w:t>
            </w:r>
            <w:r w:rsidR="00A66425" w:rsidRPr="00F53415">
              <w:rPr>
                <w:rFonts w:ascii="Calibri Light" w:hAnsi="Calibri Light" w:cs="Calibri Light"/>
                <w:i/>
                <w:iCs/>
                <w:sz w:val="20"/>
                <w:szCs w:val="20"/>
                <w:lang w:val="es-ES_tradnl"/>
              </w:rPr>
              <w:t xml:space="preserve">unos costes </w:t>
            </w:r>
            <w:r w:rsidRPr="00F53415">
              <w:rPr>
                <w:rFonts w:ascii="Calibri Light" w:hAnsi="Calibri Light" w:cs="Calibri Light"/>
                <w:i/>
                <w:iCs/>
                <w:sz w:val="20"/>
                <w:szCs w:val="20"/>
                <w:lang w:val="es-ES_tradnl"/>
              </w:rPr>
              <w:t>de cumplimiento de los requisitos de cotización</w:t>
            </w:r>
            <w:r w:rsidR="00A66425" w:rsidRPr="00F53415">
              <w:rPr>
                <w:rFonts w:ascii="Calibri Light" w:hAnsi="Calibri Light" w:cs="Calibri Light"/>
                <w:i/>
                <w:iCs/>
                <w:sz w:val="20"/>
                <w:szCs w:val="20"/>
                <w:lang w:val="es-ES_tradnl"/>
              </w:rPr>
              <w:t xml:space="preserve"> desproporcionados</w:t>
            </w:r>
            <w:r w:rsidRPr="00F53415">
              <w:rPr>
                <w:rFonts w:ascii="Calibri Light" w:hAnsi="Calibri Light" w:cs="Calibri Light"/>
                <w:i/>
                <w:iCs/>
                <w:sz w:val="20"/>
                <w:szCs w:val="20"/>
                <w:lang w:val="es-ES_tradnl"/>
              </w:rPr>
              <w:t>, incluido el abuso del mercado, reducirá su reticencia a cotizar en los mercados públicos</w:t>
            </w:r>
            <w:r w:rsidRPr="00F53415">
              <w:rPr>
                <w:rFonts w:ascii="Calibri Light" w:hAnsi="Calibri Light" w:cs="Calibri Light"/>
                <w:sz w:val="20"/>
                <w:szCs w:val="20"/>
                <w:lang w:val="es-ES_tradnl"/>
              </w:rPr>
              <w:t>".</w:t>
            </w:r>
          </w:p>
          <w:p w14:paraId="495FCB8A" w14:textId="77777777" w:rsidR="00C0649F" w:rsidRPr="00F53415" w:rsidRDefault="000E5064">
            <w:pPr>
              <w:pStyle w:val="Prrafodelista"/>
              <w:numPr>
                <w:ilvl w:val="1"/>
                <w:numId w:val="4"/>
              </w:numPr>
              <w:spacing w:after="0" w:line="240" w:lineRule="auto"/>
              <w:ind w:left="599" w:hanging="218"/>
              <w:jc w:val="both"/>
              <w:rPr>
                <w:lang w:val="es-ES_tradnl"/>
              </w:rPr>
            </w:pPr>
            <w:r w:rsidRPr="00F53415">
              <w:rPr>
                <w:rFonts w:ascii="Calibri Light" w:hAnsi="Calibri Light" w:cs="Calibri Light"/>
                <w:sz w:val="20"/>
                <w:szCs w:val="20"/>
                <w:lang w:val="es-ES_tradnl"/>
              </w:rPr>
              <w:t>nueva definición para las PYMES (</w:t>
            </w:r>
            <w:r w:rsidRPr="00F53415">
              <w:rPr>
                <w:rFonts w:ascii="Calibri Light" w:hAnsi="Calibri Light" w:cs="Calibri Light"/>
                <w:i/>
                <w:iCs/>
                <w:sz w:val="20"/>
                <w:szCs w:val="20"/>
                <w:lang w:val="es-ES_tradnl"/>
              </w:rPr>
              <w:t>"Pequeñas y Medianas Empresas de Capitalización</w:t>
            </w:r>
            <w:r w:rsidRPr="00F53415">
              <w:rPr>
                <w:rFonts w:ascii="Calibri Light" w:hAnsi="Calibri Light" w:cs="Calibri Light"/>
                <w:sz w:val="20"/>
                <w:szCs w:val="20"/>
                <w:lang w:val="es-ES_tradnl"/>
              </w:rPr>
              <w:t>");</w:t>
            </w:r>
          </w:p>
          <w:p w14:paraId="495FCB8B" w14:textId="4EE35FF2" w:rsidR="00C0649F" w:rsidRPr="00F53415" w:rsidRDefault="000E5064">
            <w:pPr>
              <w:pStyle w:val="Prrafodelista"/>
              <w:numPr>
                <w:ilvl w:val="1"/>
                <w:numId w:val="4"/>
              </w:numPr>
              <w:spacing w:after="0" w:line="240" w:lineRule="auto"/>
              <w:ind w:left="599" w:hanging="218"/>
              <w:jc w:val="both"/>
              <w:rPr>
                <w:lang w:val="es-ES_tradnl"/>
              </w:rPr>
            </w:pPr>
            <w:r w:rsidRPr="00F53415">
              <w:rPr>
                <w:rFonts w:ascii="Calibri Light" w:hAnsi="Calibri Light" w:cs="Calibri Light"/>
                <w:sz w:val="20"/>
                <w:szCs w:val="20"/>
                <w:lang w:val="es-ES_tradnl"/>
              </w:rPr>
              <w:t xml:space="preserve">"Períodos </w:t>
            </w:r>
            <w:r w:rsidRPr="00F53415">
              <w:rPr>
                <w:rFonts w:ascii="Calibri Light" w:hAnsi="Calibri Light" w:cs="Calibri Light"/>
                <w:b/>
                <w:bCs/>
                <w:i/>
                <w:iCs/>
                <w:sz w:val="20"/>
                <w:szCs w:val="20"/>
                <w:lang w:val="es-ES_tradnl"/>
              </w:rPr>
              <w:t xml:space="preserve">de transición de la </w:t>
            </w:r>
            <w:r w:rsidR="00A66425" w:rsidRPr="00F53415">
              <w:rPr>
                <w:rFonts w:ascii="Calibri Light" w:hAnsi="Calibri Light" w:cs="Calibri Light"/>
                <w:b/>
                <w:bCs/>
                <w:i/>
                <w:iCs/>
                <w:sz w:val="20"/>
                <w:szCs w:val="20"/>
                <w:lang w:val="es-ES_tradnl"/>
              </w:rPr>
              <w:t>OPV</w:t>
            </w:r>
            <w:r w:rsidRPr="00F53415">
              <w:rPr>
                <w:rFonts w:ascii="Calibri Light" w:hAnsi="Calibri Light" w:cs="Calibri Light"/>
                <w:sz w:val="20"/>
                <w:szCs w:val="20"/>
                <w:lang w:val="es-ES_tradnl"/>
              </w:rPr>
              <w:t xml:space="preserve">", mediante la reducción de los requisitos de </w:t>
            </w:r>
            <w:r w:rsidR="00A66425" w:rsidRPr="00F53415">
              <w:rPr>
                <w:rFonts w:ascii="Calibri Light" w:hAnsi="Calibri Light" w:cs="Calibri Light"/>
                <w:sz w:val="20"/>
                <w:szCs w:val="20"/>
                <w:lang w:val="es-ES_tradnl"/>
              </w:rPr>
              <w:t xml:space="preserve">cotización </w:t>
            </w:r>
            <w:r w:rsidRPr="00F53415">
              <w:rPr>
                <w:rFonts w:ascii="Calibri Light" w:hAnsi="Calibri Light" w:cs="Calibri Light"/>
                <w:sz w:val="20"/>
                <w:szCs w:val="20"/>
                <w:lang w:val="es-ES_tradnl"/>
              </w:rPr>
              <w:t xml:space="preserve"> para "</w:t>
            </w:r>
            <w:r w:rsidRPr="00F53415">
              <w:rPr>
                <w:rFonts w:ascii="Calibri Light" w:hAnsi="Calibri Light" w:cs="Calibri Light"/>
                <w:i/>
                <w:iCs/>
                <w:sz w:val="20"/>
                <w:szCs w:val="20"/>
                <w:lang w:val="es-ES_tradnl"/>
              </w:rPr>
              <w:t>beneficiarse de un período de transición de máximo 5 años para la aplicación de determinados elementos de la legislación pertinente</w:t>
            </w:r>
            <w:r w:rsidRPr="00F53415">
              <w:rPr>
                <w:rFonts w:ascii="Calibri Light" w:hAnsi="Calibri Light" w:cs="Calibri Light"/>
                <w:sz w:val="20"/>
                <w:szCs w:val="20"/>
                <w:lang w:val="es-ES_tradnl"/>
              </w:rPr>
              <w:t>".</w:t>
            </w:r>
          </w:p>
          <w:p w14:paraId="495FCB8C" w14:textId="2609882B" w:rsidR="00C0649F" w:rsidRPr="00F53415" w:rsidRDefault="000E5064">
            <w:pPr>
              <w:pStyle w:val="Prrafodelista"/>
              <w:numPr>
                <w:ilvl w:val="1"/>
                <w:numId w:val="4"/>
              </w:numPr>
              <w:spacing w:after="0" w:line="240" w:lineRule="auto"/>
              <w:ind w:left="599" w:hanging="218"/>
              <w:jc w:val="both"/>
              <w:rPr>
                <w:lang w:val="es-ES_tradnl"/>
              </w:rPr>
            </w:pPr>
            <w:r w:rsidRPr="00F53415">
              <w:rPr>
                <w:rFonts w:ascii="Calibri Light" w:hAnsi="Calibri Light" w:cs="Calibri Light"/>
                <w:sz w:val="20"/>
                <w:szCs w:val="20"/>
                <w:lang w:val="es-ES_tradnl"/>
              </w:rPr>
              <w:lastRenderedPageBreak/>
              <w:t>"</w:t>
            </w:r>
            <w:r w:rsidRPr="00F53415">
              <w:rPr>
                <w:rFonts w:ascii="Calibri Light" w:hAnsi="Calibri Light" w:cs="Calibri Light"/>
                <w:b/>
                <w:bCs/>
                <w:i/>
                <w:iCs/>
                <w:sz w:val="20"/>
                <w:szCs w:val="20"/>
                <w:lang w:val="es-ES_tradnl"/>
              </w:rPr>
              <w:t xml:space="preserve">Creación de un fondo paneuropeo de </w:t>
            </w:r>
            <w:r w:rsidR="00A66425" w:rsidRPr="00F53415">
              <w:rPr>
                <w:rFonts w:ascii="Calibri Light" w:hAnsi="Calibri Light" w:cs="Calibri Light"/>
                <w:b/>
                <w:bCs/>
                <w:i/>
                <w:iCs/>
                <w:sz w:val="20"/>
                <w:szCs w:val="20"/>
                <w:lang w:val="es-ES_tradnl"/>
              </w:rPr>
              <w:t xml:space="preserve">OPV </w:t>
            </w:r>
            <w:r w:rsidRPr="00F53415">
              <w:rPr>
                <w:rFonts w:ascii="Calibri Light" w:hAnsi="Calibri Light" w:cs="Calibri Light"/>
                <w:b/>
                <w:bCs/>
                <w:i/>
                <w:iCs/>
                <w:sz w:val="20"/>
                <w:szCs w:val="20"/>
                <w:lang w:val="es-ES_tradnl"/>
              </w:rPr>
              <w:t>público-</w:t>
            </w:r>
            <w:r w:rsidR="00463CEE" w:rsidRPr="00F53415">
              <w:rPr>
                <w:rFonts w:ascii="Calibri Light" w:hAnsi="Calibri Light" w:cs="Calibri Light"/>
                <w:b/>
                <w:bCs/>
                <w:i/>
                <w:iCs/>
                <w:sz w:val="20"/>
                <w:szCs w:val="20"/>
                <w:lang w:val="es-ES_tradnl"/>
              </w:rPr>
              <w:t>privad</w:t>
            </w:r>
            <w:r w:rsidR="00463CEE">
              <w:rPr>
                <w:rFonts w:ascii="Calibri Light" w:hAnsi="Calibri Light" w:cs="Calibri Light"/>
                <w:b/>
                <w:bCs/>
                <w:i/>
                <w:iCs/>
                <w:sz w:val="20"/>
                <w:szCs w:val="20"/>
                <w:lang w:val="es-ES_tradnl"/>
              </w:rPr>
              <w:t>o</w:t>
            </w:r>
            <w:r w:rsidR="00463CEE" w:rsidRPr="00F53415">
              <w:rPr>
                <w:rFonts w:ascii="Calibri Light" w:hAnsi="Calibri Light" w:cs="Calibri Light"/>
                <w:b/>
                <w:bCs/>
                <w:i/>
                <w:iCs/>
                <w:sz w:val="20"/>
                <w:szCs w:val="20"/>
                <w:lang w:val="es-ES_tradnl"/>
              </w:rPr>
              <w:t xml:space="preserve"> </w:t>
            </w:r>
            <w:r w:rsidRPr="00F53415">
              <w:rPr>
                <w:rFonts w:ascii="Calibri Light" w:hAnsi="Calibri Light" w:cs="Calibri Light"/>
                <w:b/>
                <w:bCs/>
                <w:i/>
                <w:iCs/>
                <w:sz w:val="20"/>
                <w:szCs w:val="20"/>
                <w:lang w:val="es-ES_tradnl"/>
              </w:rPr>
              <w:t>respaldado por la UE</w:t>
            </w:r>
            <w:r w:rsidRPr="00F53415">
              <w:rPr>
                <w:rFonts w:ascii="Calibri Light" w:hAnsi="Calibri Light" w:cs="Calibri Light"/>
                <w:sz w:val="20"/>
                <w:szCs w:val="20"/>
                <w:lang w:val="es-ES_tradnl"/>
              </w:rPr>
              <w:t>"</w:t>
            </w:r>
          </w:p>
          <w:p w14:paraId="495FCB8D" w14:textId="77777777" w:rsidR="00C0649F" w:rsidRPr="00F53415" w:rsidRDefault="000E5064">
            <w:pPr>
              <w:pStyle w:val="Prrafodelista"/>
              <w:numPr>
                <w:ilvl w:val="1"/>
                <w:numId w:val="4"/>
              </w:numPr>
              <w:spacing w:after="0" w:line="240" w:lineRule="auto"/>
              <w:ind w:left="599" w:hanging="218"/>
              <w:jc w:val="both"/>
              <w:rPr>
                <w:lang w:val="es-ES_tradnl"/>
              </w:rPr>
            </w:pPr>
            <w:r w:rsidRPr="00F53415">
              <w:rPr>
                <w:rFonts w:ascii="Calibri Light" w:hAnsi="Calibri Light" w:cs="Calibri Light"/>
                <w:sz w:val="20"/>
                <w:szCs w:val="20"/>
                <w:lang w:val="es-ES_tradnl"/>
              </w:rPr>
              <w:t>"</w:t>
            </w:r>
            <w:r w:rsidRPr="00F53415">
              <w:rPr>
                <w:rFonts w:ascii="Calibri Light" w:hAnsi="Calibri Light" w:cs="Calibri Light"/>
                <w:b/>
                <w:sz w:val="20"/>
                <w:szCs w:val="20"/>
                <w:lang w:val="es-ES_tradnl"/>
              </w:rPr>
              <w:t>Eximir</w:t>
            </w:r>
            <w:r w:rsidRPr="00F53415">
              <w:rPr>
                <w:rFonts w:ascii="Calibri Light" w:hAnsi="Calibri Light" w:cs="Calibri Light"/>
                <w:sz w:val="20"/>
                <w:szCs w:val="20"/>
                <w:lang w:val="es-ES_tradnl"/>
              </w:rPr>
              <w:t xml:space="preserve"> </w:t>
            </w:r>
            <w:r w:rsidRPr="00F53415">
              <w:rPr>
                <w:rFonts w:ascii="Calibri Light" w:hAnsi="Calibri Light" w:cs="Calibri Light"/>
                <w:b/>
                <w:bCs/>
                <w:i/>
                <w:iCs/>
                <w:sz w:val="20"/>
                <w:szCs w:val="20"/>
                <w:lang w:val="es-ES_tradnl"/>
              </w:rPr>
              <w:t>la investigación en las PYMES de la norma de desagregación en la MiFID II</w:t>
            </w:r>
            <w:r w:rsidRPr="00F53415">
              <w:rPr>
                <w:rFonts w:ascii="Calibri Light" w:hAnsi="Calibri Light" w:cs="Calibri Light"/>
                <w:sz w:val="20"/>
                <w:szCs w:val="20"/>
                <w:lang w:val="es-ES_tradnl"/>
              </w:rPr>
              <w:t>"</w:t>
            </w:r>
          </w:p>
          <w:p w14:paraId="495FCB8E" w14:textId="56B98ED2" w:rsidR="00C0649F" w:rsidRPr="00F53415" w:rsidRDefault="000E5064">
            <w:pPr>
              <w:pStyle w:val="Prrafodelista"/>
              <w:numPr>
                <w:ilvl w:val="1"/>
                <w:numId w:val="4"/>
              </w:numPr>
              <w:spacing w:after="0" w:line="240" w:lineRule="auto"/>
              <w:ind w:left="599" w:hanging="218"/>
              <w:jc w:val="both"/>
              <w:rPr>
                <w:lang w:val="es-ES_tradnl"/>
              </w:rPr>
            </w:pPr>
            <w:r w:rsidRPr="00F53415">
              <w:rPr>
                <w:rFonts w:ascii="Calibri Light" w:hAnsi="Calibri Light" w:cs="Calibri Light"/>
                <w:b/>
                <w:bCs/>
                <w:i/>
                <w:iCs/>
                <w:sz w:val="20"/>
                <w:szCs w:val="20"/>
                <w:lang w:val="es-ES_tradnl"/>
              </w:rPr>
              <w:t>"</w:t>
            </w:r>
            <w:r w:rsidR="00A66425" w:rsidRPr="00F53415">
              <w:rPr>
                <w:rFonts w:ascii="Calibri Light" w:hAnsi="Calibri Light" w:cs="Calibri Light"/>
                <w:b/>
                <w:bCs/>
                <w:i/>
                <w:iCs/>
                <w:sz w:val="20"/>
                <w:szCs w:val="20"/>
                <w:lang w:val="es-ES_tradnl"/>
              </w:rPr>
              <w:t>Facilidades para el folleto</w:t>
            </w:r>
            <w:r w:rsidRPr="00F53415">
              <w:rPr>
                <w:rFonts w:ascii="Calibri Light" w:hAnsi="Calibri Light" w:cs="Calibri Light"/>
                <w:b/>
                <w:bCs/>
                <w:sz w:val="20"/>
                <w:szCs w:val="20"/>
                <w:lang w:val="es-ES_tradnl"/>
              </w:rPr>
              <w:t xml:space="preserve">" </w:t>
            </w:r>
            <w:r w:rsidRPr="00F53415">
              <w:rPr>
                <w:rFonts w:ascii="Calibri Light" w:hAnsi="Calibri Light" w:cs="Calibri Light"/>
                <w:sz w:val="20"/>
                <w:szCs w:val="20"/>
                <w:lang w:val="es-ES_tradnl"/>
              </w:rPr>
              <w:t xml:space="preserve">en cuanto a plazos, duración, </w:t>
            </w:r>
            <w:r w:rsidR="00A66425" w:rsidRPr="00F53415">
              <w:rPr>
                <w:rFonts w:ascii="Calibri Light" w:hAnsi="Calibri Light" w:cs="Calibri Light"/>
                <w:sz w:val="20"/>
                <w:szCs w:val="20"/>
                <w:lang w:val="es-ES_tradnl"/>
              </w:rPr>
              <w:t xml:space="preserve">límites </w:t>
            </w:r>
            <w:r w:rsidRPr="00F53415">
              <w:rPr>
                <w:rFonts w:ascii="Calibri Light" w:hAnsi="Calibri Light" w:cs="Calibri Light"/>
                <w:sz w:val="20"/>
                <w:szCs w:val="20"/>
                <w:lang w:val="es-ES_tradnl"/>
              </w:rPr>
              <w:t xml:space="preserve">y </w:t>
            </w:r>
            <w:r w:rsidR="00C7624B" w:rsidRPr="00F53415">
              <w:rPr>
                <w:rFonts w:ascii="Calibri Light" w:hAnsi="Calibri Light" w:cs="Calibri Light"/>
                <w:sz w:val="20"/>
                <w:szCs w:val="20"/>
                <w:lang w:val="es-ES_tradnl"/>
              </w:rPr>
              <w:t xml:space="preserve">derechos de </w:t>
            </w:r>
            <w:r w:rsidRPr="00F53415">
              <w:rPr>
                <w:rFonts w:ascii="Calibri Light" w:hAnsi="Calibri Light" w:cs="Calibri Light"/>
                <w:sz w:val="20"/>
                <w:szCs w:val="20"/>
                <w:lang w:val="es-ES_tradnl"/>
              </w:rPr>
              <w:t>pasaporte.</w:t>
            </w:r>
          </w:p>
          <w:p w14:paraId="495FCB8F" w14:textId="77777777"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"La falta de información pública fácilmente accesible, fiable, comprensible y comparable es una de las razones por las que las empresas (...) luchan por atraer a los inversores"</w:t>
            </w:r>
          </w:p>
          <w:p w14:paraId="495FCB90" w14:textId="356546F7" w:rsidR="00C0649F" w:rsidRPr="00F53415" w:rsidRDefault="000E5064">
            <w:pPr>
              <w:pStyle w:val="Prrafodelista"/>
              <w:numPr>
                <w:ilvl w:val="0"/>
                <w:numId w:val="7"/>
              </w:numPr>
              <w:spacing w:after="0" w:line="240" w:lineRule="auto"/>
              <w:ind w:hanging="263"/>
              <w:jc w:val="both"/>
              <w:rPr>
                <w:lang w:val="es-ES_tradnl"/>
              </w:rPr>
            </w:pPr>
            <w:r w:rsidRPr="00F53415">
              <w:rPr>
                <w:rFonts w:ascii="Calibri Light" w:hAnsi="Calibri Light" w:cs="Calibri Light"/>
                <w:i/>
                <w:iCs/>
                <w:sz w:val="20"/>
                <w:szCs w:val="20"/>
                <w:lang w:val="es-ES_tradnl"/>
              </w:rPr>
              <w:t xml:space="preserve">"Proponer legislación para que la AEVM establezca una plataforma de acceso digital en toda la UE (Punto de Acceso Único de la UE, o "ESAP") </w:t>
            </w:r>
            <w:r w:rsidR="00C7624B" w:rsidRPr="00F53415">
              <w:rPr>
                <w:rFonts w:ascii="Calibri Light" w:hAnsi="Calibri Light" w:cs="Calibri Light"/>
                <w:i/>
                <w:iCs/>
                <w:sz w:val="20"/>
                <w:szCs w:val="20"/>
                <w:lang w:val="es-ES_tradnl"/>
              </w:rPr>
              <w:t>par</w:t>
            </w:r>
            <w:r w:rsidRPr="00F53415">
              <w:rPr>
                <w:rFonts w:ascii="Calibri Light" w:hAnsi="Calibri Light" w:cs="Calibri Light"/>
                <w:i/>
                <w:iCs/>
                <w:sz w:val="20"/>
                <w:szCs w:val="20"/>
                <w:lang w:val="es-ES_tradnl"/>
              </w:rPr>
              <w:t xml:space="preserve">a la información pública financiera y no financiera de las empresas, así como </w:t>
            </w:r>
            <w:r w:rsidR="00C7624B" w:rsidRPr="00F53415">
              <w:rPr>
                <w:rFonts w:ascii="Calibri Light" w:hAnsi="Calibri Light" w:cs="Calibri Light"/>
                <w:i/>
                <w:iCs/>
                <w:sz w:val="20"/>
                <w:szCs w:val="20"/>
                <w:lang w:val="es-ES_tradnl"/>
              </w:rPr>
              <w:t>par</w:t>
            </w:r>
            <w:r w:rsidRPr="00F53415">
              <w:rPr>
                <w:rFonts w:ascii="Calibri Light" w:hAnsi="Calibri Light" w:cs="Calibri Light"/>
                <w:i/>
                <w:iCs/>
                <w:sz w:val="20"/>
                <w:szCs w:val="20"/>
                <w:lang w:val="es-ES_tradnl"/>
              </w:rPr>
              <w:t>a otros productos financieros o información pública relevante para la actividad".</w:t>
            </w:r>
          </w:p>
        </w:tc>
      </w:tr>
      <w:tr w:rsidR="00C0649F" w:rsidRPr="00B9393B" w14:paraId="495FCBA0"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92" w14:textId="09604547" w:rsidR="00C0649F" w:rsidRPr="00F53415" w:rsidRDefault="000E5064">
            <w:pPr>
              <w:spacing w:after="0" w:line="240" w:lineRule="auto"/>
              <w:jc w:val="both"/>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lastRenderedPageBreak/>
              <w:t xml:space="preserve">Mejor acceso a </w:t>
            </w:r>
            <w:r w:rsidR="00C7624B" w:rsidRPr="00F53415">
              <w:rPr>
                <w:rFonts w:ascii="Calibri Light" w:hAnsi="Calibri Light" w:cs="Calibri Light"/>
                <w:b/>
                <w:bCs/>
                <w:color w:val="0070C0"/>
                <w:sz w:val="20"/>
                <w:szCs w:val="20"/>
                <w:lang w:val="es-ES_tradnl"/>
              </w:rPr>
              <w:t xml:space="preserve"> una </w:t>
            </w:r>
            <w:r w:rsidRPr="00F53415">
              <w:rPr>
                <w:rFonts w:ascii="Calibri Light" w:hAnsi="Calibri Light" w:cs="Calibri Light"/>
                <w:b/>
                <w:bCs/>
                <w:color w:val="0070C0"/>
                <w:sz w:val="20"/>
                <w:szCs w:val="20"/>
                <w:lang w:val="es-ES_tradnl"/>
              </w:rPr>
              <w:t>información comparable, justa, clara y no engañosa</w:t>
            </w:r>
          </w:p>
          <w:p w14:paraId="495FCB93" w14:textId="4EF8F96E" w:rsidR="00C0649F" w:rsidRPr="00F53415" w:rsidRDefault="000E5064">
            <w:pPr>
              <w:spacing w:after="0" w:line="240" w:lineRule="auto"/>
              <w:rPr>
                <w:lang w:val="es-ES_tradnl"/>
              </w:rPr>
            </w:pPr>
            <w:r w:rsidRPr="00F53415">
              <w:rPr>
                <w:rFonts w:ascii="Calibri Light" w:hAnsi="Calibri Light" w:cs="Calibri Light"/>
                <w:sz w:val="20"/>
                <w:szCs w:val="20"/>
                <w:lang w:val="es-ES_tradnl"/>
              </w:rPr>
              <w:t xml:space="preserve">9) "(...) </w:t>
            </w:r>
            <w:r w:rsidRPr="00F53415">
              <w:rPr>
                <w:rFonts w:ascii="Calibri Light" w:hAnsi="Calibri Light" w:cs="Calibri Light"/>
                <w:b/>
                <w:bCs/>
                <w:sz w:val="20"/>
                <w:szCs w:val="20"/>
                <w:lang w:val="es-ES_tradnl"/>
              </w:rPr>
              <w:t>revisar urgentemente el Reglamento de los PRIIP"</w:t>
            </w:r>
          </w:p>
          <w:p w14:paraId="495FCB94" w14:textId="77777777" w:rsidR="00C0649F" w:rsidRPr="00F53415" w:rsidRDefault="000E5064">
            <w:pPr>
              <w:spacing w:after="0" w:line="240" w:lineRule="auto"/>
              <w:rPr>
                <w:lang w:val="es-ES_tradnl"/>
              </w:rPr>
            </w:pPr>
            <w:r w:rsidRPr="00F53415">
              <w:rPr>
                <w:rFonts w:ascii="Calibri Light" w:hAnsi="Calibri Light" w:cs="Calibri Light"/>
                <w:sz w:val="20"/>
                <w:szCs w:val="20"/>
                <w:lang w:val="es-ES_tradnl"/>
              </w:rPr>
              <w:t>10) "</w:t>
            </w:r>
            <w:r w:rsidRPr="00F53415">
              <w:rPr>
                <w:rFonts w:ascii="Calibri Light" w:hAnsi="Calibri Light" w:cs="Calibri Light"/>
                <w:b/>
                <w:bCs/>
                <w:sz w:val="20"/>
                <w:szCs w:val="20"/>
                <w:lang w:val="es-ES_tradnl"/>
              </w:rPr>
              <w:t xml:space="preserve">Simplificar </w:t>
            </w:r>
            <w:r w:rsidRPr="00F53415">
              <w:rPr>
                <w:rFonts w:ascii="Calibri Light" w:hAnsi="Calibri Light" w:cs="Calibri Light"/>
                <w:sz w:val="20"/>
                <w:szCs w:val="20"/>
                <w:lang w:val="es-ES_tradnl"/>
              </w:rPr>
              <w:t>y normalizar los documentos de información clave"</w:t>
            </w:r>
          </w:p>
          <w:p w14:paraId="495FCB95" w14:textId="570DEDB1" w:rsidR="00C0649F" w:rsidRPr="00F53415" w:rsidRDefault="000E5064">
            <w:pPr>
              <w:spacing w:after="0" w:line="240" w:lineRule="auto"/>
              <w:rPr>
                <w:lang w:val="es-ES_tradnl"/>
              </w:rPr>
            </w:pPr>
            <w:r w:rsidRPr="00F53415">
              <w:rPr>
                <w:rFonts w:ascii="Calibri Light" w:hAnsi="Calibri Light" w:cs="Calibri Light"/>
                <w:sz w:val="20"/>
                <w:szCs w:val="20"/>
                <w:lang w:val="es-ES_tradnl"/>
              </w:rPr>
              <w:t>11) "crear herramientas de comparación públicas o, al menos, independientes</w:t>
            </w:r>
            <w:r w:rsidR="00C7624B" w:rsidRPr="00F53415">
              <w:rPr>
                <w:rFonts w:ascii="Calibri Light" w:hAnsi="Calibri Light" w:cs="Calibri Light"/>
                <w:sz w:val="20"/>
                <w:szCs w:val="20"/>
                <w:lang w:val="es-ES_tradnl"/>
              </w:rPr>
              <w:t>,</w:t>
            </w:r>
            <w:r w:rsidRPr="00F53415">
              <w:rPr>
                <w:rFonts w:ascii="Calibri Light" w:hAnsi="Calibri Light" w:cs="Calibri Light"/>
                <w:sz w:val="20"/>
                <w:szCs w:val="20"/>
                <w:lang w:val="es-ES_tradnl"/>
              </w:rPr>
              <w:t xml:space="preserve"> en </w:t>
            </w:r>
            <w:r w:rsidRPr="00F53415">
              <w:rPr>
                <w:rFonts w:ascii="Calibri Light" w:hAnsi="Calibri Light" w:cs="Calibri Light"/>
                <w:b/>
                <w:bCs/>
                <w:sz w:val="20"/>
                <w:szCs w:val="20"/>
                <w:lang w:val="es-ES_tradnl"/>
              </w:rPr>
              <w:t>toda la UE basadas en la web</w:t>
            </w:r>
            <w:r w:rsidRPr="00F53415">
              <w:rPr>
                <w:rFonts w:ascii="Calibri Light" w:hAnsi="Calibri Light" w:cs="Calibri Light"/>
                <w:sz w:val="20"/>
                <w:szCs w:val="20"/>
                <w:lang w:val="es-ES_tradnl"/>
              </w:rPr>
              <w:t>"</w:t>
            </w:r>
          </w:p>
          <w:p w14:paraId="495FCB96" w14:textId="77777777" w:rsidR="00C0649F" w:rsidRPr="00F53415" w:rsidRDefault="000E5064">
            <w:pPr>
              <w:spacing w:after="0" w:line="240" w:lineRule="auto"/>
              <w:rPr>
                <w:lang w:val="es-ES_tradnl"/>
              </w:rPr>
            </w:pPr>
            <w:r w:rsidRPr="00F53415">
              <w:rPr>
                <w:rFonts w:ascii="Calibri Light" w:hAnsi="Calibri Light" w:cs="Calibri Light"/>
                <w:sz w:val="20"/>
                <w:szCs w:val="20"/>
                <w:lang w:val="es-ES_tradnl"/>
              </w:rPr>
              <w:t xml:space="preserve">12) "diferenciar </w:t>
            </w:r>
            <w:r w:rsidRPr="00F53415">
              <w:rPr>
                <w:rFonts w:ascii="Calibri Light" w:hAnsi="Calibri Light" w:cs="Calibri Light"/>
                <w:b/>
                <w:bCs/>
                <w:sz w:val="20"/>
                <w:szCs w:val="20"/>
                <w:lang w:val="es-ES_tradnl"/>
              </w:rPr>
              <w:t>entre los inversionistas inexpertos y los experimentados</w:t>
            </w:r>
            <w:r w:rsidRPr="00F53415">
              <w:rPr>
                <w:rFonts w:ascii="Calibri Light" w:hAnsi="Calibri Light" w:cs="Calibri Light"/>
                <w:sz w:val="20"/>
                <w:szCs w:val="20"/>
                <w:lang w:val="es-ES_tradn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97" w14:textId="7D341321" w:rsidR="00C0649F" w:rsidRPr="00F53415" w:rsidRDefault="00C7624B">
            <w:pPr>
              <w:spacing w:after="0" w:line="240" w:lineRule="auto"/>
              <w:rPr>
                <w:lang w:val="es-ES_tradnl"/>
              </w:rPr>
            </w:pPr>
            <w:r w:rsidRPr="00F53415">
              <w:rPr>
                <w:rFonts w:ascii="Calibri Light" w:hAnsi="Calibri Light" w:cs="Calibri Light"/>
                <w:b/>
                <w:bCs/>
                <w:sz w:val="20"/>
                <w:szCs w:val="20"/>
                <w:lang w:val="es-ES_tradnl"/>
              </w:rPr>
              <w:t xml:space="preserve">Cuestiones </w:t>
            </w:r>
            <w:r w:rsidR="000E5064" w:rsidRPr="00F53415">
              <w:rPr>
                <w:rFonts w:ascii="Calibri Light" w:hAnsi="Calibri Light" w:cs="Calibri Light"/>
                <w:b/>
                <w:bCs/>
                <w:sz w:val="20"/>
                <w:szCs w:val="20"/>
                <w:lang w:val="es-ES_tradnl"/>
              </w:rPr>
              <w:t xml:space="preserve">y </w:t>
            </w:r>
            <w:r w:rsidRPr="00F53415">
              <w:rPr>
                <w:rFonts w:ascii="Calibri Light" w:hAnsi="Calibri Light" w:cs="Calibri Light"/>
                <w:b/>
                <w:bCs/>
                <w:sz w:val="20"/>
                <w:szCs w:val="20"/>
                <w:lang w:val="es-ES_tradnl"/>
              </w:rPr>
              <w:t>reglas d</w:t>
            </w:r>
            <w:r w:rsidR="000E5064" w:rsidRPr="00F53415">
              <w:rPr>
                <w:rFonts w:ascii="Calibri Light" w:hAnsi="Calibri Light" w:cs="Calibri Light"/>
                <w:b/>
                <w:bCs/>
                <w:sz w:val="20"/>
                <w:szCs w:val="20"/>
                <w:lang w:val="es-ES_tradnl"/>
              </w:rPr>
              <w:t>el juego:</w:t>
            </w:r>
          </w:p>
          <w:p w14:paraId="495FCB98" w14:textId="7EFAAD85"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"Las normas de divulgación deben ser reevaluadas con </w:t>
            </w:r>
            <w:r w:rsidR="00C7624B" w:rsidRPr="00F53415">
              <w:rPr>
                <w:rFonts w:ascii="Calibri Light" w:hAnsi="Calibri Light" w:cs="Calibri Light"/>
                <w:i/>
                <w:iCs/>
                <w:sz w:val="20"/>
                <w:szCs w:val="20"/>
                <w:lang w:val="es-ES_tradnl"/>
              </w:rPr>
              <w:t>el propósito de</w:t>
            </w:r>
            <w:r w:rsidRPr="00F53415">
              <w:rPr>
                <w:rFonts w:ascii="Calibri Light" w:hAnsi="Calibri Light" w:cs="Calibri Light"/>
                <w:i/>
                <w:iCs/>
                <w:sz w:val="20"/>
                <w:szCs w:val="20"/>
                <w:lang w:val="es-ES_tradnl"/>
              </w:rPr>
              <w:t xml:space="preserve"> hacerlas más coherentes, más comprensibles para los inversores minoristas y </w:t>
            </w:r>
            <w:r w:rsidR="00C7624B" w:rsidRPr="00F53415">
              <w:rPr>
                <w:rFonts w:ascii="Calibri Light" w:hAnsi="Calibri Light" w:cs="Calibri Light"/>
                <w:i/>
                <w:iCs/>
                <w:sz w:val="20"/>
                <w:szCs w:val="20"/>
                <w:lang w:val="es-ES_tradnl"/>
              </w:rPr>
              <w:t xml:space="preserve">digitalmente </w:t>
            </w:r>
            <w:r w:rsidRPr="00F53415">
              <w:rPr>
                <w:rFonts w:ascii="Calibri Light" w:hAnsi="Calibri Light" w:cs="Calibri Light"/>
                <w:i/>
                <w:iCs/>
                <w:sz w:val="20"/>
                <w:szCs w:val="20"/>
                <w:lang w:val="es-ES_tradnl"/>
              </w:rPr>
              <w:t>accesibles"</w:t>
            </w:r>
          </w:p>
          <w:p w14:paraId="495FCB99" w14:textId="71DFD29B" w:rsidR="00C0649F" w:rsidRPr="00F53415" w:rsidRDefault="000E5064">
            <w:pPr>
              <w:pStyle w:val="Prrafodelista"/>
              <w:numPr>
                <w:ilvl w:val="0"/>
                <w:numId w:val="7"/>
              </w:numPr>
              <w:spacing w:after="0" w:line="240" w:lineRule="auto"/>
              <w:ind w:hanging="263"/>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"Se invita a la Comisión a que revise lo antes posible, y con tiempo suficiente para evitar un conflicto con la expiración de la exención para los OICVM, el Reglamento de los PRIIP para abordar las cuestiones planteadas por la mayoría de los interesados en relación con la inteligibilidad y comparabilidad de la información y la coherencia con las normas de información de la MIFID, en particular en lo que respecta a la divulgación de los resultados y los </w:t>
            </w:r>
            <w:r w:rsidR="00C7624B" w:rsidRPr="00F53415">
              <w:rPr>
                <w:rFonts w:ascii="Calibri Light" w:hAnsi="Calibri Light" w:cs="Calibri Light"/>
                <w:i/>
                <w:iCs/>
                <w:sz w:val="20"/>
                <w:szCs w:val="20"/>
                <w:lang w:val="es-ES_tradnl"/>
              </w:rPr>
              <w:t>costes</w:t>
            </w:r>
            <w:r w:rsidRPr="00F53415">
              <w:rPr>
                <w:rFonts w:ascii="Calibri Light" w:hAnsi="Calibri Light" w:cs="Calibri Light"/>
                <w:i/>
                <w:iCs/>
                <w:sz w:val="20"/>
                <w:szCs w:val="20"/>
                <w:lang w:val="es-ES_tradnl"/>
              </w:rPr>
              <w:t>".</w:t>
            </w:r>
          </w:p>
          <w:p w14:paraId="495FCB9A" w14:textId="77777777" w:rsidR="00C0649F" w:rsidRPr="00F53415" w:rsidRDefault="000E5064">
            <w:pPr>
              <w:pStyle w:val="Prrafodelista"/>
              <w:numPr>
                <w:ilvl w:val="0"/>
                <w:numId w:val="7"/>
              </w:numPr>
              <w:spacing w:after="0" w:line="240" w:lineRule="auto"/>
              <w:ind w:hanging="263"/>
              <w:jc w:val="both"/>
              <w:rPr>
                <w:lang w:val="es-ES_tradnl"/>
              </w:rPr>
            </w:pPr>
            <w:r w:rsidRPr="00F53415">
              <w:rPr>
                <w:rFonts w:ascii="Calibri Light" w:hAnsi="Calibri Light" w:cs="Calibri Light"/>
                <w:sz w:val="20"/>
                <w:szCs w:val="20"/>
                <w:lang w:val="es-ES_tradnl"/>
              </w:rPr>
              <w:t xml:space="preserve">"Se invita </w:t>
            </w:r>
            <w:r w:rsidRPr="00F53415">
              <w:rPr>
                <w:rFonts w:ascii="Calibri Light" w:hAnsi="Calibri Light" w:cs="Calibri Light"/>
                <w:i/>
                <w:iCs/>
                <w:sz w:val="20"/>
                <w:szCs w:val="20"/>
                <w:lang w:val="es-ES_tradnl"/>
              </w:rPr>
              <w:t>también a la Comisión a que realice un análisis y una evaluación a fondo de todas las normas pertinentes en vigor y su aplicación</w:t>
            </w:r>
            <w:r w:rsidRPr="00F53415">
              <w:rPr>
                <w:rFonts w:ascii="Calibri Light" w:hAnsi="Calibri Light" w:cs="Calibri Light"/>
                <w:sz w:val="20"/>
                <w:szCs w:val="20"/>
                <w:lang w:val="es-ES_tradnl"/>
              </w:rPr>
              <w:t>".</w:t>
            </w:r>
          </w:p>
          <w:p w14:paraId="495FCB9B" w14:textId="667F2CDB" w:rsidR="00C0649F" w:rsidRPr="00F53415" w:rsidRDefault="000E5064">
            <w:pPr>
              <w:pStyle w:val="Prrafodelista"/>
              <w:numPr>
                <w:ilvl w:val="0"/>
                <w:numId w:val="7"/>
              </w:numPr>
              <w:spacing w:after="0" w:line="240" w:lineRule="auto"/>
              <w:ind w:hanging="263"/>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"La Comisión debería garantizar que la divulgación </w:t>
            </w:r>
            <w:r w:rsidR="00C7624B" w:rsidRPr="00F53415">
              <w:rPr>
                <w:rFonts w:ascii="Calibri Light" w:hAnsi="Calibri Light" w:cs="Calibri Light"/>
                <w:i/>
                <w:iCs/>
                <w:sz w:val="20"/>
                <w:szCs w:val="20"/>
                <w:lang w:val="es-ES_tradnl"/>
              </w:rPr>
              <w:t xml:space="preserve">incluida en  el KID de los </w:t>
            </w:r>
            <w:r w:rsidRPr="00F53415">
              <w:rPr>
                <w:rFonts w:ascii="Calibri Light" w:hAnsi="Calibri Light" w:cs="Calibri Light"/>
                <w:i/>
                <w:iCs/>
                <w:sz w:val="20"/>
                <w:szCs w:val="20"/>
                <w:lang w:val="es-ES_tradnl"/>
              </w:rPr>
              <w:t xml:space="preserve">PRIIPS sea adecuada y significativa para permitir </w:t>
            </w:r>
            <w:r w:rsidR="00C7624B" w:rsidRPr="00F53415">
              <w:rPr>
                <w:rFonts w:ascii="Calibri Light" w:hAnsi="Calibri Light" w:cs="Calibri Light"/>
                <w:i/>
                <w:iCs/>
                <w:sz w:val="20"/>
                <w:szCs w:val="20"/>
                <w:lang w:val="es-ES_tradnl"/>
              </w:rPr>
              <w:t xml:space="preserve">unas </w:t>
            </w:r>
            <w:r w:rsidRPr="00F53415">
              <w:rPr>
                <w:rFonts w:ascii="Calibri Light" w:hAnsi="Calibri Light" w:cs="Calibri Light"/>
                <w:i/>
                <w:iCs/>
                <w:sz w:val="20"/>
                <w:szCs w:val="20"/>
                <w:lang w:val="es-ES_tradnl"/>
              </w:rPr>
              <w:t xml:space="preserve">comparaciones razonables de las principales características del producto, incluido el rendimiento </w:t>
            </w:r>
            <w:r w:rsidR="00C7624B" w:rsidRPr="00F53415">
              <w:rPr>
                <w:rFonts w:ascii="Calibri Light" w:hAnsi="Calibri Light" w:cs="Calibri Light"/>
                <w:i/>
                <w:iCs/>
                <w:sz w:val="20"/>
                <w:szCs w:val="20"/>
                <w:lang w:val="es-ES_tradnl"/>
              </w:rPr>
              <w:t xml:space="preserve">anterior </w:t>
            </w:r>
            <w:r w:rsidRPr="00F53415">
              <w:rPr>
                <w:rFonts w:ascii="Calibri Light" w:hAnsi="Calibri Light" w:cs="Calibri Light"/>
                <w:i/>
                <w:iCs/>
                <w:sz w:val="20"/>
                <w:szCs w:val="20"/>
                <w:lang w:val="es-ES_tradnl"/>
              </w:rPr>
              <w:t xml:space="preserve">a largo plazo de los productos de inversión y de su </w:t>
            </w:r>
            <w:r w:rsidR="00C7624B" w:rsidRPr="00F53415">
              <w:rPr>
                <w:rFonts w:ascii="Calibri Light" w:hAnsi="Calibri Light" w:cs="Calibri Light"/>
                <w:i/>
                <w:iCs/>
                <w:sz w:val="20"/>
                <w:szCs w:val="20"/>
                <w:lang w:val="es-ES_tradnl"/>
              </w:rPr>
              <w:t xml:space="preserve">valor </w:t>
            </w:r>
            <w:r w:rsidRPr="00F53415">
              <w:rPr>
                <w:rFonts w:ascii="Calibri Light" w:hAnsi="Calibri Light" w:cs="Calibri Light"/>
                <w:i/>
                <w:iCs/>
                <w:sz w:val="20"/>
                <w:szCs w:val="20"/>
                <w:lang w:val="es-ES_tradnl"/>
              </w:rPr>
              <w:t>de referencia".</w:t>
            </w:r>
          </w:p>
          <w:p w14:paraId="495FCB9C" w14:textId="45DFCD44"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"La simplificación de las normas sobre divulgación podría facilitar la creación de </w:t>
            </w:r>
            <w:r w:rsidR="00C7624B" w:rsidRPr="00F53415">
              <w:rPr>
                <w:rFonts w:ascii="Calibri Light" w:hAnsi="Calibri Light" w:cs="Calibri Light"/>
                <w:i/>
                <w:iCs/>
                <w:sz w:val="20"/>
                <w:szCs w:val="20"/>
                <w:lang w:val="es-ES_tradnl"/>
              </w:rPr>
              <w:t xml:space="preserve">unas </w:t>
            </w:r>
            <w:r w:rsidRPr="00F53415">
              <w:rPr>
                <w:rFonts w:ascii="Calibri Light" w:hAnsi="Calibri Light" w:cs="Calibri Light"/>
                <w:i/>
                <w:iCs/>
                <w:sz w:val="20"/>
                <w:szCs w:val="20"/>
                <w:lang w:val="es-ES_tradnl"/>
              </w:rPr>
              <w:t>bases de datos de productos de inversión e instrumentos de comparación más eficaces".</w:t>
            </w:r>
          </w:p>
          <w:p w14:paraId="495FCB9D" w14:textId="77E891FE" w:rsidR="00C0649F" w:rsidRPr="00F53415" w:rsidRDefault="000E5064">
            <w:pPr>
              <w:pStyle w:val="Prrafodelista"/>
              <w:numPr>
                <w:ilvl w:val="0"/>
                <w:numId w:val="7"/>
              </w:numPr>
              <w:spacing w:after="0" w:line="240" w:lineRule="auto"/>
              <w:ind w:hanging="263"/>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"La Comisión debería examinar </w:t>
            </w:r>
            <w:r w:rsidR="00C7624B" w:rsidRPr="00F53415">
              <w:rPr>
                <w:rFonts w:ascii="Calibri Light" w:hAnsi="Calibri Light" w:cs="Calibri Light"/>
                <w:i/>
                <w:iCs/>
                <w:sz w:val="20"/>
                <w:szCs w:val="20"/>
                <w:lang w:val="es-ES_tradnl"/>
              </w:rPr>
              <w:t>maneras</w:t>
            </w:r>
            <w:r w:rsidRPr="00F53415">
              <w:rPr>
                <w:rFonts w:ascii="Calibri Light" w:hAnsi="Calibri Light" w:cs="Calibri Light"/>
                <w:i/>
                <w:iCs/>
                <w:sz w:val="20"/>
                <w:szCs w:val="20"/>
                <w:lang w:val="es-ES_tradnl"/>
              </w:rPr>
              <w:t xml:space="preserve"> de promover la </w:t>
            </w:r>
            <w:r w:rsidR="00C7624B" w:rsidRPr="00F53415">
              <w:rPr>
                <w:rFonts w:ascii="Calibri Light" w:hAnsi="Calibri Light" w:cs="Calibri Light"/>
                <w:i/>
                <w:iCs/>
                <w:sz w:val="20"/>
                <w:szCs w:val="20"/>
                <w:lang w:val="es-ES_tradnl"/>
              </w:rPr>
              <w:t xml:space="preserve">creación </w:t>
            </w:r>
            <w:r w:rsidRPr="00F53415">
              <w:rPr>
                <w:rFonts w:ascii="Calibri Light" w:hAnsi="Calibri Light" w:cs="Calibri Light"/>
                <w:i/>
                <w:iCs/>
                <w:sz w:val="20"/>
                <w:szCs w:val="20"/>
                <w:lang w:val="es-ES_tradnl"/>
              </w:rPr>
              <w:t xml:space="preserve">de </w:t>
            </w:r>
            <w:r w:rsidR="00C7624B" w:rsidRPr="00F53415">
              <w:rPr>
                <w:rFonts w:ascii="Calibri Light" w:hAnsi="Calibri Light" w:cs="Calibri Light"/>
                <w:i/>
                <w:iCs/>
                <w:sz w:val="20"/>
                <w:szCs w:val="20"/>
                <w:lang w:val="es-ES_tradnl"/>
              </w:rPr>
              <w:t xml:space="preserve">unos </w:t>
            </w:r>
            <w:r w:rsidRPr="00F53415">
              <w:rPr>
                <w:rFonts w:ascii="Calibri Light" w:hAnsi="Calibri Light" w:cs="Calibri Light"/>
                <w:i/>
                <w:iCs/>
                <w:sz w:val="20"/>
                <w:szCs w:val="20"/>
                <w:lang w:val="es-ES_tradnl"/>
              </w:rPr>
              <w:t>instrumentos de comparación independientes basados en la web para los productos de inversión".</w:t>
            </w:r>
          </w:p>
          <w:p w14:paraId="495FCB9E" w14:textId="77777777" w:rsidR="00C0649F" w:rsidRPr="00F53415" w:rsidRDefault="000E5064">
            <w:pPr>
              <w:pStyle w:val="Prrafodelista"/>
              <w:numPr>
                <w:ilvl w:val="0"/>
                <w:numId w:val="6"/>
              </w:numPr>
              <w:spacing w:after="0" w:line="240" w:lineRule="auto"/>
              <w:ind w:left="173" w:hanging="218"/>
              <w:jc w:val="both"/>
              <w:rPr>
                <w:lang w:val="es-ES_tradnl"/>
              </w:rPr>
            </w:pPr>
            <w:r w:rsidRPr="00F53415">
              <w:rPr>
                <w:rFonts w:ascii="Calibri Light" w:hAnsi="Calibri Light" w:cs="Calibri Light"/>
                <w:sz w:val="20"/>
                <w:szCs w:val="20"/>
                <w:lang w:val="es-ES_tradnl"/>
              </w:rPr>
              <w:t>"</w:t>
            </w:r>
            <w:r w:rsidRPr="00F53415">
              <w:rPr>
                <w:rFonts w:ascii="Calibri Light" w:hAnsi="Calibri Light" w:cs="Calibri Light"/>
                <w:i/>
                <w:iCs/>
                <w:sz w:val="20"/>
                <w:szCs w:val="20"/>
                <w:lang w:val="es-ES_tradnl"/>
              </w:rPr>
              <w:t>Una nueva categoría de inversores cualificados o la posibilidad de optar por ser inversores profesionales proporcionaría a los clientes más experimentados una divulgación de información mejor adaptada a sus necesidades".</w:t>
            </w:r>
          </w:p>
          <w:p w14:paraId="495FCB9F" w14:textId="6BB26670" w:rsidR="00C0649F" w:rsidRPr="00F53415" w:rsidRDefault="000E5064" w:rsidP="00F53415">
            <w:pPr>
              <w:pStyle w:val="Prrafodelista"/>
              <w:numPr>
                <w:ilvl w:val="0"/>
                <w:numId w:val="7"/>
              </w:numPr>
              <w:spacing w:after="0" w:line="240" w:lineRule="auto"/>
              <w:ind w:hanging="263"/>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lastRenderedPageBreak/>
              <w:t xml:space="preserve">"crea una nueva categoría de inversores cualificados no profesionales [...] o modifica la definición de inversores profesionales </w:t>
            </w:r>
            <w:r w:rsidR="0028248B" w:rsidRPr="00F53415">
              <w:rPr>
                <w:rFonts w:ascii="Calibri Light" w:hAnsi="Calibri Light" w:cs="Calibri Light"/>
                <w:i/>
                <w:iCs/>
                <w:sz w:val="20"/>
                <w:szCs w:val="20"/>
                <w:lang w:val="es-ES_tradnl"/>
              </w:rPr>
              <w:t>establecida en</w:t>
            </w:r>
            <w:r w:rsidRPr="00F53415">
              <w:rPr>
                <w:rFonts w:ascii="Calibri Light" w:hAnsi="Calibri Light" w:cs="Calibri Light"/>
                <w:i/>
                <w:iCs/>
                <w:sz w:val="20"/>
                <w:szCs w:val="20"/>
                <w:lang w:val="es-ES_tradnl"/>
              </w:rPr>
              <w:t xml:space="preserve"> la MiFID II"</w:t>
            </w:r>
          </w:p>
        </w:tc>
      </w:tr>
      <w:tr w:rsidR="00C0649F" w:rsidRPr="00B9393B" w14:paraId="495FCBA6"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A1" w14:textId="3610CAE7" w:rsidR="00C0649F" w:rsidRPr="00F53415" w:rsidRDefault="0028248B">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lastRenderedPageBreak/>
              <w:t xml:space="preserve">Aumentar </w:t>
            </w:r>
            <w:r w:rsidR="000E5064" w:rsidRPr="00F53415">
              <w:rPr>
                <w:rFonts w:ascii="Calibri Light" w:hAnsi="Calibri Light" w:cs="Calibri Light"/>
                <w:b/>
                <w:bCs/>
                <w:color w:val="0070C0"/>
                <w:sz w:val="20"/>
                <w:szCs w:val="20"/>
                <w:lang w:val="es-ES_tradnl"/>
              </w:rPr>
              <w:t>la creación de valor a largo plazo y sostenible</w:t>
            </w:r>
          </w:p>
          <w:p w14:paraId="495FCBA2" w14:textId="13D04B42" w:rsidR="00C0649F" w:rsidRPr="00F53415" w:rsidRDefault="000E5064" w:rsidP="00F53415">
            <w:pPr>
              <w:spacing w:after="0" w:line="240" w:lineRule="auto"/>
              <w:rPr>
                <w:lang w:val="es-ES_tradnl"/>
              </w:rPr>
            </w:pPr>
            <w:r w:rsidRPr="00F53415">
              <w:rPr>
                <w:rFonts w:ascii="Calibri Light" w:hAnsi="Calibri Light" w:cs="Calibri Light"/>
                <w:sz w:val="20"/>
                <w:szCs w:val="20"/>
                <w:lang w:val="es-ES_tradnl"/>
              </w:rPr>
              <w:t xml:space="preserve">13) "Seguimiento de las </w:t>
            </w:r>
            <w:r w:rsidRPr="00F53415">
              <w:rPr>
                <w:rFonts w:ascii="Calibri Light" w:hAnsi="Calibri Light" w:cs="Calibri Light"/>
                <w:b/>
                <w:bCs/>
                <w:sz w:val="20"/>
                <w:szCs w:val="20"/>
                <w:lang w:val="es-ES_tradnl"/>
              </w:rPr>
              <w:t xml:space="preserve">mejores prácticas de </w:t>
            </w:r>
            <w:r w:rsidR="0028248B" w:rsidRPr="00F53415">
              <w:rPr>
                <w:rFonts w:ascii="Calibri Light" w:hAnsi="Calibri Light" w:cs="Calibri Light"/>
                <w:b/>
                <w:bCs/>
                <w:sz w:val="20"/>
                <w:szCs w:val="20"/>
                <w:lang w:val="es-ES_tradnl"/>
              </w:rPr>
              <w:t>participación accionaria</w:t>
            </w:r>
            <w:r w:rsidRPr="00F53415">
              <w:rPr>
                <w:rFonts w:ascii="Calibri Light" w:hAnsi="Calibri Light" w:cs="Calibri Light"/>
                <w:b/>
                <w:bCs/>
                <w:sz w:val="20"/>
                <w:szCs w:val="20"/>
                <w:lang w:val="es-ES_tradnl"/>
              </w:rPr>
              <w:t xml:space="preserve"> de los empleados </w:t>
            </w:r>
            <w:r w:rsidRPr="00F53415">
              <w:rPr>
                <w:rFonts w:ascii="Calibri Light" w:hAnsi="Calibri Light" w:cs="Calibri Light"/>
                <w:sz w:val="20"/>
                <w:szCs w:val="20"/>
                <w:lang w:val="es-ES_tradnl"/>
              </w:rPr>
              <w:t xml:space="preserve">con una 'Acción' de la </w:t>
            </w:r>
            <w:r w:rsidR="0028248B" w:rsidRPr="00F53415">
              <w:rPr>
                <w:rFonts w:ascii="Calibri Light" w:hAnsi="Calibri Light" w:cs="Calibri Light"/>
                <w:sz w:val="20"/>
                <w:szCs w:val="20"/>
                <w:lang w:val="es-ES_tradnl"/>
              </w:rPr>
              <w:t>UMC</w:t>
            </w:r>
            <w:r w:rsidRPr="00F53415">
              <w:rPr>
                <w:rFonts w:ascii="Calibri Light" w:hAnsi="Calibri Light" w:cs="Calibri Light"/>
                <w:sz w:val="20"/>
                <w:szCs w:val="20"/>
                <w:lang w:val="es-ES_tradn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A3" w14:textId="17CF3001" w:rsidR="00C0649F" w:rsidRPr="00F53415" w:rsidRDefault="0028248B">
            <w:pPr>
              <w:spacing w:after="0" w:line="240" w:lineRule="auto"/>
              <w:rPr>
                <w:rFonts w:ascii="Calibri Light" w:hAnsi="Calibri Light" w:cs="Calibri Light"/>
                <w:b/>
                <w:bCs/>
                <w:sz w:val="20"/>
                <w:szCs w:val="20"/>
                <w:lang w:val="es-ES_tradnl"/>
              </w:rPr>
            </w:pPr>
            <w:r w:rsidRPr="00F53415">
              <w:rPr>
                <w:rFonts w:ascii="Calibri Light" w:hAnsi="Calibri Light" w:cs="Calibri Light"/>
                <w:b/>
                <w:bCs/>
                <w:sz w:val="20"/>
                <w:szCs w:val="20"/>
                <w:lang w:val="es-ES_tradnl"/>
              </w:rPr>
              <w:t>Cuestiones y reglas d</w:t>
            </w:r>
            <w:r w:rsidR="000E5064" w:rsidRPr="00F53415">
              <w:rPr>
                <w:rFonts w:ascii="Calibri Light" w:hAnsi="Calibri Light" w:cs="Calibri Light"/>
                <w:b/>
                <w:bCs/>
                <w:sz w:val="20"/>
                <w:szCs w:val="20"/>
                <w:lang w:val="es-ES_tradnl"/>
              </w:rPr>
              <w:t>el juego:</w:t>
            </w:r>
          </w:p>
          <w:p w14:paraId="495FCBA4" w14:textId="02715C6D"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"se debería promover en la UE el uso de planes de participación </w:t>
            </w:r>
            <w:r w:rsidR="0028248B" w:rsidRPr="00F53415">
              <w:rPr>
                <w:rFonts w:ascii="Calibri Light" w:hAnsi="Calibri Light" w:cs="Calibri Light"/>
                <w:i/>
                <w:iCs/>
                <w:sz w:val="20"/>
                <w:szCs w:val="20"/>
                <w:lang w:val="es-ES_tradnl"/>
              </w:rPr>
              <w:t xml:space="preserve">accionaria </w:t>
            </w:r>
            <w:r w:rsidRPr="00F53415">
              <w:rPr>
                <w:rFonts w:ascii="Calibri Light" w:hAnsi="Calibri Light" w:cs="Calibri Light"/>
                <w:i/>
                <w:iCs/>
                <w:sz w:val="20"/>
                <w:szCs w:val="20"/>
                <w:lang w:val="es-ES_tradnl"/>
              </w:rPr>
              <w:t>de los empleados como forma de fomentar la participación de los ciudadanos en los mercados de capital y desarrollar una cultura de la equidad".</w:t>
            </w:r>
          </w:p>
          <w:p w14:paraId="495FCBA5" w14:textId="51F36EB4" w:rsidR="00C0649F" w:rsidRPr="00F53415" w:rsidRDefault="000E5064" w:rsidP="00F53415">
            <w:pPr>
              <w:pStyle w:val="Prrafodelista"/>
              <w:numPr>
                <w:ilvl w:val="0"/>
                <w:numId w:val="7"/>
              </w:numPr>
              <w:spacing w:after="0" w:line="240" w:lineRule="auto"/>
              <w:ind w:hanging="263"/>
              <w:jc w:val="both"/>
              <w:rPr>
                <w:lang w:val="es-ES_tradnl"/>
              </w:rPr>
            </w:pPr>
            <w:r w:rsidRPr="00F53415">
              <w:rPr>
                <w:rFonts w:ascii="Calibri Light" w:hAnsi="Calibri Light" w:cs="Calibri Light"/>
                <w:i/>
                <w:iCs/>
                <w:sz w:val="20"/>
                <w:szCs w:val="20"/>
                <w:lang w:val="es-ES_tradnl"/>
              </w:rPr>
              <w:t xml:space="preserve">"Se invita a la Comisión </w:t>
            </w:r>
            <w:r w:rsidRPr="00F53415">
              <w:rPr>
                <w:rFonts w:ascii="Calibri Light" w:hAnsi="Calibri Light" w:cs="Calibri Light"/>
                <w:b/>
                <w:bCs/>
                <w:i/>
                <w:iCs/>
                <w:sz w:val="20"/>
                <w:szCs w:val="20"/>
                <w:lang w:val="es-ES_tradnl"/>
              </w:rPr>
              <w:t>a que promueva junto con los Estados miembros el uso de la ESO en toda la UE</w:t>
            </w:r>
            <w:r w:rsidRPr="00F53415">
              <w:rPr>
                <w:rFonts w:ascii="Calibri Light" w:hAnsi="Calibri Light" w:cs="Calibri Light"/>
                <w:i/>
                <w:iCs/>
                <w:sz w:val="20"/>
                <w:szCs w:val="20"/>
                <w:lang w:val="es-ES_tradnl"/>
              </w:rPr>
              <w:t xml:space="preserve">. </w:t>
            </w:r>
            <w:r w:rsidR="0028248B" w:rsidRPr="00F53415">
              <w:rPr>
                <w:rFonts w:ascii="Calibri Light" w:hAnsi="Calibri Light" w:cs="Calibri Light"/>
                <w:i/>
                <w:iCs/>
                <w:sz w:val="20"/>
                <w:szCs w:val="20"/>
                <w:lang w:val="es-ES_tradnl"/>
              </w:rPr>
              <w:t>finen este sentido</w:t>
            </w:r>
            <w:r w:rsidRPr="00F53415">
              <w:rPr>
                <w:rFonts w:ascii="Calibri Light" w:hAnsi="Calibri Light" w:cs="Calibri Light"/>
                <w:i/>
                <w:iCs/>
                <w:sz w:val="20"/>
                <w:szCs w:val="20"/>
                <w:lang w:val="es-ES_tradnl"/>
              </w:rPr>
              <w:t>, la Comisión debería explorar qué fondos de la UE podrían utilizarse para apoyar este objetivo"</w:t>
            </w:r>
          </w:p>
        </w:tc>
      </w:tr>
      <w:tr w:rsidR="00C0649F" w:rsidRPr="00B9393B" w14:paraId="495FCBB3"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A7" w14:textId="02EAD693" w:rsidR="00C0649F" w:rsidRPr="00F53415" w:rsidRDefault="000E5064">
            <w:pPr>
              <w:spacing w:after="0" w:line="240" w:lineRule="auto"/>
              <w:rPr>
                <w:lang w:val="es-ES_tradnl"/>
              </w:rPr>
            </w:pPr>
            <w:r w:rsidRPr="00F53415">
              <w:rPr>
                <w:rFonts w:ascii="Calibri Light" w:hAnsi="Calibri Light" w:cs="Calibri Light"/>
                <w:b/>
                <w:bCs/>
                <w:color w:val="0070C0"/>
                <w:sz w:val="20"/>
                <w:szCs w:val="20"/>
                <w:lang w:val="es-ES_tradnl"/>
              </w:rPr>
              <w:t xml:space="preserve">Promover la educación de los inversores como clave para el éxito de una verdadera </w:t>
            </w:r>
            <w:r w:rsidR="0028248B" w:rsidRPr="00F53415">
              <w:rPr>
                <w:rFonts w:ascii="Calibri Light" w:hAnsi="Calibri Light" w:cs="Calibri Light"/>
                <w:b/>
                <w:bCs/>
                <w:color w:val="0070C0"/>
                <w:sz w:val="20"/>
                <w:szCs w:val="20"/>
                <w:lang w:val="es-ES_tradnl"/>
              </w:rPr>
              <w:t>UMC</w:t>
            </w:r>
          </w:p>
          <w:p w14:paraId="495FCBA8" w14:textId="06366E18" w:rsidR="00C0649F" w:rsidRPr="00F53415" w:rsidRDefault="000E5064" w:rsidP="00F53415">
            <w:pPr>
              <w:spacing w:after="0" w:line="240" w:lineRule="auto"/>
              <w:rPr>
                <w:lang w:val="es-ES_tradnl"/>
              </w:rPr>
            </w:pPr>
            <w:r w:rsidRPr="00F53415">
              <w:rPr>
                <w:rFonts w:ascii="Calibri Light" w:hAnsi="Calibri Light" w:cs="Calibri Light"/>
                <w:sz w:val="20"/>
                <w:szCs w:val="20"/>
                <w:lang w:val="es-ES_tradnl"/>
              </w:rPr>
              <w:t xml:space="preserve">14) "exigir a </w:t>
            </w:r>
            <w:r w:rsidRPr="00F53415">
              <w:rPr>
                <w:rFonts w:ascii="Calibri Light" w:hAnsi="Calibri Light" w:cs="Calibri Light"/>
                <w:b/>
                <w:bCs/>
                <w:sz w:val="20"/>
                <w:szCs w:val="20"/>
                <w:lang w:val="es-ES_tradnl"/>
              </w:rPr>
              <w:t xml:space="preserve">los distribuidores </w:t>
            </w:r>
            <w:r w:rsidRPr="00F53415">
              <w:rPr>
                <w:rFonts w:ascii="Calibri Light" w:hAnsi="Calibri Light" w:cs="Calibri Light"/>
                <w:sz w:val="20"/>
                <w:szCs w:val="20"/>
                <w:lang w:val="es-ES_tradnl"/>
              </w:rPr>
              <w:t xml:space="preserve">[...] que </w:t>
            </w:r>
            <w:r w:rsidR="0028248B" w:rsidRPr="00F53415">
              <w:rPr>
                <w:rFonts w:ascii="Calibri Light" w:hAnsi="Calibri Light" w:cs="Calibri Light"/>
                <w:sz w:val="20"/>
                <w:szCs w:val="20"/>
                <w:lang w:val="es-ES_tradnl"/>
              </w:rPr>
              <w:t xml:space="preserve">intensifiquen </w:t>
            </w:r>
            <w:r w:rsidRPr="00F53415">
              <w:rPr>
                <w:rFonts w:ascii="Calibri Light" w:hAnsi="Calibri Light" w:cs="Calibri Light"/>
                <w:sz w:val="20"/>
                <w:szCs w:val="20"/>
                <w:lang w:val="es-ES_tradnl"/>
              </w:rPr>
              <w:t>la educación financiera de sus empleados"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A9" w14:textId="7B1B1946" w:rsidR="00C0649F" w:rsidRPr="00F53415" w:rsidRDefault="0028248B">
            <w:pPr>
              <w:spacing w:after="0" w:line="240" w:lineRule="auto"/>
              <w:jc w:val="both"/>
              <w:rPr>
                <w:lang w:val="es-ES_tradnl"/>
              </w:rPr>
            </w:pPr>
            <w:r w:rsidRPr="00F53415">
              <w:rPr>
                <w:rFonts w:ascii="Calibri Light" w:hAnsi="Calibri Light" w:cs="Calibri Light"/>
                <w:b/>
                <w:bCs/>
                <w:sz w:val="20"/>
                <w:szCs w:val="20"/>
                <w:lang w:val="es-ES_tradnl"/>
              </w:rPr>
              <w:t>Cuestiones y reglas d</w:t>
            </w:r>
            <w:r w:rsidR="000E5064" w:rsidRPr="00F53415">
              <w:rPr>
                <w:rFonts w:ascii="Calibri Light" w:hAnsi="Calibri Light" w:cs="Calibri Light"/>
                <w:b/>
                <w:bCs/>
                <w:sz w:val="20"/>
                <w:szCs w:val="20"/>
                <w:lang w:val="es-ES_tradnl"/>
              </w:rPr>
              <w:t xml:space="preserve">el juego: </w:t>
            </w:r>
          </w:p>
          <w:p w14:paraId="495FCBAA" w14:textId="77777777"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"Un certificado para los asesores financieros - y su mejor formación - garantizaría el nivel adecuado de cualificaciones, conocimientos y habilidades para los asesores profesionales"</w:t>
            </w:r>
          </w:p>
          <w:p w14:paraId="495FCBAB" w14:textId="77777777" w:rsidR="00C0649F" w:rsidRPr="00F53415" w:rsidRDefault="000E5064">
            <w:pPr>
              <w:pStyle w:val="Prrafodelista"/>
              <w:numPr>
                <w:ilvl w:val="0"/>
                <w:numId w:val="7"/>
              </w:numPr>
              <w:spacing w:after="0" w:line="240" w:lineRule="auto"/>
              <w:ind w:hanging="263"/>
              <w:jc w:val="both"/>
              <w:rPr>
                <w:lang w:val="es-ES_tradnl"/>
              </w:rPr>
            </w:pPr>
            <w:r w:rsidRPr="00F53415">
              <w:rPr>
                <w:rFonts w:ascii="Calibri Light" w:hAnsi="Calibri Light" w:cs="Calibri Light"/>
                <w:i/>
                <w:iCs/>
                <w:sz w:val="20"/>
                <w:szCs w:val="20"/>
                <w:lang w:val="es-ES_tradnl"/>
              </w:rPr>
              <w:t xml:space="preserve">"Se invita a la Comisión a que presente una propuesta para establecer </w:t>
            </w:r>
            <w:r w:rsidRPr="00F53415">
              <w:rPr>
                <w:rFonts w:ascii="Calibri Light" w:hAnsi="Calibri Light" w:cs="Calibri Light"/>
                <w:b/>
                <w:bCs/>
                <w:i/>
                <w:iCs/>
                <w:sz w:val="20"/>
                <w:szCs w:val="20"/>
                <w:lang w:val="es-ES_tradnl"/>
              </w:rPr>
              <w:t>una marca de calidad (etiqueta) paneuropea para los asesores financieros europeos</w:t>
            </w:r>
            <w:r w:rsidRPr="00F53415">
              <w:rPr>
                <w:rFonts w:ascii="Calibri Light" w:hAnsi="Calibri Light" w:cs="Calibri Light"/>
                <w:i/>
                <w:iCs/>
                <w:sz w:val="20"/>
                <w:szCs w:val="20"/>
                <w:lang w:val="es-ES_tradnl"/>
              </w:rPr>
              <w:t>".</w:t>
            </w:r>
          </w:p>
          <w:p w14:paraId="495FCBAC" w14:textId="3F226C2B" w:rsidR="00C0649F" w:rsidRPr="00F53415" w:rsidRDefault="000E5064">
            <w:pPr>
              <w:pStyle w:val="Prrafodelista"/>
              <w:numPr>
                <w:ilvl w:val="0"/>
                <w:numId w:val="6"/>
              </w:numPr>
              <w:spacing w:after="0" w:line="240" w:lineRule="auto"/>
              <w:ind w:left="173" w:hanging="218"/>
              <w:jc w:val="both"/>
              <w:rPr>
                <w:lang w:val="es-ES_tradnl"/>
              </w:rPr>
            </w:pPr>
            <w:r w:rsidRPr="00F53415">
              <w:rPr>
                <w:rFonts w:ascii="Calibri Light" w:hAnsi="Calibri Light" w:cs="Calibri Light"/>
                <w:i/>
                <w:iCs/>
                <w:sz w:val="20"/>
                <w:szCs w:val="20"/>
                <w:lang w:val="es-ES_tradnl"/>
              </w:rPr>
              <w:t xml:space="preserve">"El aumento de los conocimientos financieros, incluso mediante mecanismos como los planes de participación </w:t>
            </w:r>
            <w:r w:rsidR="0028248B" w:rsidRPr="00F53415">
              <w:rPr>
                <w:rFonts w:ascii="Calibri Light" w:hAnsi="Calibri Light" w:cs="Calibri Light"/>
                <w:i/>
                <w:iCs/>
                <w:sz w:val="20"/>
                <w:szCs w:val="20"/>
                <w:lang w:val="es-ES_tradnl"/>
              </w:rPr>
              <w:t>accionaria</w:t>
            </w:r>
            <w:r w:rsidRPr="00F53415">
              <w:rPr>
                <w:rFonts w:ascii="Calibri Light" w:hAnsi="Calibri Light" w:cs="Calibri Light"/>
                <w:i/>
                <w:iCs/>
                <w:sz w:val="20"/>
                <w:szCs w:val="20"/>
                <w:lang w:val="es-ES_tradnl"/>
              </w:rPr>
              <w:t xml:space="preserve"> de los empleados y los estímulos en etapas importantes de la vida </w:t>
            </w:r>
            <w:r w:rsidRPr="00F53415">
              <w:rPr>
                <w:rFonts w:ascii="Calibri Light" w:hAnsi="Calibri Light" w:cs="Calibri Light"/>
                <w:sz w:val="20"/>
                <w:szCs w:val="20"/>
                <w:lang w:val="es-ES_tradnl"/>
              </w:rPr>
              <w:t xml:space="preserve">(...) </w:t>
            </w:r>
            <w:r w:rsidR="0028248B" w:rsidRPr="00F53415">
              <w:rPr>
                <w:rFonts w:ascii="Calibri Light" w:hAnsi="Calibri Light" w:cs="Calibri Light"/>
                <w:i/>
                <w:iCs/>
                <w:sz w:val="20"/>
                <w:szCs w:val="20"/>
                <w:lang w:val="es-ES_tradnl"/>
              </w:rPr>
              <w:t>empodera</w:t>
            </w:r>
            <w:r w:rsidRPr="00F53415">
              <w:rPr>
                <w:rFonts w:ascii="Calibri Light" w:hAnsi="Calibri Light" w:cs="Calibri Light"/>
                <w:i/>
                <w:iCs/>
                <w:sz w:val="20"/>
                <w:szCs w:val="20"/>
                <w:lang w:val="es-ES_tradnl"/>
              </w:rPr>
              <w:t xml:space="preserve"> a los ciudadanos</w:t>
            </w:r>
            <w:r w:rsidRPr="00F53415">
              <w:rPr>
                <w:rFonts w:ascii="Calibri Light" w:hAnsi="Calibri Light" w:cs="Calibri Light"/>
                <w:sz w:val="20"/>
                <w:szCs w:val="20"/>
                <w:lang w:val="es-ES_tradnl"/>
              </w:rPr>
              <w:t xml:space="preserve">...". </w:t>
            </w:r>
          </w:p>
          <w:p w14:paraId="495FCBAD" w14:textId="77777777" w:rsidR="00C0649F" w:rsidRPr="00F53415" w:rsidRDefault="000E5064">
            <w:pPr>
              <w:pStyle w:val="Prrafodelista"/>
              <w:numPr>
                <w:ilvl w:val="0"/>
                <w:numId w:val="7"/>
              </w:numPr>
              <w:spacing w:after="0" w:line="240" w:lineRule="auto"/>
              <w:ind w:hanging="263"/>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"Se invita a la Comisión a que promueva junto con los Estados miembros el uso de la ESO en toda la UE"</w:t>
            </w:r>
          </w:p>
          <w:p w14:paraId="495FCBAE" w14:textId="269C8C08"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"Los Estados Miembros también deben apoyar medidas que respalden la orientación financiera a los consumidores en relación con la inversión y el ahorro para la jubilación".</w:t>
            </w:r>
          </w:p>
          <w:p w14:paraId="495FCBAF" w14:textId="77777777" w:rsidR="00C0649F" w:rsidRPr="00F53415" w:rsidRDefault="000E5064">
            <w:pPr>
              <w:pStyle w:val="Prrafodelista"/>
              <w:numPr>
                <w:ilvl w:val="0"/>
                <w:numId w:val="7"/>
              </w:numPr>
              <w:spacing w:after="0" w:line="240" w:lineRule="auto"/>
              <w:ind w:hanging="263"/>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"Los Estados Miembros deberían establecer órganos nacionales de orientación financiera para los consumidores".</w:t>
            </w:r>
          </w:p>
          <w:p w14:paraId="495FCBB0" w14:textId="77777777" w:rsidR="00C0649F" w:rsidRPr="00F53415" w:rsidRDefault="000E5064">
            <w:pPr>
              <w:pStyle w:val="Prrafodelista"/>
              <w:numPr>
                <w:ilvl w:val="0"/>
                <w:numId w:val="6"/>
              </w:numPr>
              <w:spacing w:after="0" w:line="240" w:lineRule="auto"/>
              <w:ind w:left="173" w:hanging="218"/>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"El aumento de los conocimientos financieros daría lugar a una mayor participación de los inversores minoristas, lo que contribuiría al crecimiento de los mercados de capital de la UE"</w:t>
            </w:r>
          </w:p>
          <w:p w14:paraId="495FCBB1" w14:textId="5C8E41DA" w:rsidR="00C0649F" w:rsidRPr="00F53415" w:rsidRDefault="000E5064">
            <w:pPr>
              <w:pStyle w:val="Prrafodelista"/>
              <w:numPr>
                <w:ilvl w:val="0"/>
                <w:numId w:val="7"/>
              </w:numPr>
              <w:spacing w:after="0" w:line="240" w:lineRule="auto"/>
              <w:ind w:hanging="263"/>
              <w:jc w:val="both"/>
              <w:rPr>
                <w:lang w:val="es-ES_tradnl"/>
              </w:rPr>
            </w:pPr>
            <w:r w:rsidRPr="00F53415">
              <w:rPr>
                <w:rFonts w:ascii="Calibri Light" w:hAnsi="Calibri Light" w:cs="Calibri Light"/>
                <w:i/>
                <w:iCs/>
                <w:sz w:val="20"/>
                <w:szCs w:val="20"/>
                <w:lang w:val="es-ES_tradnl"/>
              </w:rPr>
              <w:t xml:space="preserve">"La Comisión debería proponer </w:t>
            </w:r>
            <w:r w:rsidR="0028248B" w:rsidRPr="00F53415">
              <w:rPr>
                <w:rFonts w:ascii="Calibri Light" w:hAnsi="Calibri Light" w:cs="Calibri Light"/>
                <w:i/>
                <w:iCs/>
                <w:sz w:val="20"/>
                <w:szCs w:val="20"/>
                <w:lang w:val="es-ES_tradnl"/>
              </w:rPr>
              <w:t>revísela revisión de</w:t>
            </w:r>
            <w:r w:rsidRPr="00F53415">
              <w:rPr>
                <w:rFonts w:ascii="Calibri Light" w:hAnsi="Calibri Light" w:cs="Calibri Light"/>
                <w:i/>
                <w:iCs/>
                <w:sz w:val="20"/>
                <w:szCs w:val="20"/>
                <w:lang w:val="es-ES_tradnl"/>
              </w:rPr>
              <w:t xml:space="preserve"> </w:t>
            </w:r>
            <w:r w:rsidRPr="00F53415">
              <w:rPr>
                <w:rFonts w:ascii="Calibri Light" w:hAnsi="Calibri Light" w:cs="Calibri Light"/>
                <w:b/>
                <w:bCs/>
                <w:i/>
                <w:iCs/>
                <w:sz w:val="20"/>
                <w:szCs w:val="20"/>
                <w:lang w:val="es-ES_tradnl"/>
              </w:rPr>
              <w:t xml:space="preserve">la Recomendación del Consejo "Competencias clave en materia de aprendizaje permanente" </w:t>
            </w:r>
            <w:r w:rsidRPr="00F53415">
              <w:rPr>
                <w:rFonts w:ascii="Calibri Light" w:hAnsi="Calibri Light" w:cs="Calibri Light"/>
                <w:i/>
                <w:iCs/>
                <w:sz w:val="20"/>
                <w:szCs w:val="20"/>
                <w:lang w:val="es-ES_tradnl"/>
              </w:rPr>
              <w:t>para introducir la competencia financiera27 como una competencia clave independiente".</w:t>
            </w:r>
          </w:p>
          <w:p w14:paraId="495FCBB2" w14:textId="77777777" w:rsidR="00C0649F" w:rsidRPr="00F53415" w:rsidRDefault="000E5064">
            <w:pPr>
              <w:pStyle w:val="Prrafodelista"/>
              <w:numPr>
                <w:ilvl w:val="0"/>
                <w:numId w:val="7"/>
              </w:numPr>
              <w:spacing w:after="0" w:line="240" w:lineRule="auto"/>
              <w:ind w:hanging="263"/>
              <w:jc w:val="both"/>
              <w:rPr>
                <w:lang w:val="es-ES_tradnl"/>
              </w:rPr>
            </w:pPr>
            <w:r w:rsidRPr="00F53415">
              <w:rPr>
                <w:rFonts w:ascii="Calibri Light" w:hAnsi="Calibri Light" w:cs="Calibri Light"/>
                <w:i/>
                <w:iCs/>
                <w:sz w:val="20"/>
                <w:szCs w:val="20"/>
                <w:lang w:val="es-ES_tradnl"/>
              </w:rPr>
              <w:t xml:space="preserve">"La Comisión debería establecer un </w:t>
            </w:r>
            <w:r w:rsidRPr="00F53415">
              <w:rPr>
                <w:rFonts w:ascii="Calibri Light" w:hAnsi="Calibri Light" w:cs="Calibri Light"/>
                <w:b/>
                <w:bCs/>
                <w:i/>
                <w:iCs/>
                <w:sz w:val="20"/>
                <w:szCs w:val="20"/>
                <w:lang w:val="es-ES_tradnl"/>
              </w:rPr>
              <w:t xml:space="preserve">marco de competencia de la UE en materia de </w:t>
            </w:r>
            <w:r w:rsidRPr="00F53415">
              <w:rPr>
                <w:rFonts w:ascii="Calibri Light" w:hAnsi="Calibri Light" w:cs="Calibri Light"/>
                <w:i/>
                <w:iCs/>
                <w:sz w:val="20"/>
                <w:szCs w:val="20"/>
                <w:lang w:val="es-ES_tradnl"/>
              </w:rPr>
              <w:t xml:space="preserve">competencia financiera y </w:t>
            </w:r>
            <w:r w:rsidRPr="00F53415">
              <w:rPr>
                <w:rFonts w:ascii="Calibri Light" w:hAnsi="Calibri Light" w:cs="Calibri Light"/>
                <w:b/>
                <w:bCs/>
                <w:i/>
                <w:iCs/>
                <w:sz w:val="20"/>
                <w:szCs w:val="20"/>
                <w:lang w:val="es-ES_tradnl"/>
              </w:rPr>
              <w:t>facilitar su incorporación a los grupos de trabajo de los Estados Miembros</w:t>
            </w:r>
            <w:r w:rsidRPr="00F53415">
              <w:rPr>
                <w:rFonts w:ascii="Calibri Light" w:hAnsi="Calibri Light" w:cs="Calibri Light"/>
                <w:i/>
                <w:iCs/>
                <w:sz w:val="20"/>
                <w:szCs w:val="20"/>
                <w:lang w:val="es-ES_tradnl"/>
              </w:rPr>
              <w:t>".</w:t>
            </w:r>
          </w:p>
        </w:tc>
      </w:tr>
      <w:tr w:rsidR="00C0649F" w:rsidRPr="00B9393B" w14:paraId="495FCBBE"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B4" w14:textId="77777777" w:rsidR="00C0649F" w:rsidRPr="00F53415" w:rsidRDefault="000E5064">
            <w:pPr>
              <w:spacing w:after="0" w:line="240" w:lineRule="auto"/>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t>Mantener el apoyo de la UE a la participación de los usuarios de servicios financieros en la elaboración de políticas de la UE</w:t>
            </w:r>
          </w:p>
          <w:p w14:paraId="495FCBB5" w14:textId="58812D46" w:rsidR="00C0649F" w:rsidRPr="00F53415" w:rsidRDefault="000E5064">
            <w:pPr>
              <w:spacing w:after="120" w:line="240" w:lineRule="auto"/>
              <w:jc w:val="both"/>
              <w:rPr>
                <w:lang w:val="es-ES_tradnl"/>
              </w:rPr>
            </w:pPr>
            <w:r w:rsidRPr="00F53415">
              <w:rPr>
                <w:rFonts w:ascii="Calibri Light" w:hAnsi="Calibri Light" w:cs="Calibri Light"/>
                <w:sz w:val="20"/>
                <w:szCs w:val="20"/>
                <w:lang w:val="es-ES_tradnl"/>
              </w:rPr>
              <w:lastRenderedPageBreak/>
              <w:t xml:space="preserve">15) "asegurar que los expertos independientes de las organizaciones de usuarios estén adecuadamente representados </w:t>
            </w:r>
            <w:r w:rsidRPr="00F53415">
              <w:rPr>
                <w:rFonts w:ascii="Calibri Light" w:hAnsi="Calibri Light" w:cs="Calibri Light"/>
                <w:b/>
                <w:bCs/>
                <w:sz w:val="20"/>
                <w:szCs w:val="20"/>
                <w:lang w:val="es-ES_tradnl"/>
              </w:rPr>
              <w:t xml:space="preserve">y sean </w:t>
            </w:r>
            <w:r w:rsidR="0028248B" w:rsidRPr="00F53415">
              <w:rPr>
                <w:rFonts w:ascii="Calibri Light" w:hAnsi="Calibri Light" w:cs="Calibri Light"/>
                <w:b/>
                <w:bCs/>
                <w:sz w:val="20"/>
                <w:szCs w:val="20"/>
                <w:lang w:val="es-ES_tradnl"/>
              </w:rPr>
              <w:t>recompensados</w:t>
            </w:r>
            <w:r w:rsidRPr="00F53415">
              <w:rPr>
                <w:rFonts w:ascii="Calibri Light" w:hAnsi="Calibri Light" w:cs="Calibri Light"/>
                <w:sz w:val="20"/>
                <w:szCs w:val="20"/>
                <w:lang w:val="es-ES_tradnl"/>
              </w:rPr>
              <w:t>..."</w:t>
            </w:r>
          </w:p>
          <w:p w14:paraId="495FCBB6" w14:textId="77777777" w:rsidR="00C0649F" w:rsidRPr="00F53415" w:rsidRDefault="000E5064">
            <w:pPr>
              <w:spacing w:after="0" w:line="240" w:lineRule="auto"/>
              <w:jc w:val="both"/>
              <w:rPr>
                <w:rFonts w:ascii="Calibri Light" w:hAnsi="Calibri Light" w:cs="Calibri Light"/>
                <w:b/>
                <w:bCs/>
                <w:color w:val="0070C0"/>
                <w:sz w:val="20"/>
                <w:szCs w:val="20"/>
                <w:lang w:val="es-ES_tradnl"/>
              </w:rPr>
            </w:pPr>
            <w:r w:rsidRPr="00F53415">
              <w:rPr>
                <w:rFonts w:ascii="Calibri Light" w:hAnsi="Calibri Light" w:cs="Calibri Light"/>
                <w:b/>
                <w:bCs/>
                <w:color w:val="0070C0"/>
                <w:sz w:val="20"/>
                <w:szCs w:val="20"/>
                <w:lang w:val="es-ES_tradnl"/>
              </w:rPr>
              <w:t>Aumentar la eficiencia de los procedimientos de las instituciones de la UE".</w:t>
            </w:r>
          </w:p>
          <w:p w14:paraId="495FCBB7" w14:textId="5851F68A" w:rsidR="00C0649F" w:rsidRPr="00F53415" w:rsidRDefault="000E5064" w:rsidP="00F53415">
            <w:pPr>
              <w:spacing w:after="0" w:line="240" w:lineRule="auto"/>
              <w:jc w:val="both"/>
              <w:rPr>
                <w:rFonts w:ascii="Calibri Light" w:hAnsi="Calibri Light" w:cs="Calibri Light"/>
                <w:sz w:val="20"/>
                <w:szCs w:val="20"/>
                <w:lang w:val="es-ES_tradnl"/>
              </w:rPr>
            </w:pPr>
            <w:r w:rsidRPr="00F53415">
              <w:rPr>
                <w:rFonts w:ascii="Calibri Light" w:hAnsi="Calibri Light" w:cs="Calibri Light"/>
                <w:sz w:val="20"/>
                <w:szCs w:val="20"/>
                <w:lang w:val="es-ES_tradnl"/>
              </w:rPr>
              <w:t xml:space="preserve">16) "mejorar la supervisión de los requisitos de </w:t>
            </w:r>
            <w:r w:rsidR="0028248B" w:rsidRPr="00F53415">
              <w:rPr>
                <w:rFonts w:ascii="Calibri Light" w:hAnsi="Calibri Light" w:cs="Calibri Light"/>
                <w:sz w:val="20"/>
                <w:szCs w:val="20"/>
                <w:lang w:val="es-ES_tradnl"/>
              </w:rPr>
              <w:t xml:space="preserve">control </w:t>
            </w:r>
            <w:r w:rsidRPr="00F53415">
              <w:rPr>
                <w:rFonts w:ascii="Calibri Light" w:hAnsi="Calibri Light" w:cs="Calibri Light"/>
                <w:sz w:val="20"/>
                <w:szCs w:val="20"/>
                <w:lang w:val="es-ES_tradnl"/>
              </w:rPr>
              <w:t xml:space="preserve">y </w:t>
            </w:r>
            <w:r w:rsidR="0028248B" w:rsidRPr="00F53415">
              <w:rPr>
                <w:rFonts w:ascii="Calibri Light" w:hAnsi="Calibri Light" w:cs="Calibri Light"/>
                <w:sz w:val="20"/>
                <w:szCs w:val="20"/>
                <w:lang w:val="es-ES_tradnl"/>
              </w:rPr>
              <w:t xml:space="preserve">gobernabilidad </w:t>
            </w:r>
            <w:r w:rsidRPr="00F53415">
              <w:rPr>
                <w:rFonts w:ascii="Calibri Light" w:hAnsi="Calibri Light" w:cs="Calibri Light"/>
                <w:sz w:val="20"/>
                <w:szCs w:val="20"/>
                <w:lang w:val="es-ES_tradnl"/>
              </w:rPr>
              <w:t>de los productos..."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14:paraId="495FCBB8" w14:textId="5653C844" w:rsidR="00C0649F" w:rsidRPr="00F53415" w:rsidRDefault="0028248B">
            <w:pPr>
              <w:spacing w:after="0" w:line="240" w:lineRule="auto"/>
              <w:jc w:val="both"/>
              <w:rPr>
                <w:rFonts w:ascii="Calibri Light" w:hAnsi="Calibri Light" w:cs="Calibri Light"/>
                <w:b/>
                <w:bCs/>
                <w:sz w:val="20"/>
                <w:szCs w:val="20"/>
                <w:lang w:val="es-ES_tradnl"/>
              </w:rPr>
            </w:pPr>
            <w:r w:rsidRPr="00F53415">
              <w:rPr>
                <w:rFonts w:ascii="Calibri Light" w:hAnsi="Calibri Light" w:cs="Calibri Light"/>
                <w:b/>
                <w:bCs/>
                <w:sz w:val="20"/>
                <w:szCs w:val="20"/>
                <w:lang w:val="es-ES_tradnl"/>
              </w:rPr>
              <w:lastRenderedPageBreak/>
              <w:t>Cuestiones y reglas d</w:t>
            </w:r>
            <w:r w:rsidR="000E5064" w:rsidRPr="00F53415">
              <w:rPr>
                <w:rFonts w:ascii="Calibri Light" w:hAnsi="Calibri Light" w:cs="Calibri Light"/>
                <w:b/>
                <w:bCs/>
                <w:sz w:val="20"/>
                <w:szCs w:val="20"/>
                <w:lang w:val="es-ES_tradnl"/>
              </w:rPr>
              <w:t>el juego:</w:t>
            </w:r>
          </w:p>
          <w:p w14:paraId="495FCBB9" w14:textId="3838927F" w:rsidR="00C0649F" w:rsidRPr="00F53415" w:rsidRDefault="000E5064">
            <w:pPr>
              <w:pStyle w:val="Prrafodelista"/>
              <w:numPr>
                <w:ilvl w:val="0"/>
                <w:numId w:val="8"/>
              </w:numPr>
              <w:spacing w:after="0" w:line="240" w:lineRule="auto"/>
              <w:ind w:left="174" w:hanging="174"/>
              <w:jc w:val="both"/>
              <w:rPr>
                <w:lang w:val="es-ES_tradnl"/>
              </w:rPr>
            </w:pPr>
            <w:r w:rsidRPr="00F53415">
              <w:rPr>
                <w:rFonts w:ascii="Calibri Light" w:hAnsi="Calibri Light" w:cs="Calibri Light"/>
                <w:i/>
                <w:iCs/>
                <w:sz w:val="20"/>
                <w:szCs w:val="20"/>
                <w:lang w:val="es-ES_tradnl"/>
              </w:rPr>
              <w:t xml:space="preserve">"El HLF apoya el fortalecimiento de los poderes de </w:t>
            </w:r>
            <w:r w:rsidR="0028248B" w:rsidRPr="00F53415">
              <w:rPr>
                <w:rFonts w:ascii="Calibri Light" w:hAnsi="Calibri Light" w:cs="Calibri Light"/>
                <w:i/>
                <w:iCs/>
                <w:sz w:val="20"/>
                <w:szCs w:val="20"/>
                <w:lang w:val="es-ES_tradnl"/>
              </w:rPr>
              <w:lastRenderedPageBreak/>
              <w:t xml:space="preserve">elaboración </w:t>
            </w:r>
            <w:r w:rsidRPr="00F53415">
              <w:rPr>
                <w:rFonts w:ascii="Calibri Light" w:hAnsi="Calibri Light" w:cs="Calibri Light"/>
                <w:i/>
                <w:iCs/>
                <w:sz w:val="20"/>
                <w:szCs w:val="20"/>
                <w:lang w:val="es-ES_tradnl"/>
              </w:rPr>
              <w:t xml:space="preserve">de normas de la AEVM y la AIOPA </w:t>
            </w:r>
            <w:r w:rsidRPr="00F53415">
              <w:rPr>
                <w:rFonts w:ascii="Calibri Light" w:hAnsi="Calibri Light" w:cs="Calibri Light"/>
                <w:sz w:val="20"/>
                <w:szCs w:val="20"/>
                <w:lang w:val="es-ES_tradnl"/>
              </w:rPr>
              <w:t xml:space="preserve">(...) </w:t>
            </w:r>
            <w:r w:rsidRPr="00F53415">
              <w:rPr>
                <w:rFonts w:ascii="Calibri Light" w:hAnsi="Calibri Light" w:cs="Calibri Light"/>
                <w:i/>
                <w:iCs/>
                <w:sz w:val="20"/>
                <w:szCs w:val="20"/>
                <w:lang w:val="es-ES_tradnl"/>
              </w:rPr>
              <w:t xml:space="preserve">incluso mediante la reforma de su </w:t>
            </w:r>
            <w:r w:rsidR="0028248B" w:rsidRPr="00F53415">
              <w:rPr>
                <w:rFonts w:ascii="Calibri Light" w:hAnsi="Calibri Light" w:cs="Calibri Light"/>
                <w:i/>
                <w:iCs/>
                <w:sz w:val="20"/>
                <w:szCs w:val="20"/>
                <w:lang w:val="es-ES_tradnl"/>
              </w:rPr>
              <w:t xml:space="preserve">gobernabilidad </w:t>
            </w:r>
            <w:r w:rsidRPr="00F53415">
              <w:rPr>
                <w:rFonts w:ascii="Calibri Light" w:hAnsi="Calibri Light" w:cs="Calibri Light"/>
                <w:i/>
                <w:iCs/>
                <w:sz w:val="20"/>
                <w:szCs w:val="20"/>
                <w:lang w:val="es-ES_tradnl"/>
              </w:rPr>
              <w:t>y el fortalecimiento de sus poderes y herramientas</w:t>
            </w:r>
            <w:r w:rsidRPr="00F53415">
              <w:rPr>
                <w:rFonts w:ascii="Calibri Light" w:hAnsi="Calibri Light" w:cs="Calibri Light"/>
                <w:sz w:val="20"/>
                <w:szCs w:val="20"/>
                <w:lang w:val="es-ES_tradnl"/>
              </w:rPr>
              <w:t>..."</w:t>
            </w:r>
          </w:p>
          <w:p w14:paraId="495FCBBA" w14:textId="6D58E8FA" w:rsidR="00C0649F" w:rsidRPr="00F53415" w:rsidRDefault="000E5064">
            <w:pPr>
              <w:pStyle w:val="Prrafodelista"/>
              <w:numPr>
                <w:ilvl w:val="0"/>
                <w:numId w:val="3"/>
              </w:numPr>
              <w:spacing w:after="0" w:line="240" w:lineRule="auto"/>
              <w:ind w:left="599" w:hanging="239"/>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 xml:space="preserve">"reforzando o, en su caso, introduciendo facultades para prohibir o restringir la comercialización, la distribución o la venta de determinados productos, instrumentos o actividades </w:t>
            </w:r>
            <w:r w:rsidR="00785E87" w:rsidRPr="00F53415">
              <w:rPr>
                <w:rFonts w:ascii="Calibri Light" w:hAnsi="Calibri Light" w:cs="Calibri Light"/>
                <w:i/>
                <w:iCs/>
                <w:sz w:val="20"/>
                <w:szCs w:val="20"/>
                <w:lang w:val="es-ES_tradnl"/>
              </w:rPr>
              <w:t>financieras</w:t>
            </w:r>
            <w:r w:rsidRPr="00F53415">
              <w:rPr>
                <w:rFonts w:ascii="Calibri Light" w:hAnsi="Calibri Light" w:cs="Calibri Light"/>
                <w:i/>
                <w:iCs/>
                <w:sz w:val="20"/>
                <w:szCs w:val="20"/>
                <w:lang w:val="es-ES_tradnl"/>
              </w:rPr>
              <w:t>".</w:t>
            </w:r>
          </w:p>
          <w:p w14:paraId="495FCBBB" w14:textId="5A5E8EF2" w:rsidR="00C0649F" w:rsidRPr="00F53415" w:rsidRDefault="000E5064">
            <w:pPr>
              <w:pStyle w:val="Prrafodelista"/>
              <w:numPr>
                <w:ilvl w:val="0"/>
                <w:numId w:val="3"/>
              </w:numPr>
              <w:spacing w:after="0" w:line="240" w:lineRule="auto"/>
              <w:ind w:left="599" w:hanging="239"/>
              <w:jc w:val="both"/>
              <w:rPr>
                <w:rFonts w:ascii="Calibri Light" w:hAnsi="Calibri Light" w:cs="Calibri Light"/>
                <w:i/>
                <w:iCs/>
                <w:sz w:val="20"/>
                <w:szCs w:val="20"/>
                <w:lang w:val="es-ES_tradnl"/>
              </w:rPr>
            </w:pPr>
            <w:r w:rsidRPr="00F53415">
              <w:rPr>
                <w:rFonts w:ascii="Calibri Light" w:hAnsi="Calibri Light" w:cs="Calibri Light"/>
                <w:i/>
                <w:iCs/>
                <w:sz w:val="20"/>
                <w:szCs w:val="20"/>
                <w:lang w:val="es-ES_tradnl"/>
              </w:rPr>
              <w:t>"asegurar que haya una representación equilibrada en los grupos de interesados entre los representantes de la industria y los usuarios/consumidores minoristas, y hacer cumplir la norma de la "</w:t>
            </w:r>
            <w:r w:rsidR="00785E87" w:rsidRPr="00F53415">
              <w:rPr>
                <w:rFonts w:ascii="Calibri Light" w:hAnsi="Calibri Light" w:cs="Calibri Light"/>
                <w:i/>
                <w:iCs/>
                <w:sz w:val="20"/>
                <w:szCs w:val="20"/>
                <w:lang w:val="es-ES_tradnl"/>
              </w:rPr>
              <w:t>re</w:t>
            </w:r>
            <w:r w:rsidRPr="00F53415">
              <w:rPr>
                <w:rFonts w:ascii="Calibri Light" w:hAnsi="Calibri Light" w:cs="Calibri Light"/>
                <w:i/>
                <w:iCs/>
                <w:sz w:val="20"/>
                <w:szCs w:val="20"/>
                <w:lang w:val="es-ES_tradnl"/>
              </w:rPr>
              <w:t>compensación adecuada" para los representantes sin fines de lucro que no pertenezcan a la industria (Artículo 37)".</w:t>
            </w:r>
          </w:p>
          <w:p w14:paraId="495FCBBC" w14:textId="06EEACAB" w:rsidR="00C0649F" w:rsidRPr="00F53415" w:rsidRDefault="000E5064">
            <w:pPr>
              <w:pStyle w:val="Prrafodelista"/>
              <w:numPr>
                <w:ilvl w:val="0"/>
                <w:numId w:val="3"/>
              </w:numPr>
              <w:spacing w:after="0" w:line="240" w:lineRule="auto"/>
              <w:ind w:left="599" w:hanging="239"/>
              <w:jc w:val="both"/>
              <w:rPr>
                <w:lang w:val="es-ES_tradnl"/>
              </w:rPr>
            </w:pPr>
            <w:r w:rsidRPr="00F53415">
              <w:rPr>
                <w:rFonts w:ascii="Calibri Light" w:hAnsi="Calibri Light" w:cs="Calibri Light"/>
                <w:i/>
                <w:iCs/>
                <w:sz w:val="20"/>
                <w:szCs w:val="20"/>
                <w:lang w:val="es-ES_tradnl"/>
              </w:rPr>
              <w:t xml:space="preserve">"introducir disposiciones nuevas o adicionales en </w:t>
            </w:r>
            <w:r w:rsidRPr="00F53415">
              <w:rPr>
                <w:rFonts w:ascii="Calibri Light" w:hAnsi="Calibri Light" w:cs="Calibri Light"/>
                <w:sz w:val="20"/>
                <w:szCs w:val="20"/>
                <w:lang w:val="es-ES_tradnl"/>
              </w:rPr>
              <w:t xml:space="preserve">(...) </w:t>
            </w:r>
            <w:r w:rsidRPr="00F53415">
              <w:rPr>
                <w:rFonts w:ascii="Calibri Light" w:hAnsi="Calibri Light" w:cs="Calibri Light"/>
                <w:i/>
                <w:iCs/>
                <w:sz w:val="20"/>
                <w:szCs w:val="20"/>
                <w:lang w:val="es-ES_tradnl"/>
              </w:rPr>
              <w:t xml:space="preserve">y la legislación </w:t>
            </w:r>
            <w:r w:rsidR="00785E87" w:rsidRPr="00F53415">
              <w:rPr>
                <w:rFonts w:ascii="Calibri Light" w:hAnsi="Calibri Light" w:cs="Calibri Light"/>
                <w:i/>
                <w:iCs/>
                <w:sz w:val="20"/>
                <w:szCs w:val="20"/>
                <w:lang w:val="es-ES_tradnl"/>
              </w:rPr>
              <w:t xml:space="preserve">sectorial </w:t>
            </w:r>
            <w:r w:rsidRPr="00F53415">
              <w:rPr>
                <w:rFonts w:ascii="Calibri Light" w:hAnsi="Calibri Light" w:cs="Calibri Light"/>
                <w:i/>
                <w:iCs/>
                <w:sz w:val="20"/>
                <w:szCs w:val="20"/>
                <w:lang w:val="es-ES_tradnl"/>
              </w:rPr>
              <w:t xml:space="preserve">pertinente de la Unión </w:t>
            </w:r>
            <w:r w:rsidRPr="00F53415">
              <w:rPr>
                <w:rFonts w:ascii="Calibri Light" w:hAnsi="Calibri Light" w:cs="Calibri Light"/>
                <w:sz w:val="20"/>
                <w:szCs w:val="20"/>
                <w:lang w:val="es-ES_tradnl"/>
              </w:rPr>
              <w:t xml:space="preserve">(...) </w:t>
            </w:r>
            <w:r w:rsidRPr="00F53415">
              <w:rPr>
                <w:rFonts w:ascii="Calibri Light" w:hAnsi="Calibri Light" w:cs="Calibri Light"/>
                <w:i/>
                <w:iCs/>
                <w:sz w:val="20"/>
                <w:szCs w:val="20"/>
                <w:lang w:val="es-ES_tradnl"/>
              </w:rPr>
              <w:t xml:space="preserve">para encargar a la AEVM/AEPI una mayor armonización de los planteamientos </w:t>
            </w:r>
            <w:r w:rsidRPr="00F53415">
              <w:rPr>
                <w:rFonts w:ascii="Calibri Light" w:hAnsi="Calibri Light" w:cs="Calibri Light"/>
                <w:b/>
                <w:bCs/>
                <w:i/>
                <w:iCs/>
                <w:sz w:val="20"/>
                <w:szCs w:val="20"/>
                <w:lang w:val="es-ES_tradnl"/>
              </w:rPr>
              <w:t>nacionales en materia de prácticas administrativas</w:t>
            </w:r>
            <w:r w:rsidRPr="00F53415">
              <w:rPr>
                <w:rFonts w:ascii="Calibri Light" w:hAnsi="Calibri Light" w:cs="Calibri Light"/>
                <w:b/>
                <w:bCs/>
                <w:sz w:val="20"/>
                <w:szCs w:val="20"/>
                <w:lang w:val="es-ES_tradnl"/>
              </w:rPr>
              <w:t>".</w:t>
            </w:r>
          </w:p>
          <w:p w14:paraId="495FCBBD" w14:textId="24669F60" w:rsidR="00C0649F" w:rsidRPr="00F53415" w:rsidRDefault="000E5064" w:rsidP="00F53415">
            <w:pPr>
              <w:pStyle w:val="Prrafodelista"/>
              <w:numPr>
                <w:ilvl w:val="0"/>
                <w:numId w:val="3"/>
              </w:numPr>
              <w:spacing w:after="0" w:line="240" w:lineRule="auto"/>
              <w:ind w:left="599" w:hanging="239"/>
              <w:jc w:val="both"/>
              <w:rPr>
                <w:lang w:val="es-ES_tradnl"/>
              </w:rPr>
            </w:pPr>
            <w:r w:rsidRPr="00F53415">
              <w:rPr>
                <w:rFonts w:ascii="Calibri Light" w:hAnsi="Calibri Light" w:cs="Calibri Light"/>
                <w:i/>
                <w:iCs/>
                <w:sz w:val="20"/>
                <w:szCs w:val="20"/>
                <w:lang w:val="es-ES_tradnl"/>
              </w:rPr>
              <w:t xml:space="preserve">"reforzando </w:t>
            </w:r>
            <w:r w:rsidR="00785E87" w:rsidRPr="00F53415">
              <w:rPr>
                <w:rFonts w:ascii="Calibri Light" w:hAnsi="Calibri Light" w:cs="Calibri Light"/>
                <w:i/>
                <w:iCs/>
                <w:sz w:val="20"/>
                <w:szCs w:val="20"/>
                <w:lang w:val="es-ES_tradnl"/>
              </w:rPr>
              <w:t xml:space="preserve">la potestad </w:t>
            </w:r>
            <w:r w:rsidR="008D7C51" w:rsidRPr="00F53415">
              <w:rPr>
                <w:rFonts w:ascii="Calibri Light" w:hAnsi="Calibri Light" w:cs="Calibri Light"/>
                <w:i/>
                <w:iCs/>
                <w:sz w:val="20"/>
                <w:szCs w:val="20"/>
                <w:lang w:val="es-ES_tradnl"/>
              </w:rPr>
              <w:t>sancionadora</w:t>
            </w:r>
            <w:r w:rsidRPr="00F53415">
              <w:rPr>
                <w:rFonts w:ascii="Calibri Light" w:hAnsi="Calibri Light" w:cs="Calibri Light"/>
                <w:i/>
                <w:iCs/>
                <w:sz w:val="20"/>
                <w:szCs w:val="20"/>
                <w:lang w:val="es-ES_tradnl"/>
              </w:rPr>
              <w:t xml:space="preserve"> de la AEVM </w:t>
            </w:r>
            <w:r w:rsidRPr="00F53415">
              <w:rPr>
                <w:rFonts w:ascii="Calibri Light" w:hAnsi="Calibri Light" w:cs="Calibri Light"/>
                <w:b/>
                <w:bCs/>
                <w:i/>
                <w:iCs/>
                <w:sz w:val="20"/>
                <w:szCs w:val="20"/>
                <w:lang w:val="es-ES_tradnl"/>
              </w:rPr>
              <w:t xml:space="preserve">para </w:t>
            </w:r>
            <w:r w:rsidR="00785E87" w:rsidRPr="00F53415">
              <w:rPr>
                <w:rFonts w:ascii="Calibri Light" w:hAnsi="Calibri Light" w:cs="Calibri Light"/>
                <w:b/>
                <w:bCs/>
                <w:i/>
                <w:iCs/>
                <w:sz w:val="20"/>
                <w:szCs w:val="20"/>
                <w:lang w:val="es-ES_tradnl"/>
              </w:rPr>
              <w:t xml:space="preserve">garantizar </w:t>
            </w:r>
            <w:r w:rsidRPr="00F53415">
              <w:rPr>
                <w:rFonts w:ascii="Calibri Light" w:hAnsi="Calibri Light" w:cs="Calibri Light"/>
                <w:b/>
                <w:bCs/>
                <w:i/>
                <w:iCs/>
                <w:sz w:val="20"/>
                <w:szCs w:val="20"/>
                <w:lang w:val="es-ES_tradnl"/>
              </w:rPr>
              <w:t>su eficacia</w:t>
            </w:r>
            <w:r w:rsidRPr="00F53415">
              <w:rPr>
                <w:rFonts w:ascii="Calibri Light" w:hAnsi="Calibri Light" w:cs="Calibri Light"/>
                <w:i/>
                <w:iCs/>
                <w:sz w:val="20"/>
                <w:szCs w:val="20"/>
                <w:lang w:val="es-ES_tradnl"/>
              </w:rPr>
              <w:t>"</w:t>
            </w:r>
          </w:p>
        </w:tc>
      </w:tr>
    </w:tbl>
    <w:p w14:paraId="495FCBBF" w14:textId="77777777" w:rsidR="00C0649F" w:rsidRPr="00F53415" w:rsidRDefault="00C0649F">
      <w:pPr>
        <w:rPr>
          <w:rFonts w:ascii="Calibri Light" w:hAnsi="Calibri Light" w:cs="Calibri Light"/>
          <w:b/>
          <w:bCs/>
          <w:sz w:val="20"/>
          <w:szCs w:val="20"/>
          <w:lang w:val="es-ES_tradnl"/>
        </w:rPr>
      </w:pPr>
    </w:p>
    <w:p w14:paraId="495FCBC0" w14:textId="77777777" w:rsidR="00C0649F" w:rsidRPr="00F53415" w:rsidRDefault="00C0649F">
      <w:pPr>
        <w:pStyle w:val="Textoindependiente"/>
        <w:spacing w:before="120" w:after="0" w:line="240" w:lineRule="auto"/>
        <w:rPr>
          <w:lang w:val="es-ES_tradnl"/>
        </w:rPr>
      </w:pPr>
    </w:p>
    <w:sectPr w:rsidR="00C0649F" w:rsidRPr="00F53415">
      <w:type w:val="continuous"/>
      <w:pgSz w:w="11906" w:h="16838"/>
      <w:pgMar w:top="1440" w:right="720"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9143" w14:textId="77777777" w:rsidR="00EF2F70" w:rsidRDefault="00EF2F70">
      <w:pPr>
        <w:spacing w:after="0" w:line="240" w:lineRule="auto"/>
      </w:pPr>
      <w:r>
        <w:separator/>
      </w:r>
    </w:p>
  </w:endnote>
  <w:endnote w:type="continuationSeparator" w:id="0">
    <w:p w14:paraId="38C30D57" w14:textId="77777777" w:rsidR="00EF2F70" w:rsidRDefault="00EF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CB54" w14:textId="77777777" w:rsidR="007F13BB" w:rsidRPr="000E5064" w:rsidRDefault="000E5064">
    <w:pPr>
      <w:spacing w:before="120" w:after="0" w:line="240" w:lineRule="auto"/>
      <w:ind w:left="-567"/>
      <w:jc w:val="center"/>
      <w:rPr>
        <w:b/>
        <w:color w:val="006FB4"/>
        <w:sz w:val="16"/>
        <w:szCs w:val="16"/>
        <w:lang w:val="es-ES"/>
      </w:rPr>
    </w:pPr>
    <w:r w:rsidRPr="000E5064">
      <w:rPr>
        <w:b/>
        <w:color w:val="006FB4"/>
        <w:sz w:val="16"/>
        <w:szCs w:val="16"/>
        <w:lang w:val="es-ES"/>
      </w:rPr>
      <w:t>La Federación Europea de Inversores y Usuarios de Servicios Financieros</w:t>
    </w:r>
  </w:p>
  <w:p w14:paraId="495FCB55" w14:textId="77777777" w:rsidR="007F13BB" w:rsidRDefault="000E5064">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495FCB56" w14:textId="77777777" w:rsidR="007F13BB" w:rsidRPr="000E5064" w:rsidRDefault="000E5064">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495FCB57" w14:textId="77777777" w:rsidR="007F13BB" w:rsidRPr="000E5064" w:rsidRDefault="00161874">
    <w:pPr>
      <w:spacing w:after="0" w:line="240" w:lineRule="auto"/>
      <w:ind w:left="-567"/>
      <w:jc w:val="center"/>
      <w:rPr>
        <w:lang w:val="es-ES"/>
      </w:rPr>
    </w:pPr>
    <w:hyperlink r:id="rId1" w:history="1">
      <w:r w:rsidR="000E5064">
        <w:rPr>
          <w:color w:val="006FB4"/>
          <w:sz w:val="16"/>
          <w:szCs w:val="16"/>
          <w:u w:val="single"/>
          <w:lang w:val="it-IT"/>
        </w:rPr>
        <w:t>Correo electrónico</w:t>
      </w:r>
    </w:hyperlink>
    <w:r w:rsidR="000E5064">
      <w:rPr>
        <w:color w:val="006FB4"/>
        <w:sz w:val="16"/>
        <w:szCs w:val="16"/>
        <w:lang w:val="pt-PT"/>
      </w:rPr>
      <w:t xml:space="preserve">: info@betterfinance.eu - </w:t>
    </w:r>
    <w:bookmarkStart w:id="3" w:name="_Hlk944867"/>
    <w:r w:rsidR="000E5064">
      <w:fldChar w:fldCharType="begin"/>
    </w:r>
    <w:r w:rsidR="000E5064" w:rsidRPr="000E5064">
      <w:rPr>
        <w:lang w:val="es-ES"/>
      </w:rPr>
      <w:instrText xml:space="preserve"> HYPERLINK  "http://www.eurofinuse.org" </w:instrText>
    </w:r>
    <w:r w:rsidR="000E5064">
      <w:fldChar w:fldCharType="separate"/>
    </w:r>
    <w:r w:rsidR="000E5064">
      <w:rPr>
        <w:color w:val="006FB4"/>
        <w:sz w:val="16"/>
        <w:szCs w:val="16"/>
        <w:u w:val="single"/>
        <w:lang w:val="it-IT"/>
      </w:rPr>
      <w:t xml:space="preserve">http://www.betterfinance.eu </w:t>
    </w:r>
    <w:r w:rsidR="000E5064">
      <w:rPr>
        <w:color w:val="006FB4"/>
        <w:sz w:val="16"/>
        <w:szCs w:val="16"/>
        <w:u w:val="single"/>
        <w:lang w:val="it-IT"/>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00B1" w14:textId="77777777" w:rsidR="00EF2F70" w:rsidRDefault="00EF2F70">
      <w:pPr>
        <w:spacing w:after="0" w:line="240" w:lineRule="auto"/>
      </w:pPr>
      <w:r>
        <w:rPr>
          <w:color w:val="000000"/>
        </w:rPr>
        <w:separator/>
      </w:r>
    </w:p>
  </w:footnote>
  <w:footnote w:type="continuationSeparator" w:id="0">
    <w:p w14:paraId="5F1170D1" w14:textId="77777777" w:rsidR="00EF2F70" w:rsidRDefault="00EF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CB4F" w14:textId="77777777" w:rsidR="007F13BB" w:rsidRDefault="000E5064">
    <w:pPr>
      <w:pStyle w:val="Encabezado"/>
    </w:pPr>
    <w:r>
      <w:rPr>
        <w:noProof/>
        <w:lang w:val="ca-ES" w:eastAsia="ca-ES"/>
      </w:rPr>
      <w:drawing>
        <wp:anchor distT="0" distB="0" distL="114300" distR="114300" simplePos="0" relativeHeight="251659264" behindDoc="0" locked="0" layoutInCell="1" allowOverlap="1" wp14:anchorId="495FCB47" wp14:editId="495FCB48">
          <wp:simplePos x="0" y="0"/>
          <wp:positionH relativeFrom="margin">
            <wp:posOffset>2564133</wp:posOffset>
          </wp:positionH>
          <wp:positionV relativeFrom="paragraph">
            <wp:posOffset>-265432</wp:posOffset>
          </wp:positionV>
          <wp:extent cx="3138165" cy="645164"/>
          <wp:effectExtent l="0" t="0" r="5085" b="2536"/>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495FCB50" w14:textId="77777777" w:rsidR="007F13BB" w:rsidRDefault="00161874">
    <w:pPr>
      <w:pStyle w:val="Encabezado"/>
    </w:pPr>
  </w:p>
  <w:p w14:paraId="495FCB51" w14:textId="77777777" w:rsidR="007F13BB" w:rsidRDefault="00161874">
    <w:pPr>
      <w:pStyle w:val="Encabezado"/>
      <w:rPr>
        <w:sz w:val="12"/>
        <w:szCs w:val="12"/>
      </w:rPr>
    </w:pPr>
  </w:p>
  <w:p w14:paraId="495FCB52" w14:textId="77777777" w:rsidR="007F13BB" w:rsidRDefault="00161874">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EAF"/>
    <w:multiLevelType w:val="multilevel"/>
    <w:tmpl w:val="88B4C74A"/>
    <w:lvl w:ilvl="0">
      <w:numFmt w:val="bullet"/>
      <w:lvlText w:val=""/>
      <w:lvlJc w:val="left"/>
      <w:pPr>
        <w:ind w:left="720" w:hanging="360"/>
      </w:pPr>
      <w:rPr>
        <w:rFonts w:ascii="Wingdings" w:eastAsia="Times New Roman" w:hAnsi="Wingdings"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973A36"/>
    <w:multiLevelType w:val="multilevel"/>
    <w:tmpl w:val="C0FAE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B87CDC"/>
    <w:multiLevelType w:val="multilevel"/>
    <w:tmpl w:val="992A5472"/>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A466AD"/>
    <w:multiLevelType w:val="multilevel"/>
    <w:tmpl w:val="6ED086AE"/>
    <w:lvl w:ilvl="0">
      <w:numFmt w:val="bullet"/>
      <w:lvlText w:val=""/>
      <w:lvlJc w:val="left"/>
      <w:pPr>
        <w:ind w:left="720" w:hanging="360"/>
      </w:pPr>
      <w:rPr>
        <w:rFonts w:ascii="Symbol" w:hAnsi="Symbol"/>
      </w:rPr>
    </w:lvl>
    <w:lvl w:ilvl="1">
      <w:numFmt w:val="bullet"/>
      <w:lvlText w:val=""/>
      <w:lvlJc w:val="left"/>
      <w:pPr>
        <w:ind w:left="1440" w:hanging="360"/>
      </w:pPr>
      <w:rPr>
        <w:rFonts w:ascii="Wingdings" w:eastAsia="Calibri" w:hAnsi="Wingdings"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E76F3F"/>
    <w:multiLevelType w:val="multilevel"/>
    <w:tmpl w:val="3F028004"/>
    <w:lvl w:ilvl="0">
      <w:numFmt w:val="bullet"/>
      <w:lvlText w:val=""/>
      <w:lvlJc w:val="left"/>
      <w:pPr>
        <w:ind w:left="360" w:hanging="360"/>
      </w:pPr>
      <w:rPr>
        <w:rFonts w:ascii="Symbol" w:hAnsi="Symbol"/>
      </w:rPr>
    </w:lvl>
    <w:lvl w:ilvl="1">
      <w:numFmt w:val="bullet"/>
      <w:lvlText w:val=""/>
      <w:lvlJc w:val="left"/>
      <w:pPr>
        <w:ind w:left="1080" w:hanging="360"/>
      </w:pPr>
      <w:rPr>
        <w:rFonts w:ascii="Wingdings" w:eastAsia="Calibri" w:hAnsi="Wingdings"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422546E"/>
    <w:multiLevelType w:val="multilevel"/>
    <w:tmpl w:val="7C28AD1A"/>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1122E6"/>
    <w:multiLevelType w:val="multilevel"/>
    <w:tmpl w:val="212AC9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9E87121"/>
    <w:multiLevelType w:val="multilevel"/>
    <w:tmpl w:val="81DC4C00"/>
    <w:lvl w:ilvl="0">
      <w:numFmt w:val="bullet"/>
      <w:lvlText w:val=""/>
      <w:lvlJc w:val="left"/>
      <w:pPr>
        <w:ind w:left="894" w:hanging="360"/>
      </w:pPr>
      <w:rPr>
        <w:rFonts w:ascii="Wingdings" w:eastAsia="Calibri" w:hAnsi="Wingdings" w:cs="Arial"/>
      </w:rPr>
    </w:lvl>
    <w:lvl w:ilvl="1">
      <w:numFmt w:val="bullet"/>
      <w:lvlText w:val="o"/>
      <w:lvlJc w:val="left"/>
      <w:pPr>
        <w:ind w:left="1614" w:hanging="360"/>
      </w:pPr>
      <w:rPr>
        <w:rFonts w:ascii="Courier New" w:hAnsi="Courier New" w:cs="Courier New"/>
      </w:rPr>
    </w:lvl>
    <w:lvl w:ilvl="2">
      <w:numFmt w:val="bullet"/>
      <w:lvlText w:val=""/>
      <w:lvlJc w:val="left"/>
      <w:pPr>
        <w:ind w:left="2334" w:hanging="360"/>
      </w:pPr>
      <w:rPr>
        <w:rFonts w:ascii="Wingdings" w:hAnsi="Wingdings"/>
      </w:rPr>
    </w:lvl>
    <w:lvl w:ilvl="3">
      <w:numFmt w:val="bullet"/>
      <w:lvlText w:val=""/>
      <w:lvlJc w:val="left"/>
      <w:pPr>
        <w:ind w:left="3054" w:hanging="360"/>
      </w:pPr>
      <w:rPr>
        <w:rFonts w:ascii="Symbol" w:hAnsi="Symbol"/>
      </w:rPr>
    </w:lvl>
    <w:lvl w:ilvl="4">
      <w:numFmt w:val="bullet"/>
      <w:lvlText w:val="o"/>
      <w:lvlJc w:val="left"/>
      <w:pPr>
        <w:ind w:left="3774" w:hanging="360"/>
      </w:pPr>
      <w:rPr>
        <w:rFonts w:ascii="Courier New" w:hAnsi="Courier New" w:cs="Courier New"/>
      </w:rPr>
    </w:lvl>
    <w:lvl w:ilvl="5">
      <w:numFmt w:val="bullet"/>
      <w:lvlText w:val=""/>
      <w:lvlJc w:val="left"/>
      <w:pPr>
        <w:ind w:left="4494" w:hanging="360"/>
      </w:pPr>
      <w:rPr>
        <w:rFonts w:ascii="Wingdings" w:hAnsi="Wingdings"/>
      </w:rPr>
    </w:lvl>
    <w:lvl w:ilvl="6">
      <w:numFmt w:val="bullet"/>
      <w:lvlText w:val=""/>
      <w:lvlJc w:val="left"/>
      <w:pPr>
        <w:ind w:left="5214" w:hanging="360"/>
      </w:pPr>
      <w:rPr>
        <w:rFonts w:ascii="Symbol" w:hAnsi="Symbol"/>
      </w:rPr>
    </w:lvl>
    <w:lvl w:ilvl="7">
      <w:numFmt w:val="bullet"/>
      <w:lvlText w:val="o"/>
      <w:lvlJc w:val="left"/>
      <w:pPr>
        <w:ind w:left="5934" w:hanging="360"/>
      </w:pPr>
      <w:rPr>
        <w:rFonts w:ascii="Courier New" w:hAnsi="Courier New" w:cs="Courier New"/>
      </w:rPr>
    </w:lvl>
    <w:lvl w:ilvl="8">
      <w:numFmt w:val="bullet"/>
      <w:lvlText w:val=""/>
      <w:lvlJc w:val="left"/>
      <w:pPr>
        <w:ind w:left="6654" w:hanging="360"/>
      </w:pPr>
      <w:rPr>
        <w:rFonts w:ascii="Wingdings" w:hAnsi="Wingdings"/>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649F"/>
    <w:rsid w:val="0004540A"/>
    <w:rsid w:val="00076032"/>
    <w:rsid w:val="000E5064"/>
    <w:rsid w:val="00161874"/>
    <w:rsid w:val="001C1DB6"/>
    <w:rsid w:val="001E7DDB"/>
    <w:rsid w:val="00261D20"/>
    <w:rsid w:val="0028248B"/>
    <w:rsid w:val="003A6769"/>
    <w:rsid w:val="00463CEE"/>
    <w:rsid w:val="00641378"/>
    <w:rsid w:val="006B7056"/>
    <w:rsid w:val="00785E87"/>
    <w:rsid w:val="007A7BD1"/>
    <w:rsid w:val="008D7C51"/>
    <w:rsid w:val="00904483"/>
    <w:rsid w:val="0094455B"/>
    <w:rsid w:val="00A66425"/>
    <w:rsid w:val="00B9393B"/>
    <w:rsid w:val="00C0612E"/>
    <w:rsid w:val="00C0649F"/>
    <w:rsid w:val="00C7624B"/>
    <w:rsid w:val="00CD738C"/>
    <w:rsid w:val="00EF2F70"/>
    <w:rsid w:val="00F53415"/>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CB40"/>
  <w15:docId w15:val="{D13CD36D-2279-4FF8-8052-FE6320F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240" w:after="0"/>
      <w:outlineLvl w:val="0"/>
    </w:pPr>
    <w:rPr>
      <w:rFonts w:ascii="Cambria" w:eastAsia="SimSun" w:hAnsi="Cambria" w:cs="Times New Roman"/>
      <w:color w:val="365F91"/>
      <w:sz w:val="32"/>
      <w:szCs w:val="32"/>
    </w:rPr>
  </w:style>
  <w:style w:type="paragraph" w:styleId="Ttulo2">
    <w:name w:val="heading 2"/>
    <w:basedOn w:val="Normal"/>
    <w:next w:val="Normal"/>
    <w:uiPriority w:val="9"/>
    <w:unhideWhenUsed/>
    <w:qFormat/>
    <w:pPr>
      <w:keepNext/>
      <w:keepLines/>
      <w:spacing w:before="40" w:after="0"/>
      <w:outlineLvl w:val="1"/>
    </w:pPr>
    <w:rPr>
      <w:rFonts w:ascii="Cambria" w:eastAsia="SimSu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HeaderChar">
    <w:name w:val="Header Char"/>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ooterChar">
    <w:name w:val="Footer Char"/>
    <w:basedOn w:val="Fuentedeprrafopredeter"/>
  </w:style>
  <w:style w:type="paragraph" w:styleId="Textoindependiente">
    <w:name w:val="Body Text"/>
    <w:basedOn w:val="Normal"/>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Fuentedeprrafopredeter"/>
    <w:rPr>
      <w:rFonts w:ascii="Tahoma" w:eastAsia="Times New Roman" w:hAnsi="Tahoma" w:cs="Times New Roman"/>
      <w:spacing w:val="10"/>
      <w:sz w:val="17"/>
      <w:szCs w:val="20"/>
      <w:lang w:val="en-US"/>
    </w:rPr>
  </w:style>
  <w:style w:type="paragraph" w:styleId="Ttulo">
    <w:name w:val="Title"/>
    <w:basedOn w:val="Normal"/>
    <w:next w:val="Normal"/>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Fuentedeprrafopredeter"/>
    <w:rPr>
      <w:rFonts w:ascii="Cambria" w:eastAsia="SimSun" w:hAnsi="Cambria" w:cs="Times New Roman"/>
      <w:spacing w:val="-10"/>
      <w:kern w:val="3"/>
      <w:sz w:val="56"/>
      <w:szCs w:val="56"/>
    </w:rPr>
  </w:style>
  <w:style w:type="paragraph" w:styleId="Textodeglobo">
    <w:name w:val="Balloon Text"/>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Fuentedeprrafopredeter"/>
    <w:rPr>
      <w:rFonts w:ascii="Times New Roman" w:hAnsi="Times New Roman" w:cs="Times New Roman"/>
      <w:sz w:val="18"/>
      <w:szCs w:val="1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CommentTextChar">
    <w:name w:val="Comment Text Ch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CommentSubjectChar">
    <w:name w:val="Comment Subject Char"/>
    <w:basedOn w:val="CommentTextChar"/>
    <w:rPr>
      <w:b/>
      <w:bCs/>
      <w:sz w:val="20"/>
      <w:szCs w:val="20"/>
    </w:rP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Textoennegrita">
    <w:name w:val="Strong"/>
    <w:rPr>
      <w:b/>
      <w:bCs/>
    </w:rPr>
  </w:style>
  <w:style w:type="character" w:styleId="Hipervnculo">
    <w:name w:val="Hyperlink"/>
    <w:basedOn w:val="Fuentedeprrafopredeter"/>
    <w:rPr>
      <w:color w:val="0000FF"/>
      <w:u w:val="single"/>
    </w:rPr>
  </w:style>
  <w:style w:type="character" w:customStyle="1" w:styleId="Mencinsinresolver1">
    <w:name w:val="Mención sin resolver1"/>
    <w:basedOn w:val="Fuentedeprrafopredeter"/>
    <w:rPr>
      <w:color w:val="605E5C"/>
      <w:shd w:val="clear" w:color="auto" w:fill="E1DFDD"/>
    </w:rPr>
  </w:style>
  <w:style w:type="character" w:styleId="Hipervnculovisitado">
    <w:name w:val="FollowedHyperlink"/>
    <w:basedOn w:val="Fuentedeprrafopredeter"/>
    <w:rPr>
      <w:color w:val="800080"/>
      <w:u w:val="single"/>
    </w:rPr>
  </w:style>
  <w:style w:type="character" w:customStyle="1" w:styleId="Heading2Char">
    <w:name w:val="Heading 2 Char"/>
    <w:basedOn w:val="Fuentedeprrafopredeter"/>
    <w:rPr>
      <w:rFonts w:ascii="Cambria" w:eastAsia="SimSun" w:hAnsi="Cambria" w:cs="Times New Roman"/>
      <w:color w:val="365F91"/>
      <w:sz w:val="26"/>
      <w:szCs w:val="26"/>
    </w:rPr>
  </w:style>
  <w:style w:type="paragraph" w:styleId="Prrafodelista">
    <w:name w:val="List Paragraph"/>
    <w:basedOn w:val="Normal"/>
    <w:pPr>
      <w:ind w:left="720"/>
    </w:pPr>
  </w:style>
  <w:style w:type="character" w:customStyle="1" w:styleId="Heading1Char">
    <w:name w:val="Heading 1 Char"/>
    <w:basedOn w:val="Fuentedeprrafopredeter"/>
    <w:rPr>
      <w:rFonts w:ascii="Cambria" w:eastAsia="SimSun" w:hAnsi="Cambria" w:cs="Times New Roman"/>
      <w:color w:val="365F91"/>
      <w:sz w:val="32"/>
      <w:szCs w:val="32"/>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udmont@betterfinance.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terfinance.eu/publication/better-finance-key-priorities-for-the-next-five-years-&#9474;-2019-2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files/200610-cmu-high-level-forum-final-report_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c.europa.eu/info/files/200610-cmu-high-level-forum-final-repor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AA803-8B8F-4AF9-8B67-FCF494B0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06638-3AA1-4942-8AB4-CD6355C2E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2D5BD-0098-4F03-BD4F-06472EF40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3051</Words>
  <Characters>16782</Characters>
  <Application>Microsoft Office Word</Application>
  <DocSecurity>0</DocSecurity>
  <Lines>139</Lines>
  <Paragraphs>39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El informe del Foro de Alto Nivel de la Unión Europea de Mercados de Capitales (</vt:lpstr>
      <vt:lpstr>    Los ahorradores europeos están un paso más cerca de conseguir un valor sostenibl</vt:lpstr>
      <vt:lpstr>    COMUNICADO DE PRENSA ANEXO</vt:lpstr>
      <vt:lpstr>    Recomendaciones del Informe Final del HLF sobre la UMC en comparación con las pr</vt:lpstr>
    </vt:vector>
  </TitlesOfParts>
  <Company>HP</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Houdmont</dc:creator>
  <cp:lastModifiedBy>Usuario</cp:lastModifiedBy>
  <cp:revision>5</cp:revision>
  <cp:lastPrinted>2020-06-09T11:09:00Z</cp:lastPrinted>
  <dcterms:created xsi:type="dcterms:W3CDTF">2020-12-11T12:57:00Z</dcterms:created>
  <dcterms:modified xsi:type="dcterms:W3CDTF">2020-12-21T20:25:00Z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