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0075" w14:textId="03159C38" w:rsidR="0006457B" w:rsidRPr="003146A6" w:rsidRDefault="0006457B">
      <w:pPr>
        <w:rPr>
          <w:lang w:val="es-ES"/>
        </w:rPr>
      </w:pPr>
    </w:p>
    <w:p w14:paraId="525D0076" w14:textId="77777777" w:rsidR="0006457B" w:rsidRPr="00EB7DD6" w:rsidRDefault="00140816">
      <w:pPr>
        <w:pStyle w:val="Textoindependiente"/>
        <w:spacing w:after="120" w:line="312" w:lineRule="auto"/>
        <w:jc w:val="both"/>
        <w:rPr>
          <w:lang w:val="es-ES"/>
        </w:rPr>
      </w:pPr>
      <w:bookmarkStart w:id="0" w:name="_Hlk4143464"/>
      <w:r w:rsidRPr="00EB7DD6">
        <w:rPr>
          <w:rStyle w:val="Textoennegrita"/>
          <w:sz w:val="18"/>
          <w:lang w:val="es-ES"/>
        </w:rPr>
        <w:t xml:space="preserve">COMUNICADO DE PRENSA </w:t>
      </w:r>
    </w:p>
    <w:p w14:paraId="525D0077" w14:textId="77777777" w:rsidR="0006457B" w:rsidRPr="00EB7DD6" w:rsidRDefault="00140816">
      <w:pPr>
        <w:pStyle w:val="Ttulo2"/>
        <w:spacing w:after="80"/>
        <w:jc w:val="both"/>
        <w:rPr>
          <w:lang w:val="es-ES"/>
        </w:rPr>
      </w:pPr>
      <w:r w:rsidRPr="00EB7DD6">
        <w:rPr>
          <w:rFonts w:eastAsia="Calibri" w:cs="Arial"/>
          <w:b/>
          <w:spacing w:val="20"/>
          <w:kern w:val="3"/>
          <w:sz w:val="30"/>
          <w:szCs w:val="30"/>
          <w:lang w:val="es-ES"/>
        </w:rPr>
        <w:t xml:space="preserve">La propuesta europea de un impuesto sobre las transacciones financieras (ITF) se dirige de manera desproporcionada a los ciudadanos de la UE en lugar de a las instituciones financieras </w:t>
      </w:r>
    </w:p>
    <w:p w14:paraId="525D0078" w14:textId="09C0B402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b/>
          <w:lang w:val="es-ES"/>
        </w:rPr>
        <w:t xml:space="preserve">Bruselas, 21 de enero de 2019 </w:t>
      </w:r>
      <w:r w:rsidRPr="00EB7DD6">
        <w:rPr>
          <w:rFonts w:ascii="Calibri Light" w:hAnsi="Calibri Light" w:cs="Calibri Light"/>
          <w:lang w:val="es-ES"/>
        </w:rPr>
        <w:t>-</w:t>
      </w:r>
      <w:bookmarkEnd w:id="0"/>
      <w:r w:rsidRPr="00EB7DD6">
        <w:rPr>
          <w:rFonts w:ascii="Calibri Light" w:hAnsi="Calibri Light" w:cs="Calibri Light"/>
          <w:lang w:val="es-ES"/>
        </w:rPr>
        <w:t xml:space="preserve"> En 2013, BETTER FINANCE expresó claramente su apoyo a un impuesto europeo sobre las transacciones financieras (ITF) y su principal objetivo declarado</w:t>
      </w:r>
      <w:r w:rsidR="007976FC" w:rsidRPr="00EB7DD6">
        <w:rPr>
          <w:rFonts w:ascii="Calibri Light" w:hAnsi="Calibri Light" w:cs="Calibri Light"/>
          <w:lang w:val="es-ES"/>
        </w:rPr>
        <w:t xml:space="preserve"> “[de </w:t>
      </w:r>
      <w:r w:rsidRPr="00EB7DD6">
        <w:rPr>
          <w:rFonts w:ascii="Calibri Light" w:hAnsi="Calibri Light" w:cs="Calibri Light"/>
          <w:i/>
          <w:iCs/>
          <w:lang w:val="es-ES"/>
        </w:rPr>
        <w:t>"garantizar</w:t>
      </w:r>
      <w:r w:rsidR="007976FC" w:rsidRPr="00EB7DD6">
        <w:rPr>
          <w:rFonts w:ascii="Calibri Light" w:hAnsi="Calibri Light" w:cs="Calibri Light"/>
          <w:i/>
          <w:iCs/>
          <w:lang w:val="es-ES"/>
        </w:rPr>
        <w:t>]</w:t>
      </w:r>
      <w:r w:rsidRPr="00EB7DD6">
        <w:rPr>
          <w:rFonts w:ascii="Calibri Light" w:hAnsi="Calibri Light" w:cs="Calibri Light"/>
          <w:i/>
          <w:iCs/>
          <w:lang w:val="es-ES"/>
        </w:rPr>
        <w:t xml:space="preserve"> que las instituciones financieras contribuyan de forma justa y sustancial a cubrir los costes de la reciente crisis... y </w:t>
      </w:r>
      <w:r w:rsidR="00C02F0D" w:rsidRPr="00EB7DD6">
        <w:rPr>
          <w:rFonts w:ascii="Calibri Light" w:hAnsi="Calibri Light" w:cs="Calibri Light"/>
          <w:i/>
          <w:iCs/>
          <w:lang w:val="es-ES"/>
        </w:rPr>
        <w:t xml:space="preserve">de </w:t>
      </w:r>
      <w:r w:rsidRPr="00EB7DD6">
        <w:rPr>
          <w:rFonts w:ascii="Calibri Light" w:hAnsi="Calibri Light" w:cs="Calibri Light"/>
          <w:i/>
          <w:iCs/>
          <w:lang w:val="es-ES"/>
        </w:rPr>
        <w:t>delimitar la economía real, las PYME, los hogares, etc."</w:t>
      </w:r>
      <w:r w:rsidRPr="00EB7DD6">
        <w:rPr>
          <w:rFonts w:ascii="Calibri Light" w:hAnsi="Calibri Light" w:cs="Calibri Light"/>
          <w:lang w:val="es-ES"/>
        </w:rPr>
        <w:t xml:space="preserve">. </w:t>
      </w:r>
    </w:p>
    <w:p w14:paraId="525D0079" w14:textId="40C65884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Al mismo tiempo, la organización </w:t>
      </w:r>
      <w:hyperlink r:id="rId10" w:history="1">
        <w:r w:rsidRPr="00EB7DD6">
          <w:rPr>
            <w:rStyle w:val="Hipervnculo"/>
            <w:rFonts w:ascii="Calibri Light" w:hAnsi="Calibri Light" w:cs="Calibri Light"/>
            <w:lang w:val="es-ES"/>
          </w:rPr>
          <w:t>BETTER FINANCE expresó su gran preocupación por la propuesta de un ITF presentad</w:t>
        </w:r>
        <w:r w:rsidR="007976FC" w:rsidRPr="00EB7DD6">
          <w:rPr>
            <w:rStyle w:val="Hipervnculo"/>
            <w:rFonts w:ascii="Calibri Light" w:hAnsi="Calibri Light" w:cs="Calibri Light"/>
            <w:lang w:val="es-ES"/>
          </w:rPr>
          <w:t>o</w:t>
        </w:r>
        <w:r w:rsidRPr="00EB7DD6">
          <w:rPr>
            <w:rStyle w:val="Hipervnculo"/>
            <w:rFonts w:ascii="Calibri Light" w:hAnsi="Calibri Light" w:cs="Calibri Light"/>
            <w:lang w:val="es-ES"/>
          </w:rPr>
          <w:t xml:space="preserve"> por la Comisión Europea (CE) en febrero de 2013</w:t>
        </w:r>
      </w:hyperlink>
      <w:r w:rsidRPr="00EB7DD6">
        <w:rPr>
          <w:rFonts w:ascii="Calibri Light" w:hAnsi="Calibri Light" w:cs="Calibri Light"/>
          <w:lang w:val="es-ES"/>
        </w:rPr>
        <w:t>, señalando el hecho de que la propuesta no cumplía este objetivo y que, una vez más, serían los ciudadanos de la UE quienes soportarían la mayor parte de este ITF en lugar de las instituciones financieras.</w:t>
      </w:r>
    </w:p>
    <w:p w14:paraId="525D007A" w14:textId="143E84BE" w:rsidR="0006457B" w:rsidRPr="00EB7DD6" w:rsidRDefault="00140816">
      <w:pPr>
        <w:spacing w:after="120"/>
        <w:jc w:val="both"/>
        <w:rPr>
          <w:rFonts w:ascii="Calibri Light" w:hAnsi="Calibri Light" w:cs="Calibri Light"/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De hecho, en lugar de centrarse en las transacciones entre </w:t>
      </w:r>
      <w:r w:rsidR="007976FC" w:rsidRPr="00EB7DD6">
        <w:rPr>
          <w:rFonts w:ascii="Calibri Light" w:hAnsi="Calibri Light" w:cs="Calibri Light"/>
          <w:lang w:val="es-ES"/>
        </w:rPr>
        <w:t xml:space="preserve">las </w:t>
      </w:r>
      <w:r w:rsidRPr="00EB7DD6">
        <w:rPr>
          <w:rFonts w:ascii="Calibri Light" w:hAnsi="Calibri Light" w:cs="Calibri Light"/>
          <w:lang w:val="es-ES"/>
        </w:rPr>
        <w:t xml:space="preserve">instituciones financieras, </w:t>
      </w:r>
      <w:r w:rsidR="007976FC" w:rsidRPr="00EB7DD6">
        <w:rPr>
          <w:rFonts w:ascii="Calibri Light" w:hAnsi="Calibri Light" w:cs="Calibri Light"/>
          <w:lang w:val="es-ES"/>
        </w:rPr>
        <w:t>según</w:t>
      </w:r>
      <w:r w:rsidRPr="00EB7DD6">
        <w:rPr>
          <w:rFonts w:ascii="Calibri Light" w:hAnsi="Calibri Light" w:cs="Calibri Light"/>
          <w:lang w:val="es-ES"/>
        </w:rPr>
        <w:t xml:space="preserve"> el encomiable objetivo del ITF, la propuesta actual se centra una vez más en los ciudadanos de la UE como ahorradores e inversores finales, mientras que la industria financiera se escapa sin problemas.</w:t>
      </w:r>
    </w:p>
    <w:p w14:paraId="525D007B" w14:textId="4B19CB96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Un verdadero </w:t>
      </w:r>
      <w:r w:rsidR="007976FC" w:rsidRPr="00EB7DD6">
        <w:rPr>
          <w:rFonts w:ascii="Calibri Light" w:hAnsi="Calibri Light" w:cs="Calibri Light"/>
          <w:lang w:val="es-ES"/>
        </w:rPr>
        <w:t xml:space="preserve">y riguroso </w:t>
      </w:r>
      <w:r w:rsidRPr="00EB7DD6">
        <w:rPr>
          <w:rFonts w:ascii="Calibri Light" w:hAnsi="Calibri Light" w:cs="Calibri Light"/>
          <w:lang w:val="es-ES"/>
        </w:rPr>
        <w:t xml:space="preserve">ITF en su intención de cooptar a las instituciones financieras en la protección de la economía real y de los ciudadanos de la UE, tendría que gravar las transacciones de divisas, especialmente los derivados de divisas, así como otros derivados, en lugar de centrarse en las transacciones de acciones </w:t>
      </w:r>
      <w:r w:rsidR="007976FC" w:rsidRPr="00EB7DD6">
        <w:rPr>
          <w:rFonts w:ascii="Calibri Light" w:hAnsi="Calibri Light" w:cs="Calibri Light"/>
          <w:lang w:val="es-ES"/>
        </w:rPr>
        <w:t xml:space="preserve">cotizadas </w:t>
      </w:r>
      <w:r w:rsidRPr="00EB7DD6">
        <w:rPr>
          <w:rFonts w:ascii="Calibri Light" w:hAnsi="Calibri Light" w:cs="Calibri Light"/>
          <w:lang w:val="es-ES"/>
        </w:rPr>
        <w:t xml:space="preserve">en </w:t>
      </w:r>
      <w:r w:rsidR="007976FC" w:rsidRPr="00EB7DD6">
        <w:rPr>
          <w:rFonts w:ascii="Calibri Light" w:hAnsi="Calibri Light" w:cs="Calibri Light"/>
          <w:lang w:val="es-ES"/>
        </w:rPr>
        <w:t>B</w:t>
      </w:r>
      <w:r w:rsidRPr="00EB7DD6">
        <w:rPr>
          <w:rFonts w:ascii="Calibri Light" w:hAnsi="Calibri Light" w:cs="Calibri Light"/>
          <w:lang w:val="es-ES"/>
        </w:rPr>
        <w:t>olsa</w:t>
      </w:r>
      <w:r w:rsidR="007976FC" w:rsidRPr="00EB7DD6">
        <w:rPr>
          <w:rFonts w:ascii="Calibri Light" w:hAnsi="Calibri Light" w:cs="Calibri Light"/>
          <w:lang w:val="es-ES"/>
        </w:rPr>
        <w:t xml:space="preserve"> y de bonos</w:t>
      </w:r>
      <w:r w:rsidRPr="00EB7DD6">
        <w:rPr>
          <w:rFonts w:ascii="Calibri Light" w:hAnsi="Calibri Light" w:cs="Calibri Light"/>
          <w:lang w:val="es-ES"/>
        </w:rPr>
        <w:t xml:space="preserve">. </w:t>
      </w:r>
    </w:p>
    <w:p w14:paraId="525D007C" w14:textId="3328092B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Con más de un cuatrillón de dólares en transacciones al año - o más de </w:t>
      </w:r>
      <w:hyperlink r:id="rId11" w:history="1">
        <w:r w:rsidRPr="00EB7DD6">
          <w:rPr>
            <w:rStyle w:val="Hipervnculo"/>
            <w:rFonts w:ascii="Calibri Light" w:hAnsi="Calibri Light" w:cs="Calibri Light"/>
            <w:lang w:val="es-ES"/>
          </w:rPr>
          <w:t xml:space="preserve">5 billones de dólares en </w:t>
        </w:r>
      </w:hyperlink>
      <w:r w:rsidRPr="00EB7DD6">
        <w:rPr>
          <w:rFonts w:ascii="Calibri Light" w:hAnsi="Calibri Light" w:cs="Calibri Light"/>
          <w:lang w:val="es-ES"/>
        </w:rPr>
        <w:t xml:space="preserve">transacciones diarias - el mercado de divisas (la mayoría de los cuales son derivados de divisas) es, con </w:t>
      </w:r>
      <w:r w:rsidR="007976FC" w:rsidRPr="00EB7DD6">
        <w:rPr>
          <w:rFonts w:ascii="Calibri Light" w:hAnsi="Calibri Light" w:cs="Calibri Light"/>
          <w:lang w:val="es-ES"/>
        </w:rPr>
        <w:t>diferencia</w:t>
      </w:r>
      <w:r w:rsidRPr="00EB7DD6">
        <w:rPr>
          <w:rFonts w:ascii="Calibri Light" w:hAnsi="Calibri Light" w:cs="Calibri Light"/>
          <w:lang w:val="es-ES"/>
        </w:rPr>
        <w:t xml:space="preserve">, el mayor mercado financiero del mundo, </w:t>
      </w:r>
      <w:r w:rsidR="007976FC" w:rsidRPr="00EB7DD6">
        <w:rPr>
          <w:rFonts w:ascii="Calibri Light" w:hAnsi="Calibri Light" w:cs="Calibri Light"/>
          <w:lang w:val="es-ES"/>
        </w:rPr>
        <w:t xml:space="preserve">y empequeñece </w:t>
      </w:r>
      <w:r w:rsidRPr="00EB7DD6">
        <w:rPr>
          <w:rFonts w:ascii="Calibri Light" w:hAnsi="Calibri Light" w:cs="Calibri Light"/>
          <w:lang w:val="es-ES"/>
        </w:rPr>
        <w:t xml:space="preserve">a todos los demás mercados. En comparación, el mucho más conocido mercado </w:t>
      </w:r>
      <w:r w:rsidR="007976FC" w:rsidRPr="00EB7DD6">
        <w:rPr>
          <w:rFonts w:ascii="Calibri Light" w:hAnsi="Calibri Light" w:cs="Calibri Light"/>
          <w:lang w:val="es-ES"/>
        </w:rPr>
        <w:t xml:space="preserve">mundial </w:t>
      </w:r>
      <w:r w:rsidRPr="00EB7DD6">
        <w:rPr>
          <w:rFonts w:ascii="Calibri Light" w:hAnsi="Calibri Light" w:cs="Calibri Light"/>
          <w:lang w:val="es-ES"/>
        </w:rPr>
        <w:t xml:space="preserve">de valores sólo </w:t>
      </w:r>
      <w:r w:rsidR="007976FC" w:rsidRPr="00EB7DD6">
        <w:rPr>
          <w:rFonts w:ascii="Calibri Light" w:hAnsi="Calibri Light" w:cs="Calibri Light"/>
          <w:lang w:val="es-ES"/>
        </w:rPr>
        <w:t>equi</w:t>
      </w:r>
      <w:r w:rsidRPr="00EB7DD6">
        <w:rPr>
          <w:rFonts w:ascii="Calibri Light" w:hAnsi="Calibri Light" w:cs="Calibri Light"/>
          <w:lang w:val="es-ES"/>
        </w:rPr>
        <w:t xml:space="preserve">vale </w:t>
      </w:r>
      <w:r w:rsidR="007976FC" w:rsidRPr="00EB7DD6">
        <w:rPr>
          <w:rFonts w:ascii="Calibri Light" w:hAnsi="Calibri Light" w:cs="Calibri Light"/>
          <w:lang w:val="es-ES"/>
        </w:rPr>
        <w:t xml:space="preserve">a </w:t>
      </w:r>
      <w:r w:rsidRPr="00EB7DD6">
        <w:rPr>
          <w:rFonts w:ascii="Calibri Light" w:hAnsi="Calibri Light" w:cs="Calibri Light"/>
          <w:lang w:val="es-ES"/>
        </w:rPr>
        <w:t>una fracción - aproximadamente el 5</w:t>
      </w:r>
      <w:r w:rsidR="007976FC" w:rsidRPr="00EB7DD6">
        <w:rPr>
          <w:rFonts w:ascii="Calibri Light" w:hAnsi="Calibri Light" w:cs="Calibri Light"/>
          <w:lang w:val="es-ES"/>
        </w:rPr>
        <w:t xml:space="preserve"> </w:t>
      </w:r>
      <w:r w:rsidRPr="00EB7DD6">
        <w:rPr>
          <w:rFonts w:ascii="Calibri Light" w:hAnsi="Calibri Light" w:cs="Calibri Light"/>
          <w:lang w:val="es-ES"/>
        </w:rPr>
        <w:t xml:space="preserve">% - del mercado de divisas. Sin embargo, el mayor mercado financiero de todos y el </w:t>
      </w:r>
      <w:r w:rsidR="007976FC" w:rsidRPr="00EB7DD6">
        <w:rPr>
          <w:rFonts w:ascii="Calibri Light" w:hAnsi="Calibri Light" w:cs="Calibri Light"/>
          <w:lang w:val="es-ES"/>
        </w:rPr>
        <w:t xml:space="preserve">privilegiado </w:t>
      </w:r>
      <w:r w:rsidRPr="00EB7DD6">
        <w:rPr>
          <w:rFonts w:ascii="Calibri Light" w:hAnsi="Calibri Light" w:cs="Calibri Light"/>
          <w:lang w:val="es-ES"/>
        </w:rPr>
        <w:t xml:space="preserve">terreno de juego de las instituciones financieras no se vería afectado por un ITF y, hasta el día de hoy, sigue siendo totalmente opaco y </w:t>
      </w:r>
      <w:r w:rsidR="00C02F0D" w:rsidRPr="00EB7DD6">
        <w:rPr>
          <w:rFonts w:ascii="Calibri Light" w:hAnsi="Calibri Light" w:cs="Calibri Light"/>
          <w:lang w:val="es-ES"/>
        </w:rPr>
        <w:t xml:space="preserve">no está </w:t>
      </w:r>
      <w:r w:rsidR="007976FC" w:rsidRPr="00EB7DD6">
        <w:rPr>
          <w:rFonts w:ascii="Calibri Light" w:hAnsi="Calibri Light" w:cs="Calibri Light"/>
          <w:lang w:val="es-ES"/>
        </w:rPr>
        <w:t>prácticamente</w:t>
      </w:r>
      <w:r w:rsidRPr="00EB7DD6">
        <w:rPr>
          <w:rFonts w:ascii="Calibri Light" w:hAnsi="Calibri Light" w:cs="Calibri Light"/>
          <w:lang w:val="es-ES"/>
        </w:rPr>
        <w:t xml:space="preserve"> regulado. Lo mismo se aplica</w:t>
      </w:r>
      <w:r w:rsidR="007976FC" w:rsidRPr="00EB7DD6">
        <w:rPr>
          <w:rFonts w:ascii="Calibri Light" w:hAnsi="Calibri Light" w:cs="Calibri Light"/>
          <w:lang w:val="es-ES"/>
        </w:rPr>
        <w:t>,</w:t>
      </w:r>
      <w:r w:rsidRPr="00EB7DD6">
        <w:rPr>
          <w:rFonts w:ascii="Calibri Light" w:hAnsi="Calibri Light" w:cs="Calibri Light"/>
          <w:lang w:val="es-ES"/>
        </w:rPr>
        <w:t xml:space="preserve"> en menor medida</w:t>
      </w:r>
      <w:r w:rsidR="007976FC" w:rsidRPr="00EB7DD6">
        <w:rPr>
          <w:rFonts w:ascii="Calibri Light" w:hAnsi="Calibri Light" w:cs="Calibri Light"/>
          <w:lang w:val="es-ES"/>
        </w:rPr>
        <w:t>,</w:t>
      </w:r>
      <w:r w:rsidRPr="00EB7DD6">
        <w:rPr>
          <w:rFonts w:ascii="Calibri Light" w:hAnsi="Calibri Light" w:cs="Calibri Light"/>
          <w:lang w:val="es-ES"/>
        </w:rPr>
        <w:t xml:space="preserve"> a los derivados de los tipos de interés que no son negociados por los ciudadanos, sino también en su mayor parte por las instituciones financieras.  Un ITF dirigido a estos gigantescos mercados profesionales en lugar de a los mercados de valores </w:t>
      </w:r>
      <w:r w:rsidR="001567E8" w:rsidRPr="00EB7DD6">
        <w:rPr>
          <w:rFonts w:ascii="Calibri Light" w:hAnsi="Calibri Light" w:cs="Calibri Light"/>
          <w:lang w:val="es-ES"/>
        </w:rPr>
        <w:t xml:space="preserve">proporcionaría unos </w:t>
      </w:r>
      <w:r w:rsidRPr="00EB7DD6">
        <w:rPr>
          <w:rFonts w:ascii="Calibri Light" w:hAnsi="Calibri Light" w:cs="Calibri Light"/>
          <w:lang w:val="es-ES"/>
        </w:rPr>
        <w:t xml:space="preserve">ingresos fiscales mucho mayores y garantizaría que los ciudadanos de la UE no acaben pagando la factura una vez más. </w:t>
      </w:r>
    </w:p>
    <w:p w14:paraId="525D007D" w14:textId="3A5D3E52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Seis años después, el expediente del ITF sigue bloqueado en el Consejo, aunque se reanudaron las conversaciones tras una </w:t>
      </w:r>
      <w:hyperlink r:id="rId12" w:history="1">
        <w:r w:rsidRPr="00EB7DD6">
          <w:rPr>
            <w:rStyle w:val="Hipervnculo"/>
            <w:rFonts w:ascii="Calibri Light" w:hAnsi="Calibri Light" w:cs="Calibri Light"/>
            <w:lang w:val="es-ES"/>
          </w:rPr>
          <w:t>nota de Alemania en junio de 2019</w:t>
        </w:r>
      </w:hyperlink>
      <w:r w:rsidRPr="00EB7DD6">
        <w:rPr>
          <w:rFonts w:ascii="Calibri Light" w:hAnsi="Calibri Light" w:cs="Calibri Light"/>
          <w:lang w:val="es-ES"/>
        </w:rPr>
        <w:t>, en la que se instaba al Consejo a reanudar las negociaciones y a utilizar como base el ITF vigente en Francia.</w:t>
      </w:r>
    </w:p>
    <w:p w14:paraId="525D007E" w14:textId="75504A12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Desafortunadamente, </w:t>
      </w:r>
      <w:r w:rsidR="001567E8" w:rsidRPr="00EB7DD6">
        <w:rPr>
          <w:rFonts w:ascii="Calibri Light" w:hAnsi="Calibri Light" w:cs="Calibri Light"/>
          <w:lang w:val="es-ES"/>
        </w:rPr>
        <w:t>ninguna de las cuestiones relacionadas</w:t>
      </w:r>
      <w:r w:rsidRPr="00EB7DD6">
        <w:rPr>
          <w:rFonts w:ascii="Calibri Light" w:hAnsi="Calibri Light" w:cs="Calibri Light"/>
          <w:lang w:val="es-ES"/>
        </w:rPr>
        <w:t xml:space="preserve"> con el ITF </w:t>
      </w:r>
      <w:r w:rsidR="001567E8" w:rsidRPr="00EB7DD6">
        <w:rPr>
          <w:rFonts w:ascii="Calibri Light" w:hAnsi="Calibri Light" w:cs="Calibri Light"/>
          <w:lang w:val="es-ES"/>
        </w:rPr>
        <w:t xml:space="preserve">planteadas </w:t>
      </w:r>
      <w:r w:rsidRPr="00EB7DD6">
        <w:rPr>
          <w:rFonts w:ascii="Calibri Light" w:hAnsi="Calibri Light" w:cs="Calibri Light"/>
          <w:lang w:val="es-ES"/>
        </w:rPr>
        <w:t xml:space="preserve">por BETTER FINANCE en 2013, son </w:t>
      </w:r>
      <w:r w:rsidR="001567E8" w:rsidRPr="00EB7DD6">
        <w:rPr>
          <w:rFonts w:ascii="Calibri Light" w:hAnsi="Calibri Light" w:cs="Calibri Light"/>
          <w:lang w:val="es-ES"/>
        </w:rPr>
        <w:t xml:space="preserve">abordadas </w:t>
      </w:r>
      <w:r w:rsidRPr="00EB7DD6">
        <w:rPr>
          <w:rFonts w:ascii="Calibri Light" w:hAnsi="Calibri Light" w:cs="Calibri Light"/>
          <w:lang w:val="es-ES"/>
        </w:rPr>
        <w:t>por la propuesta alemana. En resumen, el ITF propuesto impondría un impuesto del 0,2</w:t>
      </w:r>
      <w:r w:rsidR="001567E8" w:rsidRPr="00EB7DD6">
        <w:rPr>
          <w:rFonts w:ascii="Calibri Light" w:hAnsi="Calibri Light" w:cs="Calibri Light"/>
          <w:lang w:val="es-ES"/>
        </w:rPr>
        <w:t xml:space="preserve"> </w:t>
      </w:r>
      <w:r w:rsidRPr="00EB7DD6">
        <w:rPr>
          <w:rFonts w:ascii="Calibri Light" w:hAnsi="Calibri Light" w:cs="Calibri Light"/>
          <w:lang w:val="es-ES"/>
        </w:rPr>
        <w:t xml:space="preserve">% a todas las transacciones de acciones con un valor superior a 1.000 millones de </w:t>
      </w:r>
      <w:r w:rsidRPr="00EB7DD6">
        <w:rPr>
          <w:rFonts w:ascii="Calibri Light" w:hAnsi="Calibri Light" w:cs="Calibri Light"/>
          <w:lang w:val="es-ES"/>
        </w:rPr>
        <w:lastRenderedPageBreak/>
        <w:t xml:space="preserve">euros, </w:t>
      </w:r>
      <w:r w:rsidR="001567E8" w:rsidRPr="00EB7DD6">
        <w:rPr>
          <w:rFonts w:ascii="Calibri Light" w:hAnsi="Calibri Light" w:cs="Calibri Light"/>
          <w:lang w:val="es-ES"/>
        </w:rPr>
        <w:t xml:space="preserve">lo que deja </w:t>
      </w:r>
      <w:r w:rsidRPr="00EB7DD6">
        <w:rPr>
          <w:rFonts w:ascii="Calibri Light" w:hAnsi="Calibri Light" w:cs="Calibri Light"/>
          <w:lang w:val="es-ES"/>
        </w:rPr>
        <w:t xml:space="preserve">intactas las transacciones de divisas, bonos, derivados y </w:t>
      </w:r>
      <w:r w:rsidR="001567E8" w:rsidRPr="00EB7DD6">
        <w:rPr>
          <w:rFonts w:ascii="Calibri Light" w:hAnsi="Calibri Light" w:cs="Calibri Light"/>
          <w:lang w:val="es-ES"/>
        </w:rPr>
        <w:t xml:space="preserve">operaciones </w:t>
      </w:r>
      <w:r w:rsidRPr="00EB7DD6">
        <w:rPr>
          <w:rFonts w:ascii="Calibri Light" w:hAnsi="Calibri Light" w:cs="Calibri Light"/>
          <w:lang w:val="es-ES"/>
        </w:rPr>
        <w:t xml:space="preserve">de alta frecuencia. </w:t>
      </w:r>
    </w:p>
    <w:p w14:paraId="525D007F" w14:textId="57D1DB55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En </w:t>
      </w:r>
      <w:hyperlink r:id="rId13" w:history="1">
        <w:r w:rsidRPr="00EB7DD6">
          <w:rPr>
            <w:rStyle w:val="Hipervnculo"/>
            <w:rFonts w:ascii="Calibri Light" w:hAnsi="Calibri Light" w:cs="Calibri Light"/>
            <w:lang w:val="es-ES"/>
          </w:rPr>
          <w:t>palabras del eurodiputado de los Verdes Sven</w:t>
        </w:r>
        <w:r w:rsidR="001567E8" w:rsidRPr="00EB7DD6">
          <w:rPr>
            <w:rStyle w:val="Hipervnculo"/>
            <w:rFonts w:ascii="Calibri Light" w:hAnsi="Calibri Light" w:cs="Calibri Light"/>
            <w:lang w:val="es-ES"/>
          </w:rPr>
          <w:t xml:space="preserve"> </w:t>
        </w:r>
        <w:r w:rsidRPr="00EB7DD6">
          <w:rPr>
            <w:rStyle w:val="Hipervnculo"/>
            <w:rFonts w:ascii="Calibri Light" w:hAnsi="Calibri Light" w:cs="Calibri Light"/>
            <w:lang w:val="es-ES"/>
          </w:rPr>
          <w:t>Giegold</w:t>
        </w:r>
      </w:hyperlink>
      <w:r w:rsidRPr="00EB7DD6">
        <w:rPr>
          <w:rFonts w:ascii="Calibri Light" w:hAnsi="Calibri Light" w:cs="Calibri Light"/>
          <w:lang w:val="es-ES"/>
        </w:rPr>
        <w:t xml:space="preserve">, esta </w:t>
      </w:r>
      <w:r w:rsidR="00C02F0D" w:rsidRPr="00EB7DD6">
        <w:rPr>
          <w:rFonts w:ascii="Calibri Light" w:hAnsi="Calibri Light" w:cs="Calibri Light"/>
          <w:lang w:val="es-ES"/>
        </w:rPr>
        <w:t>envilecida</w:t>
      </w:r>
      <w:r w:rsidR="00C02F0D" w:rsidRPr="00EB7DD6" w:rsidDel="00C02F0D">
        <w:rPr>
          <w:rFonts w:ascii="Calibri Light" w:hAnsi="Calibri Light" w:cs="Calibri Light"/>
          <w:lang w:val="es-ES"/>
        </w:rPr>
        <w:t xml:space="preserve"> </w:t>
      </w:r>
      <w:r w:rsidRPr="00EB7DD6">
        <w:rPr>
          <w:rFonts w:ascii="Calibri Light" w:hAnsi="Calibri Light" w:cs="Calibri Light"/>
          <w:lang w:val="es-ES"/>
        </w:rPr>
        <w:t>propuesta de ITF es "</w:t>
      </w:r>
      <w:r w:rsidRPr="00EB7DD6">
        <w:rPr>
          <w:rFonts w:ascii="Calibri Light" w:hAnsi="Calibri Light" w:cs="Calibri Light"/>
          <w:i/>
          <w:iCs/>
          <w:lang w:val="es-ES"/>
        </w:rPr>
        <w:t>una farsa, no un verdadero impuesto sobre las transacciones financieras</w:t>
      </w:r>
      <w:r w:rsidRPr="00EB7DD6">
        <w:rPr>
          <w:rFonts w:ascii="Calibri Light" w:hAnsi="Calibri Light" w:cs="Calibri Light"/>
          <w:lang w:val="es-ES"/>
        </w:rPr>
        <w:t xml:space="preserve">" y acabaría siendo pagada por </w:t>
      </w:r>
      <w:r w:rsidR="001567E8" w:rsidRPr="00EB7DD6">
        <w:rPr>
          <w:rFonts w:ascii="Calibri Light" w:hAnsi="Calibri Light" w:cs="Calibri Light"/>
          <w:lang w:val="es-ES"/>
        </w:rPr>
        <w:t xml:space="preserve">los </w:t>
      </w:r>
      <w:r w:rsidRPr="00EB7DD6">
        <w:rPr>
          <w:rFonts w:ascii="Calibri Light" w:hAnsi="Calibri Light" w:cs="Calibri Light"/>
          <w:lang w:val="es-ES"/>
        </w:rPr>
        <w:t>"</w:t>
      </w:r>
      <w:r w:rsidRPr="00EB7DD6">
        <w:rPr>
          <w:rFonts w:ascii="Calibri Light" w:hAnsi="Calibri Light" w:cs="Calibri Light"/>
          <w:i/>
          <w:iCs/>
          <w:lang w:val="es-ES"/>
        </w:rPr>
        <w:t>pequeños inversores</w:t>
      </w:r>
      <w:r w:rsidRPr="00EB7DD6">
        <w:rPr>
          <w:rFonts w:ascii="Calibri Light" w:hAnsi="Calibri Light" w:cs="Calibri Light"/>
          <w:lang w:val="es-ES"/>
        </w:rPr>
        <w:t xml:space="preserve">". Ni siquiera el umbral propuesto de 1.000 millones de euros cambia esta realidad, ya que el impuesto pagado por los fondos de inversión y de pensiones simplemente se trasladará al usuario final: los ahorradores a largo plazo y los inversores </w:t>
      </w:r>
      <w:r w:rsidR="001567E8" w:rsidRPr="00EB7DD6">
        <w:rPr>
          <w:rFonts w:ascii="Calibri Light" w:hAnsi="Calibri Light" w:cs="Calibri Light"/>
          <w:lang w:val="es-ES"/>
        </w:rPr>
        <w:t>privados</w:t>
      </w:r>
      <w:r w:rsidRPr="00EB7DD6">
        <w:rPr>
          <w:rFonts w:ascii="Calibri Light" w:hAnsi="Calibri Light" w:cs="Calibri Light"/>
          <w:lang w:val="es-ES"/>
        </w:rPr>
        <w:t xml:space="preserve">. </w:t>
      </w:r>
    </w:p>
    <w:p w14:paraId="525D0080" w14:textId="77777777" w:rsidR="0006457B" w:rsidRPr="00EB7DD6" w:rsidRDefault="00140816">
      <w:pPr>
        <w:spacing w:after="120"/>
        <w:rPr>
          <w:lang w:val="es-ES"/>
        </w:rPr>
      </w:pPr>
      <w:r w:rsidRPr="00EB7DD6">
        <w:rPr>
          <w:rFonts w:ascii="Calibri Light" w:hAnsi="Calibri Light" w:cs="Calibri Light"/>
          <w:lang w:val="es-ES"/>
        </w:rPr>
        <w:t xml:space="preserve">Con esto en mente, BETTER FINANCE pide a las autoridades europeas que: </w:t>
      </w:r>
    </w:p>
    <w:p w14:paraId="525D0081" w14:textId="37AB0258" w:rsidR="0006457B" w:rsidRPr="00EB7DD6" w:rsidRDefault="001567E8">
      <w:pPr>
        <w:pStyle w:val="Prrafodelista"/>
        <w:numPr>
          <w:ilvl w:val="0"/>
          <w:numId w:val="1"/>
        </w:numPr>
        <w:spacing w:after="160" w:line="251" w:lineRule="auto"/>
        <w:rPr>
          <w:lang w:val="es-ES"/>
        </w:rPr>
      </w:pPr>
      <w:r w:rsidRPr="00EB7DD6">
        <w:rPr>
          <w:rFonts w:ascii="Calibri Light" w:eastAsia="Times New Roman" w:hAnsi="Calibri Light" w:cs="Calibri Light"/>
          <w:lang w:val="es-ES"/>
        </w:rPr>
        <w:t xml:space="preserve">Eximan </w:t>
      </w:r>
      <w:r w:rsidR="00140816" w:rsidRPr="00EB7DD6">
        <w:rPr>
          <w:rFonts w:ascii="Calibri Light" w:eastAsia="Times New Roman" w:hAnsi="Calibri Light" w:cs="Calibri Light"/>
          <w:lang w:val="es-ES"/>
        </w:rPr>
        <w:t xml:space="preserve">claramente a los ciudadanos de la UE (es decir, a los inversores </w:t>
      </w:r>
      <w:r w:rsidRPr="00EB7DD6">
        <w:rPr>
          <w:rFonts w:ascii="Calibri Light" w:eastAsia="Times New Roman" w:hAnsi="Calibri Light" w:cs="Calibri Light"/>
          <w:lang w:val="es-ES"/>
        </w:rPr>
        <w:t>pr</w:t>
      </w:r>
      <w:r w:rsidR="00C02F0D" w:rsidRPr="00EB7DD6">
        <w:rPr>
          <w:rFonts w:ascii="Calibri Light" w:eastAsia="Times New Roman" w:hAnsi="Calibri Light" w:cs="Calibri Light"/>
          <w:lang w:val="es-ES"/>
        </w:rPr>
        <w:t>i</w:t>
      </w:r>
      <w:r w:rsidRPr="00EB7DD6">
        <w:rPr>
          <w:rFonts w:ascii="Calibri Light" w:eastAsia="Times New Roman" w:hAnsi="Calibri Light" w:cs="Calibri Light"/>
          <w:lang w:val="es-ES"/>
        </w:rPr>
        <w:t xml:space="preserve">vados </w:t>
      </w:r>
      <w:r w:rsidR="00140816" w:rsidRPr="00EB7DD6">
        <w:rPr>
          <w:rFonts w:ascii="Calibri Light" w:eastAsia="Times New Roman" w:hAnsi="Calibri Light" w:cs="Calibri Light"/>
          <w:lang w:val="es-ES"/>
        </w:rPr>
        <w:t xml:space="preserve">no profesionales) del </w:t>
      </w:r>
      <w:r w:rsidRPr="00EB7DD6">
        <w:rPr>
          <w:rFonts w:ascii="Calibri Light" w:eastAsia="Times New Roman" w:hAnsi="Calibri Light" w:cs="Calibri Light"/>
          <w:lang w:val="es-ES"/>
        </w:rPr>
        <w:t>ITF</w:t>
      </w:r>
      <w:r w:rsidR="00140816" w:rsidRPr="00EB7DD6">
        <w:rPr>
          <w:rFonts w:ascii="Calibri Light" w:eastAsia="Times New Roman" w:hAnsi="Calibri Light" w:cs="Calibri Light"/>
          <w:lang w:val="es-ES"/>
        </w:rPr>
        <w:t>;</w:t>
      </w:r>
    </w:p>
    <w:p w14:paraId="525D0082" w14:textId="3685B832" w:rsidR="0006457B" w:rsidRPr="00EB7DD6" w:rsidRDefault="00C02F0D">
      <w:pPr>
        <w:pStyle w:val="Prrafodelista"/>
        <w:numPr>
          <w:ilvl w:val="0"/>
          <w:numId w:val="1"/>
        </w:numPr>
        <w:spacing w:after="160" w:line="251" w:lineRule="auto"/>
        <w:rPr>
          <w:lang w:val="es-ES"/>
        </w:rPr>
      </w:pPr>
      <w:r w:rsidRPr="00EB7DD6">
        <w:rPr>
          <w:rFonts w:ascii="Calibri Light" w:eastAsia="Times New Roman" w:hAnsi="Calibri Light" w:cs="Calibri Light"/>
          <w:lang w:val="es-ES"/>
        </w:rPr>
        <w:t xml:space="preserve">Eliminen </w:t>
      </w:r>
      <w:r w:rsidR="00140816" w:rsidRPr="00EB7DD6">
        <w:rPr>
          <w:rFonts w:ascii="Calibri Light" w:eastAsia="Times New Roman" w:hAnsi="Calibri Light" w:cs="Calibri Light"/>
          <w:lang w:val="es-ES"/>
        </w:rPr>
        <w:t xml:space="preserve">la exención del mayor mercado financiero del mundo, es decir, el mercado de divisas, o mercado de divisas al contado; </w:t>
      </w:r>
    </w:p>
    <w:p w14:paraId="525D0083" w14:textId="443A0059" w:rsidR="0006457B" w:rsidRPr="00EB7DD6" w:rsidRDefault="00C02F0D">
      <w:pPr>
        <w:pStyle w:val="Prrafodelista"/>
        <w:numPr>
          <w:ilvl w:val="0"/>
          <w:numId w:val="1"/>
        </w:numPr>
        <w:spacing w:after="160" w:line="251" w:lineRule="auto"/>
        <w:rPr>
          <w:lang w:val="es-ES"/>
        </w:rPr>
      </w:pPr>
      <w:r w:rsidRPr="00EB7DD6">
        <w:rPr>
          <w:rFonts w:ascii="Calibri Light" w:eastAsia="Times New Roman" w:hAnsi="Calibri Light" w:cs="Calibri Light"/>
          <w:lang w:val="es-ES"/>
        </w:rPr>
        <w:t xml:space="preserve">Aseguren </w:t>
      </w:r>
      <w:r w:rsidR="00140816" w:rsidRPr="00EB7DD6">
        <w:rPr>
          <w:rFonts w:ascii="Calibri Light" w:eastAsia="Times New Roman" w:hAnsi="Calibri Light" w:cs="Calibri Light"/>
          <w:lang w:val="es-ES"/>
        </w:rPr>
        <w:t>la inclusión de todas las operaciones de alta frecuencia (HFT) y las operaciones extrabursátiles (OTC) en el ámbito del ITF;</w:t>
      </w:r>
    </w:p>
    <w:p w14:paraId="525D0084" w14:textId="2DE8D9F4" w:rsidR="0006457B" w:rsidRPr="00EB7DD6" w:rsidRDefault="00140816">
      <w:pPr>
        <w:spacing w:after="120"/>
        <w:jc w:val="both"/>
        <w:rPr>
          <w:lang w:val="es-ES"/>
        </w:rPr>
      </w:pPr>
      <w:r w:rsidRPr="00EB7DD6">
        <w:rPr>
          <w:rFonts w:ascii="Calibri Light" w:eastAsia="Times New Roman" w:hAnsi="Calibri Light" w:cs="Calibri Light"/>
          <w:lang w:val="es-ES"/>
        </w:rPr>
        <w:t xml:space="preserve">Evitar </w:t>
      </w:r>
      <w:r w:rsidR="00C02F0D" w:rsidRPr="00EB7DD6">
        <w:rPr>
          <w:rFonts w:ascii="Calibri Light" w:eastAsia="Times New Roman" w:hAnsi="Calibri Light" w:cs="Calibri Light"/>
          <w:lang w:val="es-ES"/>
        </w:rPr>
        <w:t xml:space="preserve">un </w:t>
      </w:r>
      <w:r w:rsidRPr="00EB7DD6">
        <w:rPr>
          <w:rFonts w:ascii="Calibri Light" w:eastAsia="Times New Roman" w:hAnsi="Calibri Light" w:cs="Calibri Light"/>
          <w:lang w:val="es-ES"/>
        </w:rPr>
        <w:t xml:space="preserve">arbitraje reglamentario y </w:t>
      </w:r>
      <w:r w:rsidR="00C02F0D" w:rsidRPr="00EB7DD6">
        <w:rPr>
          <w:rFonts w:ascii="Calibri Light" w:eastAsia="Times New Roman" w:hAnsi="Calibri Light" w:cs="Calibri Light"/>
          <w:lang w:val="es-ES"/>
        </w:rPr>
        <w:t xml:space="preserve">una </w:t>
      </w:r>
      <w:r w:rsidRPr="00EB7DD6">
        <w:rPr>
          <w:rFonts w:ascii="Calibri Light" w:eastAsia="Times New Roman" w:hAnsi="Calibri Light" w:cs="Calibri Light"/>
          <w:lang w:val="es-ES"/>
        </w:rPr>
        <w:t xml:space="preserve">evasión fiscal </w:t>
      </w:r>
      <w:r w:rsidR="00C02F0D" w:rsidRPr="00EB7DD6">
        <w:rPr>
          <w:rFonts w:ascii="Calibri Light" w:eastAsia="Times New Roman" w:hAnsi="Calibri Light" w:cs="Calibri Light"/>
          <w:lang w:val="es-ES"/>
        </w:rPr>
        <w:t>masiva</w:t>
      </w:r>
      <w:r w:rsidR="00C02F0D" w:rsidRPr="00EB7DD6" w:rsidDel="00C02F0D">
        <w:rPr>
          <w:rFonts w:ascii="Calibri Light" w:eastAsia="Times New Roman" w:hAnsi="Calibri Light" w:cs="Calibri Light"/>
          <w:lang w:val="es-ES"/>
        </w:rPr>
        <w:t xml:space="preserve"> </w:t>
      </w:r>
      <w:r w:rsidR="00C02F0D" w:rsidRPr="00EB7DD6">
        <w:rPr>
          <w:rFonts w:ascii="Calibri Light" w:eastAsia="Times New Roman" w:hAnsi="Calibri Light" w:cs="Calibri Light"/>
          <w:lang w:val="es-ES"/>
        </w:rPr>
        <w:t xml:space="preserve">mediante la inclusión </w:t>
      </w:r>
      <w:r w:rsidRPr="00EB7DD6">
        <w:rPr>
          <w:rFonts w:ascii="Calibri Light" w:eastAsia="Times New Roman" w:hAnsi="Calibri Light" w:cs="Calibri Light"/>
          <w:lang w:val="es-ES"/>
        </w:rPr>
        <w:t xml:space="preserve">en el ámbito de aplicación </w:t>
      </w:r>
      <w:r w:rsidR="00C02F0D" w:rsidRPr="00EB7DD6">
        <w:rPr>
          <w:rFonts w:ascii="Calibri Light" w:eastAsia="Times New Roman" w:hAnsi="Calibri Light" w:cs="Calibri Light"/>
          <w:lang w:val="es-ES"/>
        </w:rPr>
        <w:t xml:space="preserve">de </w:t>
      </w:r>
      <w:r w:rsidRPr="00EB7DD6">
        <w:rPr>
          <w:rFonts w:ascii="Calibri Light" w:eastAsia="Times New Roman" w:hAnsi="Calibri Light" w:cs="Calibri Light"/>
          <w:lang w:val="es-ES"/>
        </w:rPr>
        <w:t xml:space="preserve">todos los Estados miembros de la UE y </w:t>
      </w:r>
      <w:r w:rsidR="00C02F0D" w:rsidRPr="00EB7DD6">
        <w:rPr>
          <w:rFonts w:ascii="Calibri Light" w:eastAsia="Times New Roman" w:hAnsi="Calibri Light" w:cs="Calibri Light"/>
          <w:lang w:val="es-ES"/>
        </w:rPr>
        <w:t xml:space="preserve">de </w:t>
      </w:r>
      <w:r w:rsidRPr="00EB7DD6">
        <w:rPr>
          <w:rFonts w:ascii="Calibri Light" w:eastAsia="Times New Roman" w:hAnsi="Calibri Light" w:cs="Calibri Light"/>
          <w:lang w:val="es-ES"/>
        </w:rPr>
        <w:t>todos los principales centros financieros.</w:t>
      </w:r>
    </w:p>
    <w:p w14:paraId="525D0085" w14:textId="77777777" w:rsidR="0006457B" w:rsidRPr="00EB7DD6" w:rsidRDefault="00140816">
      <w:pPr>
        <w:spacing w:after="60" w:line="264" w:lineRule="auto"/>
        <w:jc w:val="center"/>
        <w:rPr>
          <w:rFonts w:ascii="Calibri Light" w:hAnsi="Calibri Light" w:cs="Calibri Light"/>
          <w:lang w:val="es-ES"/>
        </w:rPr>
      </w:pPr>
      <w:r w:rsidRPr="00EB7DD6">
        <w:rPr>
          <w:rFonts w:ascii="Calibri Light" w:hAnsi="Calibri Light" w:cs="Calibri Light"/>
          <w:lang w:val="es-ES"/>
        </w:rPr>
        <w:t>***</w:t>
      </w:r>
    </w:p>
    <w:p w14:paraId="525D0086" w14:textId="58FE31FE" w:rsidR="0006457B" w:rsidRPr="003146A6" w:rsidRDefault="00140816">
      <w:pPr>
        <w:pStyle w:val="Textoindependiente"/>
        <w:spacing w:before="240" w:after="0" w:line="30" w:lineRule="atLeast"/>
        <w:jc w:val="center"/>
        <w:rPr>
          <w:lang w:val="es-ES"/>
        </w:rPr>
      </w:pPr>
      <w:r w:rsidRPr="00EB7DD6">
        <w:rPr>
          <w:rFonts w:ascii="Calibri Light" w:hAnsi="Calibri Light" w:cs="Calibri Light"/>
          <w:sz w:val="18"/>
          <w:szCs w:val="18"/>
          <w:u w:val="single"/>
          <w:lang w:val="es-ES"/>
        </w:rPr>
        <w:t>Contacto</w:t>
      </w:r>
      <w:r w:rsidRPr="00EB7DD6">
        <w:rPr>
          <w:rFonts w:ascii="Calibri Light" w:hAnsi="Calibri Light" w:cs="Calibri Light"/>
          <w:sz w:val="18"/>
          <w:szCs w:val="18"/>
          <w:lang w:val="es-ES"/>
        </w:rPr>
        <w:t xml:space="preserve">: </w:t>
      </w:r>
      <w:r w:rsidR="00C02F0D" w:rsidRPr="00EB7DD6">
        <w:rPr>
          <w:rFonts w:ascii="Calibri Light" w:hAnsi="Calibri Light" w:cs="Calibri Light"/>
          <w:sz w:val="18"/>
          <w:szCs w:val="18"/>
          <w:lang w:val="es-ES"/>
        </w:rPr>
        <w:t>Director de Comunicación</w:t>
      </w:r>
      <w:r w:rsidRPr="00EB7DD6">
        <w:rPr>
          <w:rFonts w:ascii="Calibri Light" w:hAnsi="Calibri Light" w:cs="Calibri Light"/>
          <w:sz w:val="18"/>
          <w:szCs w:val="18"/>
          <w:lang w:val="es-ES"/>
        </w:rPr>
        <w:t xml:space="preserve"> ǀ Arnaud Houdmont ǀ +</w:t>
      </w:r>
      <w:bookmarkStart w:id="1" w:name="_GoBack"/>
      <w:bookmarkEnd w:id="1"/>
      <w:r w:rsidRPr="003146A6">
        <w:rPr>
          <w:rFonts w:ascii="Calibri Light" w:hAnsi="Calibri Light" w:cs="Calibri Light"/>
          <w:sz w:val="18"/>
          <w:szCs w:val="18"/>
          <w:lang w:val="es-ES"/>
        </w:rPr>
        <w:t xml:space="preserve">32 (0)2 514 37 77 ǀ </w:t>
      </w:r>
      <w:hyperlink r:id="rId14" w:history="1">
        <w:r w:rsidRPr="003146A6">
          <w:rPr>
            <w:rStyle w:val="Hipervnculo"/>
            <w:rFonts w:ascii="Calibri Light" w:hAnsi="Calibri Light" w:cs="Calibri Light"/>
            <w:sz w:val="18"/>
            <w:szCs w:val="18"/>
            <w:lang w:val="es-ES"/>
          </w:rPr>
          <w:t>houdmont@betterfinance.eu</w:t>
        </w:r>
      </w:hyperlink>
    </w:p>
    <w:sectPr w:rsidR="0006457B" w:rsidRPr="003146A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042D" w14:textId="77777777" w:rsidR="000D648D" w:rsidRDefault="000D648D">
      <w:pPr>
        <w:spacing w:after="0" w:line="240" w:lineRule="auto"/>
      </w:pPr>
      <w:r>
        <w:separator/>
      </w:r>
    </w:p>
  </w:endnote>
  <w:endnote w:type="continuationSeparator" w:id="0">
    <w:p w14:paraId="1C2BDA66" w14:textId="77777777" w:rsidR="000D648D" w:rsidRDefault="000D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0089" w14:textId="77777777" w:rsidR="000519E2" w:rsidRPr="00140816" w:rsidRDefault="00140816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es-ES"/>
      </w:rPr>
    </w:pPr>
    <w:r w:rsidRPr="00140816">
      <w:rPr>
        <w:b/>
        <w:color w:val="006FB4"/>
        <w:sz w:val="16"/>
        <w:szCs w:val="16"/>
        <w:lang w:val="es-ES"/>
      </w:rPr>
      <w:t>La Federación Europea de Inversores y Usuarios de Servicios Financieros</w:t>
    </w:r>
  </w:p>
  <w:p w14:paraId="525D008A" w14:textId="77777777" w:rsidR="000519E2" w:rsidRDefault="00140816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Bruselas - Bélgica</w:t>
    </w:r>
  </w:p>
  <w:p w14:paraId="525D008B" w14:textId="77777777" w:rsidR="000519E2" w:rsidRPr="00140816" w:rsidRDefault="00140816">
    <w:pPr>
      <w:spacing w:after="0" w:line="240" w:lineRule="auto"/>
      <w:ind w:left="-567"/>
      <w:jc w:val="center"/>
      <w:rPr>
        <w:lang w:val="es-ES"/>
      </w:rPr>
    </w:pPr>
    <w:r>
      <w:rPr>
        <w:color w:val="006FB4"/>
        <w:sz w:val="16"/>
        <w:szCs w:val="16"/>
        <w:lang w:val="de-DE"/>
      </w:rPr>
      <w:t xml:space="preserve">Tel.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525D008C" w14:textId="77777777" w:rsidR="000519E2" w:rsidRPr="00140816" w:rsidRDefault="00EB7DD6">
    <w:pPr>
      <w:spacing w:after="0" w:line="240" w:lineRule="auto"/>
      <w:ind w:left="-567"/>
      <w:jc w:val="center"/>
      <w:rPr>
        <w:lang w:val="es-ES"/>
      </w:rPr>
    </w:pPr>
    <w:hyperlink r:id="rId1" w:history="1">
      <w:r w:rsidR="00140816">
        <w:rPr>
          <w:color w:val="006FB4"/>
          <w:sz w:val="16"/>
          <w:szCs w:val="16"/>
          <w:u w:val="single"/>
          <w:lang w:val="it-IT"/>
        </w:rPr>
        <w:t>Correo electrónico</w:t>
      </w:r>
    </w:hyperlink>
    <w:r w:rsidR="00140816">
      <w:rPr>
        <w:color w:val="006FB4"/>
        <w:sz w:val="16"/>
        <w:szCs w:val="16"/>
        <w:lang w:val="pt-PT"/>
      </w:rPr>
      <w:t xml:space="preserve">: info@betterfinance.eu - </w:t>
    </w:r>
    <w:bookmarkStart w:id="2" w:name="_Hlk944867"/>
    <w:r w:rsidR="00140816">
      <w:fldChar w:fldCharType="begin"/>
    </w:r>
    <w:r w:rsidR="00140816" w:rsidRPr="00140816">
      <w:rPr>
        <w:lang w:val="es-ES"/>
      </w:rPr>
      <w:instrText xml:space="preserve"> HYPERLINK  "http://www.eurofinuse.org" </w:instrText>
    </w:r>
    <w:r w:rsidR="00140816">
      <w:fldChar w:fldCharType="separate"/>
    </w:r>
    <w:r w:rsidR="00140816">
      <w:rPr>
        <w:color w:val="006FB4"/>
        <w:sz w:val="16"/>
        <w:szCs w:val="16"/>
        <w:u w:val="single"/>
        <w:lang w:val="it-IT"/>
      </w:rPr>
      <w:t xml:space="preserve">http://www.betterfinance.eu </w:t>
    </w:r>
    <w:r w:rsidR="00140816">
      <w:rPr>
        <w:color w:val="006FB4"/>
        <w:sz w:val="16"/>
        <w:szCs w:val="16"/>
        <w:u w:val="single"/>
        <w:lang w:val="it-IT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2B3B" w14:textId="77777777" w:rsidR="000D648D" w:rsidRDefault="000D64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926D88" w14:textId="77777777" w:rsidR="000D648D" w:rsidRDefault="000D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0084" w14:textId="77777777" w:rsidR="000519E2" w:rsidRDefault="00140816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525D007C" wp14:editId="525D007D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25D0085" w14:textId="77777777" w:rsidR="000519E2" w:rsidRDefault="00EB7DD6">
    <w:pPr>
      <w:pStyle w:val="Encabezado"/>
    </w:pPr>
  </w:p>
  <w:p w14:paraId="525D0086" w14:textId="77777777" w:rsidR="000519E2" w:rsidRDefault="00EB7DD6">
    <w:pPr>
      <w:pStyle w:val="Encabezado"/>
      <w:rPr>
        <w:sz w:val="12"/>
        <w:szCs w:val="12"/>
      </w:rPr>
    </w:pPr>
  </w:p>
  <w:p w14:paraId="525D0087" w14:textId="77777777" w:rsidR="000519E2" w:rsidRDefault="00EB7DD6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D4A71"/>
    <w:multiLevelType w:val="multilevel"/>
    <w:tmpl w:val="1E3AEE7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57B"/>
    <w:rsid w:val="0006457B"/>
    <w:rsid w:val="000D648D"/>
    <w:rsid w:val="00140816"/>
    <w:rsid w:val="001567E8"/>
    <w:rsid w:val="003146A6"/>
    <w:rsid w:val="00461847"/>
    <w:rsid w:val="007976FC"/>
    <w:rsid w:val="00C02F0D"/>
    <w:rsid w:val="00E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0075"/>
  <w15:docId w15:val="{594F5ADB-4988-4AEB-AF03-53E0D6C4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Fuentedeprrafopredeter"/>
  </w:style>
  <w:style w:type="paragraph" w:styleId="Textoindependiente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Fuentedeprrafopredeter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Fuentedeprrafopredeter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Textodeglobo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Fuentedeprrafopredeter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uentedeprrafopredete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Heading2Char">
    <w:name w:val="Heading 2 Char"/>
    <w:basedOn w:val="Fuentedeprrafopredeter"/>
    <w:rPr>
      <w:rFonts w:ascii="Cambria" w:eastAsia="SimSun" w:hAnsi="Cambria" w:cs="Times New Roman"/>
      <w:color w:val="365F91"/>
      <w:sz w:val="26"/>
      <w:szCs w:val="26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Heading1Char">
    <w:name w:val="Heading 1 Char"/>
    <w:basedOn w:val="Fuentedeprrafopredeter"/>
    <w:rPr>
      <w:rFonts w:ascii="Cambria" w:eastAsia="SimSu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btimes.com/germany-launches-new-plan-eu-financial-transaction-tax-288276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.consilium.europa.eu/doc/document/ST-10097-2019-INIT/en/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estopedia.com/ask/answers/052715/how-big-derivatives-market.as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betterfinance.eu/publication/ftt-the-european-proposal-does-not-meet-its-objective-eu-citizens-are-likely-to-pay-instead-of-bank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udmont@betterfinanc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finu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DEB07-1E71-40AC-BE87-3804DFD24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E350A-18AE-4D13-B831-AAF2F92D6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3461A-7BCD-40CB-84D1-6A731C7CB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Houdmont</dc:creator>
  <cp:lastModifiedBy>Usuario</cp:lastModifiedBy>
  <cp:revision>3</cp:revision>
  <cp:lastPrinted>2019-03-22T09:41:00Z</cp:lastPrinted>
  <dcterms:created xsi:type="dcterms:W3CDTF">2020-12-07T08:57:00Z</dcterms:created>
  <dcterms:modified xsi:type="dcterms:W3CDTF">2020-12-21T18:00:00Z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