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2BA1C" w14:textId="77777777" w:rsidR="00DB3013" w:rsidRPr="008965C5" w:rsidRDefault="008965C5">
      <w:pPr>
        <w:pStyle w:val="Textoindependiente"/>
        <w:spacing w:after="120" w:line="312" w:lineRule="auto"/>
        <w:jc w:val="both"/>
        <w:rPr>
          <w:lang w:val="es-ES"/>
        </w:rPr>
      </w:pPr>
      <w:bookmarkStart w:id="0" w:name="_Hlk4143464"/>
      <w:bookmarkStart w:id="1" w:name="_GoBack"/>
      <w:bookmarkEnd w:id="1"/>
      <w:r w:rsidRPr="008965C5">
        <w:rPr>
          <w:rStyle w:val="Textoennegrita"/>
          <w:sz w:val="18"/>
          <w:lang w:val="es-ES"/>
        </w:rPr>
        <w:t xml:space="preserve">COMUNICADO DE PRENSA </w:t>
      </w:r>
    </w:p>
    <w:p w14:paraId="1302BA1D" w14:textId="77777777" w:rsidR="00DB3013" w:rsidRPr="008965C5" w:rsidRDefault="008965C5" w:rsidP="00E323FE">
      <w:pPr>
        <w:pStyle w:val="Ttulo2"/>
        <w:spacing w:after="80" w:line="240" w:lineRule="auto"/>
        <w:jc w:val="both"/>
        <w:rPr>
          <w:lang w:val="es-ES"/>
        </w:rPr>
      </w:pPr>
      <w:r w:rsidRPr="008965C5">
        <w:rPr>
          <w:rFonts w:eastAsia="Calibri" w:cs="Arial"/>
          <w:b/>
          <w:spacing w:val="20"/>
          <w:kern w:val="3"/>
          <w:sz w:val="30"/>
          <w:szCs w:val="30"/>
          <w:lang w:val="es-ES"/>
        </w:rPr>
        <w:t xml:space="preserve">El supervisor de la UE no aconseja una prohibición completa de las comisiones para los asesores de inversión "minoristas". </w:t>
      </w:r>
    </w:p>
    <w:p w14:paraId="1302BA1E" w14:textId="21CB0F09" w:rsidR="00DB3013" w:rsidRPr="008965C5" w:rsidRDefault="008965C5">
      <w:pPr>
        <w:jc w:val="both"/>
        <w:rPr>
          <w:lang w:val="es-ES"/>
        </w:rPr>
      </w:pPr>
      <w:r w:rsidRPr="008965C5">
        <w:rPr>
          <w:rFonts w:ascii="Calibri Light" w:hAnsi="Calibri Light" w:cs="Calibri Light"/>
          <w:b/>
          <w:lang w:val="es-ES"/>
        </w:rPr>
        <w:t xml:space="preserve">Bruselas, 4 de mayo de 2020 </w:t>
      </w:r>
      <w:bookmarkEnd w:id="0"/>
      <w:r w:rsidRPr="008965C5">
        <w:rPr>
          <w:rFonts w:ascii="Calibri Light" w:hAnsi="Calibri Light" w:cs="Calibri Light"/>
          <w:lang w:val="es-ES"/>
        </w:rPr>
        <w:t>- El 1 de abril de 2020, la Autoridad Europea de Valores y Mercados (AE</w:t>
      </w:r>
      <w:r w:rsidR="00E362DF">
        <w:rPr>
          <w:rFonts w:ascii="Calibri Light" w:hAnsi="Calibri Light" w:cs="Calibri Light"/>
          <w:lang w:val="es-ES"/>
        </w:rPr>
        <w:t>V</w:t>
      </w:r>
      <w:r w:rsidRPr="008965C5">
        <w:rPr>
          <w:rFonts w:ascii="Calibri Light" w:hAnsi="Calibri Light" w:cs="Calibri Light"/>
          <w:lang w:val="es-ES"/>
        </w:rPr>
        <w:t xml:space="preserve">M) publicó su </w:t>
      </w:r>
      <w:hyperlink r:id="rId10" w:history="1">
        <w:r w:rsidR="00E362DF">
          <w:rPr>
            <w:rStyle w:val="Hipervnculo"/>
            <w:rFonts w:ascii="Calibri Light" w:hAnsi="Calibri Light" w:cs="Calibri Light"/>
            <w:lang w:val="es-ES"/>
          </w:rPr>
          <w:t>consej</w:t>
        </w:r>
        <w:r w:rsidR="00E362DF" w:rsidRPr="008965C5">
          <w:rPr>
            <w:rStyle w:val="Hipervnculo"/>
            <w:rFonts w:ascii="Calibri Light" w:hAnsi="Calibri Light" w:cs="Calibri Light"/>
            <w:lang w:val="es-ES"/>
          </w:rPr>
          <w:t xml:space="preserve">o </w:t>
        </w:r>
      </w:hyperlink>
      <w:r w:rsidRPr="008965C5">
        <w:rPr>
          <w:rFonts w:ascii="Calibri Light" w:hAnsi="Calibri Light" w:cs="Calibri Light"/>
          <w:lang w:val="es-ES"/>
        </w:rPr>
        <w:t xml:space="preserve">sobre los "incentivos" </w:t>
      </w:r>
      <w:r>
        <w:rPr>
          <w:rStyle w:val="Refdenotaalpie"/>
          <w:rFonts w:ascii="Calibri Light" w:hAnsi="Calibri Light" w:cs="Calibri Light"/>
        </w:rPr>
        <w:footnoteReference w:id="1"/>
      </w:r>
      <w:r w:rsidRPr="008965C5">
        <w:rPr>
          <w:rFonts w:ascii="Calibri Light" w:hAnsi="Calibri Light" w:cs="Calibri Light"/>
          <w:lang w:val="es-ES"/>
        </w:rPr>
        <w:t xml:space="preserve">(y sobre la divulgación de los </w:t>
      </w:r>
      <w:r w:rsidR="00E362DF" w:rsidRPr="008965C5">
        <w:rPr>
          <w:rFonts w:ascii="Calibri Light" w:hAnsi="Calibri Light" w:cs="Calibri Light"/>
          <w:lang w:val="es-ES"/>
        </w:rPr>
        <w:t>cost</w:t>
      </w:r>
      <w:r w:rsidR="00E362DF">
        <w:rPr>
          <w:rFonts w:ascii="Calibri Light" w:hAnsi="Calibri Light" w:cs="Calibri Light"/>
          <w:lang w:val="es-ES"/>
        </w:rPr>
        <w:t>e</w:t>
      </w:r>
      <w:r w:rsidR="00E362DF" w:rsidRPr="008965C5">
        <w:rPr>
          <w:rFonts w:ascii="Calibri Light" w:hAnsi="Calibri Light" w:cs="Calibri Light"/>
          <w:lang w:val="es-ES"/>
        </w:rPr>
        <w:t xml:space="preserve">s </w:t>
      </w:r>
      <w:r w:rsidRPr="008965C5">
        <w:rPr>
          <w:rFonts w:ascii="Calibri Light" w:hAnsi="Calibri Light" w:cs="Calibri Light"/>
          <w:lang w:val="es-ES"/>
        </w:rPr>
        <w:t xml:space="preserve">y las tasas) en el marco de la "MiFID II", una de las principales directivas de la UE en materia de protección de los inversores que se </w:t>
      </w:r>
      <w:r w:rsidR="00E362DF">
        <w:rPr>
          <w:rFonts w:ascii="Calibri Light" w:hAnsi="Calibri Light" w:cs="Calibri Light"/>
          <w:lang w:val="es-ES"/>
        </w:rPr>
        <w:t>revisará</w:t>
      </w:r>
      <w:r w:rsidR="00E362DF" w:rsidRPr="008965C5">
        <w:rPr>
          <w:rFonts w:ascii="Calibri Light" w:hAnsi="Calibri Light" w:cs="Calibri Light"/>
          <w:lang w:val="es-ES"/>
        </w:rPr>
        <w:t xml:space="preserve"> </w:t>
      </w:r>
      <w:r w:rsidRPr="008965C5">
        <w:rPr>
          <w:rFonts w:ascii="Calibri Light" w:hAnsi="Calibri Light" w:cs="Calibri Light"/>
          <w:lang w:val="es-ES"/>
        </w:rPr>
        <w:t>este año, y que impulsa</w:t>
      </w:r>
      <w:r w:rsidR="00E362DF">
        <w:rPr>
          <w:rFonts w:ascii="Calibri Light" w:hAnsi="Calibri Light" w:cs="Calibri Light"/>
          <w:lang w:val="es-ES"/>
        </w:rPr>
        <w:t xml:space="preserve"> el futuro de</w:t>
      </w:r>
      <w:r w:rsidRPr="008965C5">
        <w:rPr>
          <w:rFonts w:ascii="Calibri Light" w:hAnsi="Calibri Light" w:cs="Calibri Light"/>
          <w:lang w:val="es-ES"/>
        </w:rPr>
        <w:t xml:space="preserve"> la cuestión alentando a la Comisión Europea (CE) a seguir profundizando en su evaluación de los "incentivos". </w:t>
      </w:r>
    </w:p>
    <w:p w14:paraId="1302BA1F" w14:textId="02D911E0" w:rsidR="00DB3013" w:rsidRPr="008965C5" w:rsidRDefault="008965C5">
      <w:pPr>
        <w:jc w:val="both"/>
        <w:rPr>
          <w:lang w:val="es-ES"/>
        </w:rPr>
      </w:pPr>
      <w:r w:rsidRPr="008965C5">
        <w:rPr>
          <w:rFonts w:ascii="Calibri Light" w:hAnsi="Calibri Light" w:cs="Calibri Light"/>
          <w:lang w:val="es-ES"/>
        </w:rPr>
        <w:t xml:space="preserve">BETTER FINANCE </w:t>
      </w:r>
      <w:r w:rsidR="00240716">
        <w:rPr>
          <w:rFonts w:ascii="Calibri Light" w:hAnsi="Calibri Light" w:cs="Calibri Light"/>
          <w:lang w:val="es-ES"/>
        </w:rPr>
        <w:t>esperaba</w:t>
      </w:r>
      <w:r w:rsidRPr="008965C5">
        <w:rPr>
          <w:rFonts w:ascii="Calibri Light" w:hAnsi="Calibri Light" w:cs="Calibri Light"/>
          <w:lang w:val="es-ES"/>
        </w:rPr>
        <w:t xml:space="preserve"> que la AEVM hubiera realizado sus propias </w:t>
      </w:r>
      <w:r w:rsidR="00240716">
        <w:rPr>
          <w:rFonts w:ascii="Calibri Light" w:hAnsi="Calibri Light" w:cs="Calibri Light"/>
          <w:lang w:val="es-ES"/>
        </w:rPr>
        <w:t>averiguaciones</w:t>
      </w:r>
      <w:r w:rsidR="00240716" w:rsidRPr="008965C5" w:rsidDel="00240716">
        <w:rPr>
          <w:rFonts w:ascii="Calibri Light" w:hAnsi="Calibri Light" w:cs="Calibri Light"/>
          <w:lang w:val="es-ES"/>
        </w:rPr>
        <w:t xml:space="preserve"> </w:t>
      </w:r>
      <w:r w:rsidRPr="008965C5">
        <w:rPr>
          <w:rFonts w:ascii="Calibri Light" w:hAnsi="Calibri Light" w:cs="Calibri Light"/>
          <w:lang w:val="es-ES"/>
        </w:rPr>
        <w:t xml:space="preserve">sobre el enorme perjuicio causado por los incentivos, en particular a la luz de la abrumadora evidencia de que los productos de inversión de bajo </w:t>
      </w:r>
      <w:r w:rsidR="00E362DF" w:rsidRPr="008965C5">
        <w:rPr>
          <w:rFonts w:ascii="Calibri Light" w:hAnsi="Calibri Light" w:cs="Calibri Light"/>
          <w:lang w:val="es-ES"/>
        </w:rPr>
        <w:t>cost</w:t>
      </w:r>
      <w:r w:rsidR="00E362DF">
        <w:rPr>
          <w:rFonts w:ascii="Calibri Light" w:hAnsi="Calibri Light" w:cs="Calibri Light"/>
          <w:lang w:val="es-ES"/>
        </w:rPr>
        <w:t>e</w:t>
      </w:r>
      <w:r w:rsidR="00E362DF" w:rsidRPr="008965C5">
        <w:rPr>
          <w:rFonts w:ascii="Calibri Light" w:hAnsi="Calibri Light" w:cs="Calibri Light"/>
          <w:lang w:val="es-ES"/>
        </w:rPr>
        <w:t xml:space="preserve"> </w:t>
      </w:r>
      <w:r w:rsidRPr="008965C5">
        <w:rPr>
          <w:rFonts w:ascii="Calibri Light" w:hAnsi="Calibri Light" w:cs="Calibri Light"/>
          <w:lang w:val="es-ES"/>
        </w:rPr>
        <w:t xml:space="preserve">como, por ejemplo, los </w:t>
      </w:r>
      <w:r w:rsidR="00E362DF">
        <w:rPr>
          <w:rFonts w:ascii="Calibri Light" w:hAnsi="Calibri Light" w:cs="Calibri Light"/>
          <w:lang w:val="es-ES"/>
        </w:rPr>
        <w:t>fondos índice cotizados o ETF</w:t>
      </w:r>
      <w:r w:rsidRPr="008965C5">
        <w:rPr>
          <w:rFonts w:ascii="Calibri Light" w:hAnsi="Calibri Light" w:cs="Calibri Light"/>
          <w:lang w:val="es-ES"/>
        </w:rPr>
        <w:t xml:space="preserve">, simplemente no son promovidos o vendidos por </w:t>
      </w:r>
      <w:r w:rsidR="00240716">
        <w:rPr>
          <w:rFonts w:ascii="Calibri Light" w:hAnsi="Calibri Light" w:cs="Calibri Light"/>
          <w:lang w:val="es-ES"/>
        </w:rPr>
        <w:t xml:space="preserve">los </w:t>
      </w:r>
      <w:r w:rsidRPr="008965C5">
        <w:rPr>
          <w:rFonts w:ascii="Calibri Light" w:hAnsi="Calibri Light" w:cs="Calibri Light"/>
          <w:lang w:val="es-ES"/>
        </w:rPr>
        <w:t xml:space="preserve">"asesores" basados en comisiones. Las estimaciones indican que en la Unión Europea (UE) los inversores </w:t>
      </w:r>
      <w:r w:rsidR="00B266FE">
        <w:rPr>
          <w:rFonts w:ascii="Calibri Light" w:hAnsi="Calibri Light" w:cs="Calibri Light"/>
          <w:lang w:val="es-ES"/>
        </w:rPr>
        <w:t>privados</w:t>
      </w:r>
      <w:r w:rsidR="00B266FE" w:rsidRPr="008965C5">
        <w:rPr>
          <w:rFonts w:ascii="Calibri Light" w:hAnsi="Calibri Light" w:cs="Calibri Light"/>
          <w:lang w:val="es-ES"/>
        </w:rPr>
        <w:t xml:space="preserve"> </w:t>
      </w:r>
      <w:r w:rsidRPr="008965C5">
        <w:rPr>
          <w:rFonts w:ascii="Calibri Light" w:hAnsi="Calibri Light" w:cs="Calibri Light"/>
          <w:lang w:val="es-ES"/>
        </w:rPr>
        <w:t xml:space="preserve">sólo tienen una participación aproximada del 10% en el mercado de ETF, en comparación con casi el 50% en los Estados Unidos. BETTER FINANCE ha llamado la atención en repetidas ocasiones sobre el devastador impacto de estos conflictos de intereses en la selección de fondos de inversión y "unidades" por parte de los intermediarios y el daño que esto inflige a los rendimientos de los ahorros </w:t>
      </w:r>
      <w:r w:rsidR="00B266FE">
        <w:rPr>
          <w:rFonts w:ascii="Calibri Light" w:hAnsi="Calibri Light" w:cs="Calibri Light"/>
          <w:lang w:val="es-ES"/>
        </w:rPr>
        <w:t>para</w:t>
      </w:r>
      <w:r w:rsidRPr="008965C5">
        <w:rPr>
          <w:rFonts w:ascii="Calibri Light" w:hAnsi="Calibri Light" w:cs="Calibri Light"/>
          <w:lang w:val="es-ES"/>
        </w:rPr>
        <w:t xml:space="preserve"> las pensiones</w:t>
      </w:r>
      <w:r w:rsidR="00B266FE" w:rsidRPr="00B266FE">
        <w:rPr>
          <w:rFonts w:ascii="Calibri Light" w:hAnsi="Calibri Light" w:cs="Calibri Light"/>
          <w:lang w:val="es-ES"/>
        </w:rPr>
        <w:t xml:space="preserve"> </w:t>
      </w:r>
      <w:r w:rsidR="00B266FE" w:rsidRPr="008965C5">
        <w:rPr>
          <w:rFonts w:ascii="Calibri Light" w:hAnsi="Calibri Light" w:cs="Calibri Light"/>
          <w:lang w:val="es-ES"/>
        </w:rPr>
        <w:t>a largo plazo</w:t>
      </w:r>
      <w:r w:rsidRPr="008965C5">
        <w:rPr>
          <w:rFonts w:ascii="Calibri Light" w:hAnsi="Calibri Light" w:cs="Calibri Light"/>
          <w:lang w:val="es-ES"/>
        </w:rPr>
        <w:t>.</w:t>
      </w:r>
      <w:r>
        <w:rPr>
          <w:rStyle w:val="Refdenotaalpie"/>
          <w:rFonts w:ascii="Calibri Light" w:hAnsi="Calibri Light" w:cs="Calibri Light"/>
        </w:rPr>
        <w:footnoteReference w:id="2"/>
      </w:r>
    </w:p>
    <w:p w14:paraId="1302BA20" w14:textId="05352AB3" w:rsidR="00DB3013" w:rsidRPr="008965C5" w:rsidRDefault="008965C5">
      <w:pPr>
        <w:jc w:val="both"/>
        <w:rPr>
          <w:rFonts w:ascii="Calibri Light" w:hAnsi="Calibri Light" w:cs="Calibri Light"/>
          <w:lang w:val="es-ES"/>
        </w:rPr>
      </w:pPr>
      <w:r w:rsidRPr="008965C5">
        <w:rPr>
          <w:rFonts w:ascii="Calibri Light" w:hAnsi="Calibri Light" w:cs="Calibri Light"/>
          <w:lang w:val="es-ES"/>
        </w:rPr>
        <w:t xml:space="preserve">Además, la MiFID II regula los "incentivos" exentos de facto de la "arquitectura cerrada" o de los proveedores "integrados verticalmente" de productos financieros al por menor, ya que no se les compensa con comisiones, sino que </w:t>
      </w:r>
      <w:r w:rsidR="00B266FE">
        <w:rPr>
          <w:rFonts w:ascii="Calibri Light" w:hAnsi="Calibri Light" w:cs="Calibri Light"/>
          <w:lang w:val="es-ES"/>
        </w:rPr>
        <w:t>la</w:t>
      </w:r>
      <w:r w:rsidRPr="008965C5">
        <w:rPr>
          <w:rFonts w:ascii="Calibri Light" w:hAnsi="Calibri Light" w:cs="Calibri Light"/>
          <w:lang w:val="es-ES"/>
        </w:rPr>
        <w:t xml:space="preserve"> mayoría </w:t>
      </w:r>
      <w:r w:rsidR="00B266FE">
        <w:rPr>
          <w:rFonts w:ascii="Calibri Light" w:hAnsi="Calibri Light" w:cs="Calibri Light"/>
          <w:lang w:val="es-ES"/>
        </w:rPr>
        <w:t xml:space="preserve">de ellos </w:t>
      </w:r>
      <w:r w:rsidRPr="008965C5">
        <w:rPr>
          <w:rFonts w:ascii="Calibri Light" w:hAnsi="Calibri Light" w:cs="Calibri Light"/>
          <w:lang w:val="es-ES"/>
        </w:rPr>
        <w:t xml:space="preserve">venden y asesoran sobre productos internos, independientemente de que sean los más adecuados para las necesidades de sus clientes. Dado que esas prácticas no entrañan comisiones ni otros incentivos (en este caso hay otros </w:t>
      </w:r>
      <w:r w:rsidR="00B266FE">
        <w:rPr>
          <w:rFonts w:ascii="Calibri Light" w:hAnsi="Calibri Light" w:cs="Calibri Light"/>
          <w:lang w:val="es-ES"/>
        </w:rPr>
        <w:t>alicientes</w:t>
      </w:r>
      <w:r w:rsidRPr="008965C5">
        <w:rPr>
          <w:rFonts w:ascii="Calibri Light" w:hAnsi="Calibri Light" w:cs="Calibri Light"/>
          <w:lang w:val="es-ES"/>
        </w:rPr>
        <w:t xml:space="preserve">), las redes de "arquitectura cerrada" no están sujetas a ninguna de las normas de </w:t>
      </w:r>
      <w:r w:rsidR="00B266FE">
        <w:rPr>
          <w:rFonts w:ascii="Calibri Light" w:hAnsi="Calibri Light" w:cs="Calibri Light"/>
          <w:lang w:val="es-ES"/>
        </w:rPr>
        <w:t xml:space="preserve">la </w:t>
      </w:r>
      <w:r w:rsidRPr="008965C5">
        <w:rPr>
          <w:rFonts w:ascii="Calibri Light" w:hAnsi="Calibri Light" w:cs="Calibri Light"/>
          <w:lang w:val="es-ES"/>
        </w:rPr>
        <w:t>MiFID II sobre incentivos. Las repetidas advertencias sobre este importante conflicto de intereses por parte de BETTER FINANCE han caído hasta ahora en oídos sordos.</w:t>
      </w:r>
    </w:p>
    <w:p w14:paraId="1302BA21" w14:textId="017F014B" w:rsidR="00DB3013" w:rsidRPr="008965C5" w:rsidRDefault="008965C5">
      <w:pPr>
        <w:jc w:val="both"/>
        <w:rPr>
          <w:lang w:val="es-ES"/>
        </w:rPr>
      </w:pPr>
      <w:r w:rsidRPr="008965C5">
        <w:rPr>
          <w:rFonts w:ascii="Calibri Light" w:hAnsi="Calibri Light" w:cs="Calibri Light"/>
          <w:lang w:val="es-ES"/>
        </w:rPr>
        <w:t xml:space="preserve">Por consiguiente, BETTER FINANCE se alegra de que la AEVM comparta ahora esta preocupación en su </w:t>
      </w:r>
      <w:r w:rsidR="00B266FE">
        <w:rPr>
          <w:rFonts w:ascii="Calibri Light" w:hAnsi="Calibri Light" w:cs="Calibri Light"/>
          <w:lang w:val="es-ES"/>
        </w:rPr>
        <w:t>consejo</w:t>
      </w:r>
      <w:r w:rsidR="00B266FE" w:rsidRPr="008965C5">
        <w:rPr>
          <w:rFonts w:ascii="Calibri Light" w:hAnsi="Calibri Light" w:cs="Calibri Light"/>
          <w:lang w:val="es-ES"/>
        </w:rPr>
        <w:t xml:space="preserve"> </w:t>
      </w:r>
      <w:r w:rsidRPr="008965C5">
        <w:rPr>
          <w:rFonts w:ascii="Calibri Light" w:hAnsi="Calibri Light" w:cs="Calibri Light"/>
          <w:lang w:val="es-ES"/>
        </w:rPr>
        <w:t>y señala que "</w:t>
      </w:r>
      <w:r w:rsidRPr="008965C5">
        <w:rPr>
          <w:rFonts w:ascii="Calibri Light" w:hAnsi="Calibri Light" w:cs="Calibri Light"/>
          <w:i/>
          <w:iCs/>
          <w:lang w:val="es-ES"/>
        </w:rPr>
        <w:t xml:space="preserve">podría </w:t>
      </w:r>
      <w:r w:rsidR="00240716">
        <w:rPr>
          <w:rFonts w:ascii="Calibri Light" w:hAnsi="Calibri Light" w:cs="Calibri Light"/>
          <w:i/>
          <w:iCs/>
          <w:lang w:val="es-ES"/>
        </w:rPr>
        <w:t>puntualizarse</w:t>
      </w:r>
      <w:r w:rsidR="00240716" w:rsidRPr="008965C5" w:rsidDel="00240716">
        <w:rPr>
          <w:rFonts w:ascii="Calibri Light" w:hAnsi="Calibri Light" w:cs="Calibri Light"/>
          <w:i/>
          <w:iCs/>
          <w:lang w:val="es-ES"/>
        </w:rPr>
        <w:t xml:space="preserve"> </w:t>
      </w:r>
      <w:r w:rsidRPr="008965C5">
        <w:rPr>
          <w:rFonts w:ascii="Calibri Light" w:hAnsi="Calibri Light" w:cs="Calibri Light"/>
          <w:i/>
          <w:iCs/>
          <w:lang w:val="es-ES"/>
        </w:rPr>
        <w:t>que las empresas, aunque operen en modelos de arquitectura cerrada, deben evaluar sus productos frente a los de terceros y deben proporcionar detalles en el informe de idoneidad de cualquier alternativa más barata y menos compleja</w:t>
      </w:r>
      <w:r w:rsidRPr="008965C5">
        <w:rPr>
          <w:rFonts w:ascii="Calibri Light" w:hAnsi="Calibri Light" w:cs="Calibri Light"/>
          <w:lang w:val="es-ES"/>
        </w:rPr>
        <w:t xml:space="preserve">". </w:t>
      </w:r>
    </w:p>
    <w:p w14:paraId="1302BA22" w14:textId="00613D04" w:rsidR="00DB3013" w:rsidRPr="008965C5" w:rsidRDefault="008965C5">
      <w:pPr>
        <w:jc w:val="both"/>
        <w:rPr>
          <w:rFonts w:ascii="Calibri Light" w:hAnsi="Calibri Light" w:cs="Calibri Light"/>
          <w:lang w:val="es-ES"/>
        </w:rPr>
      </w:pPr>
      <w:r w:rsidRPr="008965C5">
        <w:rPr>
          <w:rFonts w:ascii="Calibri Light" w:hAnsi="Calibri Light" w:cs="Calibri Light"/>
          <w:lang w:val="es-ES"/>
        </w:rPr>
        <w:t xml:space="preserve">Para adaptar la prohibición de los "incentivos" a las redes de "arquitectura cerrada", la </w:t>
      </w:r>
      <w:r w:rsidR="00FA0B4F">
        <w:rPr>
          <w:rFonts w:ascii="Calibri Light" w:hAnsi="Calibri Light" w:cs="Calibri Light"/>
          <w:lang w:val="es-ES"/>
        </w:rPr>
        <w:t>AEVM</w:t>
      </w:r>
      <w:r w:rsidR="00FA0B4F" w:rsidRPr="008965C5">
        <w:rPr>
          <w:rFonts w:ascii="Calibri Light" w:hAnsi="Calibri Light" w:cs="Calibri Light"/>
          <w:lang w:val="es-ES"/>
        </w:rPr>
        <w:t xml:space="preserve"> </w:t>
      </w:r>
      <w:r w:rsidRPr="008965C5">
        <w:rPr>
          <w:rFonts w:ascii="Calibri Light" w:hAnsi="Calibri Light" w:cs="Calibri Light"/>
          <w:lang w:val="es-ES"/>
        </w:rPr>
        <w:t>propone tres opciones:</w:t>
      </w:r>
    </w:p>
    <w:p w14:paraId="1302BA23" w14:textId="3A869307" w:rsidR="00DB3013" w:rsidRPr="008965C5" w:rsidRDefault="008965C5">
      <w:pPr>
        <w:pStyle w:val="Prrafodelista"/>
        <w:numPr>
          <w:ilvl w:val="0"/>
          <w:numId w:val="1"/>
        </w:numPr>
        <w:spacing w:after="0" w:line="240" w:lineRule="auto"/>
        <w:jc w:val="both"/>
        <w:rPr>
          <w:lang w:val="es-ES"/>
        </w:rPr>
      </w:pPr>
      <w:r w:rsidRPr="008965C5">
        <w:rPr>
          <w:rFonts w:ascii="Calibri Light" w:hAnsi="Calibri Light" w:cs="Calibri Light"/>
          <w:lang w:val="es-ES"/>
        </w:rPr>
        <w:t xml:space="preserve">La primera opción de </w:t>
      </w:r>
      <w:r w:rsidRPr="008965C5">
        <w:rPr>
          <w:rFonts w:ascii="Calibri Light" w:hAnsi="Calibri Light" w:cs="Calibri Light"/>
          <w:i/>
          <w:iCs/>
          <w:lang w:val="es-ES"/>
        </w:rPr>
        <w:t xml:space="preserve">"[invertir] en educación financiera para </w:t>
      </w:r>
      <w:r w:rsidR="00FA0B4F">
        <w:rPr>
          <w:rFonts w:ascii="Calibri Light" w:hAnsi="Calibri Light" w:cs="Calibri Light"/>
          <w:i/>
          <w:iCs/>
          <w:lang w:val="es-ES"/>
        </w:rPr>
        <w:t xml:space="preserve">mentalizar y </w:t>
      </w:r>
      <w:r w:rsidRPr="008965C5">
        <w:rPr>
          <w:rFonts w:ascii="Calibri Light" w:hAnsi="Calibri Light" w:cs="Calibri Light"/>
          <w:i/>
          <w:iCs/>
          <w:lang w:val="es-ES"/>
        </w:rPr>
        <w:t xml:space="preserve">concienciar a los inversores minoristas de la importancia del asesoramiento independiente basado </w:t>
      </w:r>
      <w:r w:rsidR="00240716">
        <w:rPr>
          <w:rFonts w:ascii="Calibri Light" w:hAnsi="Calibri Light" w:cs="Calibri Light"/>
          <w:i/>
          <w:iCs/>
          <w:lang w:val="es-ES"/>
        </w:rPr>
        <w:t xml:space="preserve">en </w:t>
      </w:r>
      <w:r w:rsidR="00FA0B4F">
        <w:rPr>
          <w:rFonts w:ascii="Calibri Light" w:hAnsi="Calibri Light" w:cs="Calibri Light"/>
          <w:i/>
          <w:iCs/>
          <w:lang w:val="es-ES"/>
        </w:rPr>
        <w:lastRenderedPageBreak/>
        <w:t>comisiones</w:t>
      </w:r>
      <w:r w:rsidRPr="008965C5">
        <w:rPr>
          <w:rFonts w:ascii="Calibri Light" w:hAnsi="Calibri Light" w:cs="Calibri Light"/>
          <w:lang w:val="es-ES"/>
        </w:rPr>
        <w:t xml:space="preserve">" no aborda el hecho de que faltan incentivos para que los interesados inviertan tiempo y dinero en esa educación. </w:t>
      </w:r>
    </w:p>
    <w:p w14:paraId="1302BA24" w14:textId="21DD09DD" w:rsidR="00DB3013" w:rsidRPr="008965C5" w:rsidRDefault="008965C5">
      <w:pPr>
        <w:pStyle w:val="Prrafodelista"/>
        <w:numPr>
          <w:ilvl w:val="0"/>
          <w:numId w:val="1"/>
        </w:numPr>
        <w:spacing w:after="0" w:line="240" w:lineRule="auto"/>
        <w:jc w:val="both"/>
        <w:rPr>
          <w:lang w:val="es-ES"/>
        </w:rPr>
      </w:pPr>
      <w:r w:rsidRPr="008965C5">
        <w:rPr>
          <w:rFonts w:ascii="Calibri Light" w:hAnsi="Calibri Light" w:cs="Calibri Light"/>
          <w:lang w:val="es-ES"/>
        </w:rPr>
        <w:t xml:space="preserve">La segunda opción de </w:t>
      </w:r>
      <w:r w:rsidRPr="008965C5">
        <w:rPr>
          <w:rFonts w:ascii="Calibri Light" w:hAnsi="Calibri Light" w:cs="Calibri Light"/>
          <w:i/>
          <w:iCs/>
          <w:lang w:val="es-ES"/>
        </w:rPr>
        <w:t xml:space="preserve">"[proporcionar] detalles en el informe de idoneidad de cualquier alternativa más barata y menos compleja" </w:t>
      </w:r>
      <w:r w:rsidR="00FA0B4F">
        <w:rPr>
          <w:rFonts w:ascii="Calibri Light" w:hAnsi="Calibri Light" w:cs="Calibri Light"/>
          <w:i/>
          <w:iCs/>
          <w:lang w:val="es-ES"/>
        </w:rPr>
        <w:t xml:space="preserve">es </w:t>
      </w:r>
      <w:r w:rsidR="00240716">
        <w:rPr>
          <w:rFonts w:ascii="Calibri Light" w:hAnsi="Calibri Light" w:cs="Calibri Light"/>
          <w:lang w:val="es-ES"/>
        </w:rPr>
        <w:t>indudablemente</w:t>
      </w:r>
      <w:r w:rsidR="00FA0B4F">
        <w:rPr>
          <w:rFonts w:ascii="Calibri Light" w:hAnsi="Calibri Light" w:cs="Calibri Light"/>
          <w:lang w:val="es-ES"/>
        </w:rPr>
        <w:t xml:space="preserve"> valiosa</w:t>
      </w:r>
      <w:r w:rsidRPr="008965C5">
        <w:rPr>
          <w:rFonts w:ascii="Calibri Light" w:hAnsi="Calibri Light" w:cs="Calibri Light"/>
          <w:lang w:val="es-ES"/>
        </w:rPr>
        <w:t xml:space="preserve">, pero tendría que ser divulgada </w:t>
      </w:r>
      <w:r w:rsidR="00240716">
        <w:rPr>
          <w:rFonts w:ascii="Calibri Light" w:hAnsi="Calibri Light" w:cs="Calibri Light"/>
          <w:lang w:val="es-ES"/>
        </w:rPr>
        <w:t>abiertamente</w:t>
      </w:r>
      <w:r w:rsidR="00240716" w:rsidRPr="008965C5" w:rsidDel="00240716">
        <w:rPr>
          <w:rFonts w:ascii="Calibri Light" w:hAnsi="Calibri Light" w:cs="Calibri Light"/>
          <w:lang w:val="es-ES"/>
        </w:rPr>
        <w:t xml:space="preserve"> </w:t>
      </w:r>
      <w:r w:rsidRPr="008965C5">
        <w:rPr>
          <w:rFonts w:ascii="Calibri Light" w:hAnsi="Calibri Light" w:cs="Calibri Light"/>
          <w:lang w:val="es-ES"/>
        </w:rPr>
        <w:t xml:space="preserve">por escrito y </w:t>
      </w:r>
      <w:r w:rsidR="00FA0B4F">
        <w:rPr>
          <w:rFonts w:ascii="Calibri Light" w:hAnsi="Calibri Light" w:cs="Calibri Light"/>
          <w:lang w:val="es-ES"/>
        </w:rPr>
        <w:t xml:space="preserve">ser </w:t>
      </w:r>
      <w:r w:rsidRPr="008965C5">
        <w:rPr>
          <w:rFonts w:ascii="Calibri Light" w:hAnsi="Calibri Light" w:cs="Calibri Light"/>
          <w:lang w:val="es-ES"/>
        </w:rPr>
        <w:t xml:space="preserve">fácilmente accesible en toda la información precontractual. </w:t>
      </w:r>
    </w:p>
    <w:p w14:paraId="1302BA25" w14:textId="50177C05" w:rsidR="00DB3013" w:rsidRPr="008965C5" w:rsidRDefault="008965C5">
      <w:pPr>
        <w:pStyle w:val="Prrafodelista"/>
        <w:numPr>
          <w:ilvl w:val="0"/>
          <w:numId w:val="1"/>
        </w:numPr>
        <w:spacing w:after="0" w:line="240" w:lineRule="auto"/>
        <w:jc w:val="both"/>
        <w:rPr>
          <w:lang w:val="es-ES"/>
        </w:rPr>
      </w:pPr>
      <w:r w:rsidRPr="008965C5">
        <w:rPr>
          <w:rFonts w:ascii="Calibri Light" w:hAnsi="Calibri Light" w:cs="Calibri Light"/>
          <w:lang w:val="es-ES"/>
        </w:rPr>
        <w:t xml:space="preserve">La tercera opción de imponer el criterio de </w:t>
      </w:r>
      <w:r w:rsidR="00FA0B4F">
        <w:rPr>
          <w:rFonts w:ascii="Calibri Light" w:hAnsi="Calibri Light" w:cs="Calibri Light"/>
          <w:lang w:val="es-ES"/>
        </w:rPr>
        <w:t>del incentivo</w:t>
      </w:r>
      <w:r w:rsidR="00FA0B4F" w:rsidRPr="008965C5">
        <w:rPr>
          <w:rFonts w:ascii="Calibri Light" w:hAnsi="Calibri Light" w:cs="Calibri Light"/>
          <w:lang w:val="es-ES"/>
        </w:rPr>
        <w:t xml:space="preserve"> </w:t>
      </w:r>
      <w:r w:rsidR="00FA0B4F">
        <w:rPr>
          <w:rFonts w:ascii="Calibri Light" w:hAnsi="Calibri Light" w:cs="Calibri Light"/>
          <w:lang w:val="es-ES"/>
        </w:rPr>
        <w:t>como</w:t>
      </w:r>
      <w:r w:rsidR="00FA0B4F" w:rsidRPr="008965C5">
        <w:rPr>
          <w:rFonts w:ascii="Calibri Light" w:hAnsi="Calibri Light" w:cs="Calibri Light"/>
          <w:lang w:val="es-ES"/>
        </w:rPr>
        <w:t xml:space="preserve"> </w:t>
      </w:r>
      <w:r w:rsidR="00FA0B4F">
        <w:rPr>
          <w:rFonts w:ascii="Calibri Light" w:hAnsi="Calibri Light" w:cs="Calibri Light"/>
          <w:lang w:val="es-ES"/>
        </w:rPr>
        <w:t xml:space="preserve">una </w:t>
      </w:r>
      <w:r w:rsidRPr="008965C5">
        <w:rPr>
          <w:rFonts w:ascii="Calibri Light" w:hAnsi="Calibri Light" w:cs="Calibri Light"/>
          <w:lang w:val="es-ES"/>
        </w:rPr>
        <w:t>"mejora de la calidad" en las redes de "arquitectura cerrada" sólo tendría un impacto muy limitado en nuestra opinión, ya que es muy difícil de evaluar. El requisito más importante</w:t>
      </w:r>
      <w:r w:rsidR="00FA0B4F">
        <w:rPr>
          <w:rFonts w:ascii="Calibri Light" w:hAnsi="Calibri Light" w:cs="Calibri Light"/>
          <w:lang w:val="es-ES"/>
        </w:rPr>
        <w:t xml:space="preserve">, </w:t>
      </w:r>
      <w:r w:rsidRPr="008965C5">
        <w:rPr>
          <w:rFonts w:ascii="Calibri Light" w:hAnsi="Calibri Light" w:cs="Calibri Light"/>
          <w:lang w:val="es-ES"/>
        </w:rPr>
        <w:t>y más fácil de evaluar</w:t>
      </w:r>
      <w:r w:rsidR="00FA0B4F">
        <w:rPr>
          <w:rFonts w:ascii="Calibri Light" w:hAnsi="Calibri Light" w:cs="Calibri Light"/>
          <w:lang w:val="es-ES"/>
        </w:rPr>
        <w:t>,</w:t>
      </w:r>
      <w:r w:rsidRPr="008965C5">
        <w:rPr>
          <w:rFonts w:ascii="Calibri Light" w:hAnsi="Calibri Light" w:cs="Calibri Light"/>
          <w:lang w:val="es-ES"/>
        </w:rPr>
        <w:t xml:space="preserve"> de permitir incentivos en la MiFID II (que "</w:t>
      </w:r>
      <w:r w:rsidRPr="008965C5">
        <w:rPr>
          <w:rFonts w:ascii="Calibri Light" w:hAnsi="Calibri Light" w:cs="Calibri Light"/>
          <w:i/>
          <w:iCs/>
          <w:lang w:val="es-ES"/>
        </w:rPr>
        <w:t>no perjudiquen el cumplimiento del deber de la empresa de actuar con honestidad, justicia y profesionalidad, en el mejor interés de sus clientes</w:t>
      </w:r>
      <w:r w:rsidRPr="008965C5">
        <w:rPr>
          <w:rFonts w:ascii="Calibri Light" w:hAnsi="Calibri Light" w:cs="Calibri Light"/>
          <w:lang w:val="es-ES"/>
        </w:rPr>
        <w:t xml:space="preserve">") es una vez más pasado por alto por el supervisor europeo (al igual que por la mayoría de los nacionales). De lo contrario, ¿cómo es que a los ciudadanos de la UE se les siguen vendiendo (y "aconsejando") fondos índice que son de seis a diez veces más caros que sus equivalentes en ETF, a pesar de las numerosas quejas de las asociaciones de ahorradores desde hace más de </w:t>
      </w:r>
      <w:r w:rsidR="00FA0B4F">
        <w:rPr>
          <w:rFonts w:ascii="Calibri Light" w:hAnsi="Calibri Light" w:cs="Calibri Light"/>
          <w:lang w:val="es-ES"/>
        </w:rPr>
        <w:t>una década</w:t>
      </w:r>
      <w:r w:rsidRPr="008965C5">
        <w:rPr>
          <w:rFonts w:ascii="Calibri Light" w:hAnsi="Calibri Light" w:cs="Calibri Light"/>
          <w:lang w:val="es-ES"/>
        </w:rPr>
        <w:t xml:space="preserve">? </w:t>
      </w:r>
    </w:p>
    <w:p w14:paraId="1302BA26" w14:textId="77777777" w:rsidR="00DB3013" w:rsidRPr="008965C5" w:rsidRDefault="00DB3013">
      <w:pPr>
        <w:spacing w:after="0" w:line="240" w:lineRule="auto"/>
        <w:ind w:left="360"/>
        <w:jc w:val="both"/>
        <w:rPr>
          <w:rFonts w:ascii="Calibri Light" w:hAnsi="Calibri Light" w:cs="Calibri Light"/>
          <w:lang w:val="es-ES"/>
        </w:rPr>
      </w:pPr>
    </w:p>
    <w:p w14:paraId="1302BA27" w14:textId="79BE0FE0" w:rsidR="00DB3013" w:rsidRPr="008965C5" w:rsidRDefault="008965C5">
      <w:pPr>
        <w:jc w:val="both"/>
        <w:rPr>
          <w:lang w:val="es-ES"/>
        </w:rPr>
      </w:pPr>
      <w:r w:rsidRPr="008965C5">
        <w:rPr>
          <w:rFonts w:ascii="Calibri Light" w:hAnsi="Calibri Light" w:cs="Calibri Light"/>
          <w:lang w:val="es-ES"/>
        </w:rPr>
        <w:t xml:space="preserve">Para Guillaume Prache, Director </w:t>
      </w:r>
      <w:r w:rsidR="00FA0B4F">
        <w:rPr>
          <w:rFonts w:ascii="Calibri Light" w:hAnsi="Calibri Light" w:cs="Calibri Light"/>
          <w:lang w:val="es-ES"/>
        </w:rPr>
        <w:t>g</w:t>
      </w:r>
      <w:r w:rsidR="00FA0B4F" w:rsidRPr="008965C5">
        <w:rPr>
          <w:rFonts w:ascii="Calibri Light" w:hAnsi="Calibri Light" w:cs="Calibri Light"/>
          <w:lang w:val="es-ES"/>
        </w:rPr>
        <w:t xml:space="preserve">eneral </w:t>
      </w:r>
      <w:r w:rsidRPr="008965C5">
        <w:rPr>
          <w:rFonts w:ascii="Calibri Light" w:hAnsi="Calibri Light" w:cs="Calibri Light"/>
          <w:lang w:val="es-ES"/>
        </w:rPr>
        <w:t xml:space="preserve">de BETTER FINANCE, "la Ley de Protección del Inversor de </w:t>
      </w:r>
      <w:r w:rsidRPr="008965C5">
        <w:rPr>
          <w:rFonts w:ascii="Calibri Light" w:hAnsi="Calibri Light" w:cs="Calibri Light"/>
          <w:i/>
          <w:iCs/>
          <w:lang w:val="es-ES"/>
        </w:rPr>
        <w:t xml:space="preserve">la UE se basa en una confusión perjudicial entre el asesoramiento y la venta: los "incentivos" (en su mayoría comisiones de venta) nunca han </w:t>
      </w:r>
      <w:r w:rsidR="00240716">
        <w:rPr>
          <w:rFonts w:ascii="Calibri Light" w:hAnsi="Calibri Light" w:cs="Calibri Light"/>
          <w:i/>
          <w:iCs/>
          <w:lang w:val="es-ES"/>
        </w:rPr>
        <w:t>retribuido</w:t>
      </w:r>
      <w:r w:rsidR="00240716" w:rsidRPr="008965C5">
        <w:rPr>
          <w:rFonts w:ascii="Calibri Light" w:hAnsi="Calibri Light" w:cs="Calibri Light"/>
          <w:i/>
          <w:iCs/>
          <w:lang w:val="es-ES"/>
        </w:rPr>
        <w:t xml:space="preserve"> </w:t>
      </w:r>
      <w:r w:rsidRPr="008965C5">
        <w:rPr>
          <w:rFonts w:ascii="Calibri Light" w:hAnsi="Calibri Light" w:cs="Calibri Light"/>
          <w:i/>
          <w:iCs/>
          <w:lang w:val="es-ES"/>
        </w:rPr>
        <w:t xml:space="preserve">ningún </w:t>
      </w:r>
      <w:r w:rsidRPr="008965C5">
        <w:rPr>
          <w:rFonts w:ascii="Calibri Light" w:hAnsi="Calibri Light" w:cs="Calibri Light"/>
          <w:i/>
          <w:iCs/>
          <w:u w:val="single"/>
          <w:lang w:val="es-ES"/>
        </w:rPr>
        <w:t>asesoramiento</w:t>
      </w:r>
      <w:r w:rsidRPr="008965C5">
        <w:rPr>
          <w:rFonts w:ascii="Calibri Light" w:hAnsi="Calibri Light" w:cs="Calibri Light"/>
          <w:i/>
          <w:iCs/>
          <w:lang w:val="es-ES"/>
        </w:rPr>
        <w:t xml:space="preserve">, sólo </w:t>
      </w:r>
      <w:r w:rsidR="00240716">
        <w:rPr>
          <w:rFonts w:ascii="Calibri Light" w:hAnsi="Calibri Light" w:cs="Calibri Light"/>
          <w:i/>
          <w:iCs/>
          <w:lang w:val="es-ES"/>
        </w:rPr>
        <w:t>retribuyen</w:t>
      </w:r>
      <w:r w:rsidR="00240716" w:rsidRPr="008965C5">
        <w:rPr>
          <w:rFonts w:ascii="Calibri Light" w:hAnsi="Calibri Light" w:cs="Calibri Light"/>
          <w:i/>
          <w:iCs/>
          <w:lang w:val="es-ES"/>
        </w:rPr>
        <w:t xml:space="preserve"> </w:t>
      </w:r>
      <w:r w:rsidRPr="008965C5">
        <w:rPr>
          <w:rFonts w:ascii="Calibri Light" w:hAnsi="Calibri Light" w:cs="Calibri Light"/>
          <w:i/>
          <w:iCs/>
          <w:lang w:val="es-ES"/>
        </w:rPr>
        <w:t xml:space="preserve">la </w:t>
      </w:r>
      <w:r w:rsidRPr="008965C5">
        <w:rPr>
          <w:rFonts w:ascii="Calibri Light" w:hAnsi="Calibri Light" w:cs="Calibri Light"/>
          <w:i/>
          <w:iCs/>
          <w:u w:val="single"/>
          <w:lang w:val="es-ES"/>
        </w:rPr>
        <w:t xml:space="preserve">venta </w:t>
      </w:r>
      <w:r w:rsidRPr="008965C5">
        <w:rPr>
          <w:rFonts w:ascii="Calibri Light" w:hAnsi="Calibri Light" w:cs="Calibri Light"/>
          <w:i/>
          <w:iCs/>
          <w:lang w:val="es-ES"/>
        </w:rPr>
        <w:t xml:space="preserve">de productos específicos: la no venta de tales productos significa </w:t>
      </w:r>
      <w:r w:rsidR="00FA0B4F">
        <w:rPr>
          <w:rFonts w:ascii="Calibri Light" w:hAnsi="Calibri Light" w:cs="Calibri Light"/>
          <w:i/>
          <w:iCs/>
          <w:lang w:val="es-ES"/>
        </w:rPr>
        <w:t xml:space="preserve">la ausencia de una </w:t>
      </w:r>
      <w:r w:rsidR="00240716">
        <w:rPr>
          <w:rFonts w:ascii="Calibri Light" w:hAnsi="Calibri Light" w:cs="Calibri Light"/>
          <w:i/>
          <w:iCs/>
          <w:lang w:val="es-ES"/>
        </w:rPr>
        <w:t>retribu</w:t>
      </w:r>
      <w:r w:rsidR="00240716" w:rsidRPr="008965C5">
        <w:rPr>
          <w:rFonts w:ascii="Calibri Light" w:hAnsi="Calibri Light" w:cs="Calibri Light"/>
          <w:i/>
          <w:iCs/>
          <w:lang w:val="es-ES"/>
        </w:rPr>
        <w:t>ción</w:t>
      </w:r>
      <w:r w:rsidRPr="008965C5">
        <w:rPr>
          <w:rFonts w:ascii="Calibri Light" w:hAnsi="Calibri Light" w:cs="Calibri Light"/>
          <w:i/>
          <w:iCs/>
          <w:lang w:val="es-ES"/>
        </w:rPr>
        <w:t xml:space="preserve">, </w:t>
      </w:r>
      <w:r w:rsidR="00FA0B4F">
        <w:rPr>
          <w:rFonts w:ascii="Calibri Light" w:hAnsi="Calibri Light" w:cs="Calibri Light"/>
          <w:i/>
          <w:iCs/>
          <w:lang w:val="es-ES"/>
        </w:rPr>
        <w:t xml:space="preserve">independientemente de que </w:t>
      </w:r>
      <w:r w:rsidRPr="008965C5">
        <w:rPr>
          <w:rFonts w:ascii="Calibri Light" w:hAnsi="Calibri Light" w:cs="Calibri Light"/>
          <w:i/>
          <w:iCs/>
          <w:lang w:val="es-ES"/>
        </w:rPr>
        <w:t>sea o no una venta "aconsejada</w:t>
      </w:r>
      <w:r w:rsidR="00FA0B4F" w:rsidRPr="008965C5">
        <w:rPr>
          <w:rFonts w:ascii="Calibri Light" w:hAnsi="Calibri Light" w:cs="Calibri Light"/>
          <w:i/>
          <w:iCs/>
          <w:lang w:val="es-ES"/>
        </w:rPr>
        <w:t>"</w:t>
      </w:r>
      <w:r w:rsidR="00FA0B4F">
        <w:rPr>
          <w:rFonts w:ascii="Calibri Light" w:hAnsi="Calibri Light" w:cs="Calibri Light"/>
          <w:i/>
          <w:iCs/>
          <w:lang w:val="es-ES"/>
        </w:rPr>
        <w:t>.</w:t>
      </w:r>
      <w:r w:rsidR="00FA0B4F" w:rsidRPr="008965C5">
        <w:rPr>
          <w:rFonts w:ascii="Calibri Light" w:hAnsi="Calibri Light" w:cs="Calibri Light"/>
          <w:lang w:val="es-ES"/>
        </w:rPr>
        <w:t xml:space="preserve"> </w:t>
      </w:r>
    </w:p>
    <w:p w14:paraId="1302BA28" w14:textId="79B0183D" w:rsidR="00DB3013" w:rsidRPr="009D2E9E" w:rsidRDefault="008965C5">
      <w:pPr>
        <w:jc w:val="both"/>
        <w:rPr>
          <w:rFonts w:ascii="Calibri Light" w:hAnsi="Calibri Light" w:cs="Calibri Light"/>
          <w:lang w:val="es-ES"/>
        </w:rPr>
      </w:pPr>
      <w:r>
        <w:rPr>
          <w:rFonts w:ascii="Calibri Light" w:hAnsi="Calibri Light" w:cs="Calibri Light"/>
          <w:noProof/>
          <w:lang w:val="ca-ES" w:eastAsia="ca-ES"/>
        </w:rPr>
        <mc:AlternateContent>
          <mc:Choice Requires="wps">
            <w:drawing>
              <wp:anchor distT="0" distB="0" distL="114300" distR="114300" simplePos="0" relativeHeight="251659264" behindDoc="0" locked="0" layoutInCell="1" allowOverlap="1" wp14:anchorId="1302BA22" wp14:editId="7E26B1B9">
                <wp:simplePos x="0" y="0"/>
                <wp:positionH relativeFrom="margin">
                  <wp:posOffset>-28575</wp:posOffset>
                </wp:positionH>
                <wp:positionV relativeFrom="paragraph">
                  <wp:posOffset>1283335</wp:posOffset>
                </wp:positionV>
                <wp:extent cx="5830570" cy="3228340"/>
                <wp:effectExtent l="0" t="0" r="17780" b="10160"/>
                <wp:wrapSquare wrapText="bothSides"/>
                <wp:docPr id="5" name="Text Box 2"/>
                <wp:cNvGraphicFramePr/>
                <a:graphic xmlns:a="http://schemas.openxmlformats.org/drawingml/2006/main">
                  <a:graphicData uri="http://schemas.microsoft.com/office/word/2010/wordprocessingShape">
                    <wps:wsp>
                      <wps:cNvSpPr txBox="1"/>
                      <wps:spPr>
                        <a:xfrm>
                          <a:off x="0" y="0"/>
                          <a:ext cx="5830570" cy="3228340"/>
                        </a:xfrm>
                        <a:prstGeom prst="rect">
                          <a:avLst/>
                        </a:prstGeom>
                        <a:solidFill>
                          <a:srgbClr val="FFFFFF"/>
                        </a:solidFill>
                        <a:ln w="9528">
                          <a:solidFill>
                            <a:srgbClr val="000000"/>
                          </a:solidFill>
                          <a:prstDash val="solid"/>
                        </a:ln>
                      </wps:spPr>
                      <wps:txbx>
                        <w:txbxContent>
                          <w:p w14:paraId="1302BA28" w14:textId="3A747BC4" w:rsidR="00DB3013" w:rsidRPr="008965C5" w:rsidRDefault="008965C5">
                            <w:pPr>
                              <w:rPr>
                                <w:rFonts w:ascii="Calibri Light" w:hAnsi="Calibri Light" w:cs="Calibri Light"/>
                                <w:lang w:val="es-ES"/>
                              </w:rPr>
                            </w:pPr>
                            <w:r w:rsidRPr="008965C5">
                              <w:rPr>
                                <w:rFonts w:ascii="Calibri Light" w:hAnsi="Calibri Light" w:cs="Calibri Light"/>
                                <w:lang w:val="es-ES"/>
                              </w:rPr>
                              <w:t xml:space="preserve">Si los grupos de presión de la industria </w:t>
                            </w:r>
                            <w:r w:rsidR="00BC62DC">
                              <w:rPr>
                                <w:rFonts w:ascii="Calibri Light" w:hAnsi="Calibri Light" w:cs="Calibri Light"/>
                                <w:lang w:val="es-ES"/>
                              </w:rPr>
                              <w:t>demuestran</w:t>
                            </w:r>
                            <w:r w:rsidR="00BC62DC" w:rsidRPr="008965C5">
                              <w:rPr>
                                <w:rFonts w:ascii="Calibri Light" w:hAnsi="Calibri Light" w:cs="Calibri Light"/>
                                <w:lang w:val="es-ES"/>
                              </w:rPr>
                              <w:t xml:space="preserve"> </w:t>
                            </w:r>
                            <w:r w:rsidRPr="008965C5">
                              <w:rPr>
                                <w:rFonts w:ascii="Calibri Light" w:hAnsi="Calibri Light" w:cs="Calibri Light"/>
                                <w:lang w:val="es-ES"/>
                              </w:rPr>
                              <w:t xml:space="preserve">una vez más </w:t>
                            </w:r>
                            <w:r w:rsidR="00BC62DC">
                              <w:rPr>
                                <w:rFonts w:ascii="Calibri Light" w:hAnsi="Calibri Light" w:cs="Calibri Light"/>
                                <w:lang w:val="es-ES"/>
                              </w:rPr>
                              <w:t xml:space="preserve">ser </w:t>
                            </w:r>
                            <w:r w:rsidRPr="008965C5">
                              <w:rPr>
                                <w:rFonts w:ascii="Calibri Light" w:hAnsi="Calibri Light" w:cs="Calibri Light"/>
                                <w:lang w:val="es-ES"/>
                              </w:rPr>
                              <w:t xml:space="preserve">demasiado poderosos para que las autoridades de la UE prohíban totalmente los incentivos, aunque las autoridades del Reino Unido y de los Países Bajos </w:t>
                            </w:r>
                            <w:r w:rsidR="00240716">
                              <w:rPr>
                                <w:rFonts w:ascii="Calibri Light" w:hAnsi="Calibri Light" w:cs="Calibri Light"/>
                                <w:lang w:val="es-ES"/>
                              </w:rPr>
                              <w:t>lo hayan</w:t>
                            </w:r>
                            <w:r w:rsidRPr="008965C5">
                              <w:rPr>
                                <w:rFonts w:ascii="Calibri Light" w:hAnsi="Calibri Light" w:cs="Calibri Light"/>
                                <w:lang w:val="es-ES"/>
                              </w:rPr>
                              <w:t xml:space="preserve"> </w:t>
                            </w:r>
                            <w:r w:rsidR="00240716" w:rsidRPr="008965C5">
                              <w:rPr>
                                <w:rFonts w:ascii="Calibri Light" w:hAnsi="Calibri Light" w:cs="Calibri Light"/>
                                <w:lang w:val="es-ES"/>
                              </w:rPr>
                              <w:t>logra</w:t>
                            </w:r>
                            <w:r w:rsidR="00240716">
                              <w:rPr>
                                <w:rFonts w:ascii="Calibri Light" w:hAnsi="Calibri Light" w:cs="Calibri Light"/>
                                <w:lang w:val="es-ES"/>
                              </w:rPr>
                              <w:t>do</w:t>
                            </w:r>
                            <w:r w:rsidRPr="008965C5">
                              <w:rPr>
                                <w:rFonts w:ascii="Calibri Light" w:hAnsi="Calibri Light" w:cs="Calibri Light"/>
                                <w:lang w:val="es-ES"/>
                              </w:rPr>
                              <w:t xml:space="preserve">, pedimos, como mínimo, </w:t>
                            </w:r>
                            <w:r w:rsidR="00BC62DC">
                              <w:rPr>
                                <w:rFonts w:ascii="Calibri Light" w:hAnsi="Calibri Light" w:cs="Calibri Light"/>
                                <w:lang w:val="es-ES"/>
                              </w:rPr>
                              <w:t>que</w:t>
                            </w:r>
                            <w:r w:rsidRPr="008965C5">
                              <w:rPr>
                                <w:rFonts w:ascii="Calibri Light" w:hAnsi="Calibri Light" w:cs="Calibri Light"/>
                                <w:lang w:val="es-ES"/>
                              </w:rPr>
                              <w:t>:</w:t>
                            </w:r>
                          </w:p>
                          <w:p w14:paraId="1302BA29" w14:textId="4C9F7976" w:rsidR="00DB3013" w:rsidRPr="008965C5" w:rsidRDefault="008965C5">
                            <w:pPr>
                              <w:pStyle w:val="Prrafodelista"/>
                              <w:numPr>
                                <w:ilvl w:val="0"/>
                                <w:numId w:val="2"/>
                              </w:numPr>
                              <w:spacing w:after="0" w:line="240" w:lineRule="auto"/>
                              <w:ind w:left="284" w:hanging="284"/>
                              <w:rPr>
                                <w:rFonts w:ascii="Calibri Light" w:hAnsi="Calibri Light" w:cs="Calibri Light"/>
                                <w:lang w:val="es-ES"/>
                              </w:rPr>
                            </w:pPr>
                            <w:r w:rsidRPr="008965C5">
                              <w:rPr>
                                <w:rFonts w:ascii="Calibri Light" w:hAnsi="Calibri Light" w:cs="Calibri Light"/>
                                <w:lang w:val="es-ES"/>
                              </w:rPr>
                              <w:t xml:space="preserve">las prohibiciones específicas existentes en </w:t>
                            </w:r>
                            <w:r w:rsidR="00BC62DC">
                              <w:rPr>
                                <w:rFonts w:ascii="Calibri Light" w:hAnsi="Calibri Light" w:cs="Calibri Light"/>
                                <w:lang w:val="es-ES"/>
                              </w:rPr>
                              <w:t xml:space="preserve">la </w:t>
                            </w:r>
                            <w:r w:rsidRPr="008965C5">
                              <w:rPr>
                                <w:rFonts w:ascii="Calibri Light" w:hAnsi="Calibri Light" w:cs="Calibri Light"/>
                                <w:lang w:val="es-ES"/>
                              </w:rPr>
                              <w:t xml:space="preserve">MIFID II se </w:t>
                            </w:r>
                            <w:r w:rsidR="00BC62DC" w:rsidRPr="008965C5">
                              <w:rPr>
                                <w:rFonts w:ascii="Calibri Light" w:hAnsi="Calibri Light" w:cs="Calibri Light"/>
                                <w:lang w:val="es-ES"/>
                              </w:rPr>
                              <w:t>extiend</w:t>
                            </w:r>
                            <w:r w:rsidR="00BC62DC">
                              <w:rPr>
                                <w:rFonts w:ascii="Calibri Light" w:hAnsi="Calibri Light" w:cs="Calibri Light"/>
                                <w:lang w:val="es-ES"/>
                              </w:rPr>
                              <w:t>a</w:t>
                            </w:r>
                            <w:r w:rsidR="00BC62DC" w:rsidRPr="008965C5">
                              <w:rPr>
                                <w:rFonts w:ascii="Calibri Light" w:hAnsi="Calibri Light" w:cs="Calibri Light"/>
                                <w:lang w:val="es-ES"/>
                              </w:rPr>
                              <w:t xml:space="preserve">n </w:t>
                            </w:r>
                            <w:r w:rsidRPr="008965C5">
                              <w:rPr>
                                <w:rFonts w:ascii="Calibri Light" w:hAnsi="Calibri Light" w:cs="Calibri Light"/>
                                <w:lang w:val="es-ES"/>
                              </w:rPr>
                              <w:t>a todos los productos de inversión sustituibles para garantizar una protección coherente de los inversores en todos los productos de inversión "minoristas" y poner fin al arbitraje reglamentario</w:t>
                            </w:r>
                            <w:r w:rsidR="00240716">
                              <w:rPr>
                                <w:rFonts w:ascii="Calibri Light" w:hAnsi="Calibri Light" w:cs="Calibri Light"/>
                                <w:lang w:val="es-ES"/>
                              </w:rPr>
                              <w:t xml:space="preserve"> </w:t>
                            </w:r>
                            <w:r w:rsidR="00BC62DC">
                              <w:rPr>
                                <w:rFonts w:ascii="Calibri Light" w:hAnsi="Calibri Light" w:cs="Calibri Light"/>
                                <w:lang w:val="es-ES"/>
                              </w:rPr>
                              <w:t>mediante la extensión de</w:t>
                            </w:r>
                            <w:r w:rsidRPr="008965C5">
                              <w:rPr>
                                <w:rFonts w:ascii="Calibri Light" w:hAnsi="Calibri Light" w:cs="Calibri Light"/>
                                <w:lang w:val="es-ES"/>
                              </w:rPr>
                              <w:t xml:space="preserve"> la prohibición actual de los incentivos a los asesores independientes y a la gestión de </w:t>
                            </w:r>
                            <w:r w:rsidR="00BC62DC">
                              <w:rPr>
                                <w:rFonts w:ascii="Calibri Light" w:hAnsi="Calibri Light" w:cs="Calibri Light"/>
                                <w:lang w:val="es-ES"/>
                              </w:rPr>
                              <w:t xml:space="preserve">las </w:t>
                            </w:r>
                            <w:r w:rsidRPr="008965C5">
                              <w:rPr>
                                <w:rFonts w:ascii="Calibri Light" w:hAnsi="Calibri Light" w:cs="Calibri Light"/>
                                <w:lang w:val="es-ES"/>
                              </w:rPr>
                              <w:t>carteras</w:t>
                            </w:r>
                            <w:r w:rsidR="00BC62DC">
                              <w:rPr>
                                <w:rFonts w:ascii="Calibri Light" w:hAnsi="Calibri Light" w:cs="Calibri Light"/>
                                <w:lang w:val="es-ES"/>
                              </w:rPr>
                              <w:t xml:space="preserve">, así como  </w:t>
                            </w:r>
                            <w:r w:rsidRPr="008965C5">
                              <w:rPr>
                                <w:rFonts w:ascii="Calibri Light" w:hAnsi="Calibri Light" w:cs="Calibri Light"/>
                                <w:lang w:val="es-ES"/>
                              </w:rPr>
                              <w:t xml:space="preserve">a los IBIP y a las pensiones personales (modificando así la Directiva de distribución de seguros): </w:t>
                            </w:r>
                            <w:r w:rsidR="00240716">
                              <w:rPr>
                                <w:rFonts w:ascii="Calibri Light" w:hAnsi="Calibri Light" w:cs="Calibri Light"/>
                                <w:lang w:val="es-ES"/>
                              </w:rPr>
                              <w:t>l</w:t>
                            </w:r>
                            <w:r w:rsidRPr="008965C5">
                              <w:rPr>
                                <w:rFonts w:ascii="Calibri Light" w:hAnsi="Calibri Light" w:cs="Calibri Light"/>
                                <w:lang w:val="es-ES"/>
                              </w:rPr>
                              <w:t>a AEVM está de acuerdo en que los productos de inversión similares debe</w:t>
                            </w:r>
                            <w:r w:rsidR="00BC62DC">
                              <w:rPr>
                                <w:rFonts w:ascii="Calibri Light" w:hAnsi="Calibri Light" w:cs="Calibri Light"/>
                                <w:lang w:val="es-ES"/>
                              </w:rPr>
                              <w:t>ría</w:t>
                            </w:r>
                            <w:r w:rsidRPr="008965C5">
                              <w:rPr>
                                <w:rFonts w:ascii="Calibri Light" w:hAnsi="Calibri Light" w:cs="Calibri Light"/>
                                <w:lang w:val="es-ES"/>
                              </w:rPr>
                              <w:t xml:space="preserve">n </w:t>
                            </w:r>
                            <w:r w:rsidR="00240716">
                              <w:rPr>
                                <w:rFonts w:ascii="Calibri Light" w:hAnsi="Calibri Light" w:cs="Calibri Light"/>
                                <w:lang w:val="es-ES"/>
                              </w:rPr>
                              <w:t>estar sometidos a</w:t>
                            </w:r>
                            <w:r w:rsidR="00240716" w:rsidRPr="008965C5">
                              <w:rPr>
                                <w:rFonts w:ascii="Calibri Light" w:hAnsi="Calibri Light" w:cs="Calibri Light"/>
                                <w:lang w:val="es-ES"/>
                              </w:rPr>
                              <w:t xml:space="preserve"> </w:t>
                            </w:r>
                            <w:r w:rsidRPr="008965C5">
                              <w:rPr>
                                <w:rFonts w:ascii="Calibri Light" w:hAnsi="Calibri Light" w:cs="Calibri Light"/>
                                <w:lang w:val="es-ES"/>
                              </w:rPr>
                              <w:t>las mismas normas de incentivo</w:t>
                            </w:r>
                            <w:r w:rsidR="00BC62DC">
                              <w:rPr>
                                <w:rFonts w:ascii="Calibri Light" w:hAnsi="Calibri Light" w:cs="Calibri Light"/>
                                <w:lang w:val="es-ES"/>
                              </w:rPr>
                              <w:t>s</w:t>
                            </w:r>
                            <w:r w:rsidRPr="008965C5">
                              <w:rPr>
                                <w:rFonts w:ascii="Calibri Light" w:hAnsi="Calibri Light" w:cs="Calibri Light"/>
                                <w:lang w:val="es-ES"/>
                              </w:rPr>
                              <w:t>;</w:t>
                            </w:r>
                          </w:p>
                          <w:p w14:paraId="1302BA2A" w14:textId="5B7B843E" w:rsidR="00DB3013" w:rsidRPr="008965C5" w:rsidRDefault="008965C5">
                            <w:pPr>
                              <w:pStyle w:val="Prrafodelista"/>
                              <w:numPr>
                                <w:ilvl w:val="0"/>
                                <w:numId w:val="2"/>
                              </w:numPr>
                              <w:spacing w:after="0" w:line="240" w:lineRule="auto"/>
                              <w:ind w:left="284" w:hanging="284"/>
                              <w:rPr>
                                <w:rFonts w:ascii="Calibri Light" w:hAnsi="Calibri Light" w:cs="Calibri Light"/>
                                <w:lang w:val="es-ES"/>
                              </w:rPr>
                            </w:pPr>
                            <w:r w:rsidRPr="008965C5">
                              <w:rPr>
                                <w:rFonts w:ascii="Calibri Light" w:hAnsi="Calibri Light" w:cs="Calibri Light"/>
                                <w:lang w:val="es-ES"/>
                              </w:rPr>
                              <w:t xml:space="preserve">la prohibición existente se </w:t>
                            </w:r>
                            <w:r w:rsidR="00BC62DC" w:rsidRPr="008965C5">
                              <w:rPr>
                                <w:rFonts w:ascii="Calibri Light" w:hAnsi="Calibri Light" w:cs="Calibri Light"/>
                                <w:lang w:val="es-ES"/>
                              </w:rPr>
                              <w:t>extiend</w:t>
                            </w:r>
                            <w:r w:rsidR="00BC62DC">
                              <w:rPr>
                                <w:rFonts w:ascii="Calibri Light" w:hAnsi="Calibri Light" w:cs="Calibri Light"/>
                                <w:lang w:val="es-ES"/>
                              </w:rPr>
                              <w:t>a</w:t>
                            </w:r>
                            <w:r w:rsidR="00BC62DC" w:rsidRPr="008965C5">
                              <w:rPr>
                                <w:rFonts w:ascii="Calibri Light" w:hAnsi="Calibri Light" w:cs="Calibri Light"/>
                                <w:lang w:val="es-ES"/>
                              </w:rPr>
                              <w:t xml:space="preserve"> </w:t>
                            </w:r>
                            <w:r w:rsidRPr="008965C5">
                              <w:rPr>
                                <w:rFonts w:ascii="Calibri Light" w:hAnsi="Calibri Light" w:cs="Calibri Light"/>
                                <w:lang w:val="es-ES"/>
                              </w:rPr>
                              <w:t xml:space="preserve">a las transacciones de "sólo ejecución" en las que, por definición, no hay ningún "asesoramiento" que se deba </w:t>
                            </w:r>
                            <w:r w:rsidR="00240716">
                              <w:rPr>
                                <w:rFonts w:ascii="Calibri Light" w:hAnsi="Calibri Light" w:cs="Calibri Light"/>
                                <w:lang w:val="es-ES"/>
                              </w:rPr>
                              <w:t>retribui</w:t>
                            </w:r>
                            <w:r w:rsidR="00240716" w:rsidRPr="008965C5">
                              <w:rPr>
                                <w:rFonts w:ascii="Calibri Light" w:hAnsi="Calibri Light" w:cs="Calibri Light"/>
                                <w:lang w:val="es-ES"/>
                              </w:rPr>
                              <w:t>r</w:t>
                            </w:r>
                            <w:r w:rsidRPr="008965C5">
                              <w:rPr>
                                <w:rFonts w:ascii="Calibri Light" w:hAnsi="Calibri Light" w:cs="Calibri Light"/>
                                <w:lang w:val="es-ES"/>
                              </w:rPr>
                              <w:t xml:space="preserve">, </w:t>
                            </w:r>
                            <w:r w:rsidR="00BC62DC">
                              <w:rPr>
                                <w:rFonts w:ascii="Calibri Light" w:hAnsi="Calibri Light" w:cs="Calibri Light"/>
                                <w:lang w:val="es-ES"/>
                              </w:rPr>
                              <w:t>tal como se</w:t>
                            </w:r>
                            <w:r w:rsidRPr="008965C5">
                              <w:rPr>
                                <w:rFonts w:ascii="Calibri Light" w:hAnsi="Calibri Light" w:cs="Calibri Light"/>
                                <w:lang w:val="es-ES"/>
                              </w:rPr>
                              <w:t xml:space="preserve"> hizo </w:t>
                            </w:r>
                            <w:r w:rsidR="00BC62DC" w:rsidRPr="008965C5">
                              <w:rPr>
                                <w:rFonts w:ascii="Calibri Light" w:hAnsi="Calibri Light" w:cs="Calibri Light"/>
                                <w:lang w:val="es-ES"/>
                              </w:rPr>
                              <w:t>e</w:t>
                            </w:r>
                            <w:r w:rsidR="00BC62DC">
                              <w:rPr>
                                <w:rFonts w:ascii="Calibri Light" w:hAnsi="Calibri Light" w:cs="Calibri Light"/>
                                <w:lang w:val="es-ES"/>
                              </w:rPr>
                              <w:t>n</w:t>
                            </w:r>
                            <w:r w:rsidR="00BC62DC" w:rsidRPr="008965C5">
                              <w:rPr>
                                <w:rFonts w:ascii="Calibri Light" w:hAnsi="Calibri Light" w:cs="Calibri Light"/>
                                <w:lang w:val="es-ES"/>
                              </w:rPr>
                              <w:t xml:space="preserve"> </w:t>
                            </w:r>
                            <w:r w:rsidRPr="008965C5">
                              <w:rPr>
                                <w:rFonts w:ascii="Calibri Light" w:hAnsi="Calibri Light" w:cs="Calibri Light"/>
                                <w:lang w:val="es-ES"/>
                              </w:rPr>
                              <w:t xml:space="preserve">Canadá: no hay </w:t>
                            </w:r>
                            <w:r w:rsidR="00240716">
                              <w:rPr>
                                <w:rFonts w:ascii="Calibri Light" w:hAnsi="Calibri Light" w:cs="Calibri Light"/>
                                <w:lang w:val="es-ES"/>
                              </w:rPr>
                              <w:t>razones</w:t>
                            </w:r>
                            <w:r w:rsidR="00240716" w:rsidRPr="008965C5">
                              <w:rPr>
                                <w:rFonts w:ascii="Calibri Light" w:hAnsi="Calibri Light" w:cs="Calibri Light"/>
                                <w:lang w:val="es-ES"/>
                              </w:rPr>
                              <w:t xml:space="preserve"> </w:t>
                            </w:r>
                            <w:r w:rsidRPr="008965C5">
                              <w:rPr>
                                <w:rFonts w:ascii="Calibri Light" w:hAnsi="Calibri Light" w:cs="Calibri Light"/>
                                <w:lang w:val="es-ES"/>
                              </w:rPr>
                              <w:t xml:space="preserve">para mantener las comisiones </w:t>
                            </w:r>
                            <w:r w:rsidR="00BC62DC">
                              <w:rPr>
                                <w:rFonts w:ascii="Calibri Light" w:hAnsi="Calibri Light" w:cs="Calibri Light"/>
                                <w:lang w:val="es-ES"/>
                              </w:rPr>
                              <w:t xml:space="preserve">en </w:t>
                            </w:r>
                            <w:r w:rsidRPr="008965C5">
                              <w:rPr>
                                <w:rFonts w:ascii="Calibri Light" w:hAnsi="Calibri Light" w:cs="Calibri Light"/>
                                <w:lang w:val="es-ES"/>
                              </w:rPr>
                              <w:t>esas transacciones;</w:t>
                            </w:r>
                          </w:p>
                          <w:p w14:paraId="1302BA2B" w14:textId="0A56A2C0" w:rsidR="00DB3013" w:rsidRPr="008965C5" w:rsidRDefault="008965C5">
                            <w:pPr>
                              <w:pStyle w:val="Prrafodelista"/>
                              <w:numPr>
                                <w:ilvl w:val="0"/>
                                <w:numId w:val="2"/>
                              </w:numPr>
                              <w:spacing w:after="0" w:line="240" w:lineRule="auto"/>
                              <w:ind w:left="284" w:hanging="284"/>
                              <w:rPr>
                                <w:rFonts w:ascii="Calibri Light" w:hAnsi="Calibri Light" w:cs="Calibri Light"/>
                                <w:lang w:val="es-ES"/>
                              </w:rPr>
                            </w:pPr>
                            <w:r w:rsidRPr="008965C5">
                              <w:rPr>
                                <w:rFonts w:ascii="Calibri Light" w:hAnsi="Calibri Light" w:cs="Calibri Light"/>
                                <w:lang w:val="es-ES"/>
                              </w:rPr>
                              <w:t xml:space="preserve">se </w:t>
                            </w:r>
                            <w:r w:rsidR="00BC62DC" w:rsidRPr="008965C5">
                              <w:rPr>
                                <w:rFonts w:ascii="Calibri Light" w:hAnsi="Calibri Light" w:cs="Calibri Light"/>
                                <w:lang w:val="es-ES"/>
                              </w:rPr>
                              <w:t>elimin</w:t>
                            </w:r>
                            <w:r w:rsidR="00BC62DC">
                              <w:rPr>
                                <w:rFonts w:ascii="Calibri Light" w:hAnsi="Calibri Light" w:cs="Calibri Light"/>
                                <w:lang w:val="es-ES"/>
                              </w:rPr>
                              <w:t>e</w:t>
                            </w:r>
                            <w:r w:rsidR="00BC62DC" w:rsidRPr="008965C5">
                              <w:rPr>
                                <w:rFonts w:ascii="Calibri Light" w:hAnsi="Calibri Light" w:cs="Calibri Light"/>
                                <w:lang w:val="es-ES"/>
                              </w:rPr>
                              <w:t xml:space="preserve">n </w:t>
                            </w:r>
                            <w:r w:rsidRPr="008965C5">
                              <w:rPr>
                                <w:rFonts w:ascii="Calibri Light" w:hAnsi="Calibri Light" w:cs="Calibri Light"/>
                                <w:lang w:val="es-ES"/>
                              </w:rPr>
                              <w:t xml:space="preserve">las actuales barreras al asesoramiento independiente (los asesores independientes deben poder acceder fácilmente a las "clases de </w:t>
                            </w:r>
                            <w:r w:rsidR="00BC62DC">
                              <w:rPr>
                                <w:rFonts w:ascii="Calibri Light" w:hAnsi="Calibri Light" w:cs="Calibri Light"/>
                                <w:lang w:val="es-ES"/>
                              </w:rPr>
                              <w:t>limpieza</w:t>
                            </w:r>
                            <w:r w:rsidRPr="008965C5">
                              <w:rPr>
                                <w:rFonts w:ascii="Calibri Light" w:hAnsi="Calibri Light" w:cs="Calibri Light"/>
                                <w:lang w:val="es-ES"/>
                              </w:rPr>
                              <w:t xml:space="preserve">" de los fondos y </w:t>
                            </w:r>
                            <w:r w:rsidR="00240716">
                              <w:rPr>
                                <w:rFonts w:ascii="Calibri Light" w:hAnsi="Calibri Light" w:cs="Calibri Light"/>
                                <w:lang w:val="es-ES"/>
                              </w:rPr>
                              <w:t xml:space="preserve">que </w:t>
                            </w:r>
                            <w:r w:rsidRPr="008965C5">
                              <w:rPr>
                                <w:rFonts w:ascii="Calibri Light" w:hAnsi="Calibri Light" w:cs="Calibri Light"/>
                                <w:lang w:val="es-ES"/>
                              </w:rPr>
                              <w:t xml:space="preserve">no se les </w:t>
                            </w:r>
                            <w:r w:rsidR="00BC62DC" w:rsidRPr="008965C5">
                              <w:rPr>
                                <w:rFonts w:ascii="Calibri Light" w:hAnsi="Calibri Light" w:cs="Calibri Light"/>
                                <w:lang w:val="es-ES"/>
                              </w:rPr>
                              <w:t>cobr</w:t>
                            </w:r>
                            <w:r w:rsidR="00BC62DC">
                              <w:rPr>
                                <w:rFonts w:ascii="Calibri Light" w:hAnsi="Calibri Light" w:cs="Calibri Light"/>
                                <w:lang w:val="es-ES"/>
                              </w:rPr>
                              <w:t>e</w:t>
                            </w:r>
                            <w:r w:rsidR="00BC62DC" w:rsidRPr="008965C5">
                              <w:rPr>
                                <w:rFonts w:ascii="Calibri Light" w:hAnsi="Calibri Light" w:cs="Calibri Light"/>
                                <w:lang w:val="es-ES"/>
                              </w:rPr>
                              <w:t>n</w:t>
                            </w:r>
                            <w:r w:rsidRPr="008965C5">
                              <w:rPr>
                                <w:rFonts w:ascii="Calibri Light" w:hAnsi="Calibri Light" w:cs="Calibri Light"/>
                                <w:lang w:val="es-ES"/>
                              </w:rPr>
                              <w:t>, por parte de los depositarios o las plataformas de fondos, las máximas comisiones de entrada (que no son exigidas por y para los gestores de fondos).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02BA22" id="_x0000_t202" coordsize="21600,21600" o:spt="202" path="m,l,21600r21600,l21600,xe">
                <v:stroke joinstyle="miter"/>
                <v:path gradientshapeok="t" o:connecttype="rect"/>
              </v:shapetype>
              <v:shape id="Text Box 2" o:spid="_x0000_s1026" type="#_x0000_t202" style="position:absolute;left:0;text-align:left;margin-left:-2.25pt;margin-top:101.05pt;width:459.1pt;height:25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" strokeweight=".26467mm">
                <v:textbox>
                  <w:txbxContent>
                    <w:p w14:paraId="1302BA28" w14:textId="3A747BC4" w:rsidR="00DB3013" w:rsidRPr="008965C5" w:rsidRDefault="008965C5">
                      <w:pPr>
                        <w:rPr>
                          <w:rFonts w:ascii="Calibri Light" w:hAnsi="Calibri Light" w:cs="Calibri Light"/>
                          <w:lang w:val="es-ES"/>
                        </w:rPr>
                      </w:pPr>
                      <w:r w:rsidRPr="008965C5">
                        <w:rPr>
                          <w:rFonts w:ascii="Calibri Light" w:hAnsi="Calibri Light" w:cs="Calibri Light"/>
                          <w:lang w:val="es-ES"/>
                        </w:rPr>
                        <w:t xml:space="preserve">Si los grupos de presión de la industria </w:t>
                      </w:r>
                      <w:r w:rsidR="00BC62DC">
                        <w:rPr>
                          <w:rFonts w:ascii="Calibri Light" w:hAnsi="Calibri Light" w:cs="Calibri Light"/>
                          <w:lang w:val="es-ES"/>
                        </w:rPr>
                        <w:t>demuestran</w:t>
                      </w:r>
                      <w:r w:rsidR="00BC62DC" w:rsidRPr="008965C5">
                        <w:rPr>
                          <w:rFonts w:ascii="Calibri Light" w:hAnsi="Calibri Light" w:cs="Calibri Light"/>
                          <w:lang w:val="es-ES"/>
                        </w:rPr>
                        <w:t xml:space="preserve"> </w:t>
                      </w:r>
                      <w:r w:rsidRPr="008965C5">
                        <w:rPr>
                          <w:rFonts w:ascii="Calibri Light" w:hAnsi="Calibri Light" w:cs="Calibri Light"/>
                          <w:lang w:val="es-ES"/>
                        </w:rPr>
                        <w:t xml:space="preserve">una vez más </w:t>
                      </w:r>
                      <w:r w:rsidR="00BC62DC">
                        <w:rPr>
                          <w:rFonts w:ascii="Calibri Light" w:hAnsi="Calibri Light" w:cs="Calibri Light"/>
                          <w:lang w:val="es-ES"/>
                        </w:rPr>
                        <w:t xml:space="preserve">ser </w:t>
                      </w:r>
                      <w:r w:rsidRPr="008965C5">
                        <w:rPr>
                          <w:rFonts w:ascii="Calibri Light" w:hAnsi="Calibri Light" w:cs="Calibri Light"/>
                          <w:lang w:val="es-ES"/>
                        </w:rPr>
                        <w:t xml:space="preserve">demasiado poderosos para que las autoridades de la UE prohíban totalmente los incentivos, aunque las autoridades del Reino Unido y de los Países Bajos </w:t>
                      </w:r>
                      <w:r w:rsidR="00240716">
                        <w:rPr>
                          <w:rFonts w:ascii="Calibri Light" w:hAnsi="Calibri Light" w:cs="Calibri Light"/>
                          <w:lang w:val="es-ES"/>
                        </w:rPr>
                        <w:t>lo hayan</w:t>
                      </w:r>
                      <w:r w:rsidRPr="008965C5">
                        <w:rPr>
                          <w:rFonts w:ascii="Calibri Light" w:hAnsi="Calibri Light" w:cs="Calibri Light"/>
                          <w:lang w:val="es-ES"/>
                        </w:rPr>
                        <w:t xml:space="preserve"> </w:t>
                      </w:r>
                      <w:r w:rsidR="00240716" w:rsidRPr="008965C5">
                        <w:rPr>
                          <w:rFonts w:ascii="Calibri Light" w:hAnsi="Calibri Light" w:cs="Calibri Light"/>
                          <w:lang w:val="es-ES"/>
                        </w:rPr>
                        <w:t>logra</w:t>
                      </w:r>
                      <w:r w:rsidR="00240716">
                        <w:rPr>
                          <w:rFonts w:ascii="Calibri Light" w:hAnsi="Calibri Light" w:cs="Calibri Light"/>
                          <w:lang w:val="es-ES"/>
                        </w:rPr>
                        <w:t>do</w:t>
                      </w:r>
                      <w:r w:rsidRPr="008965C5">
                        <w:rPr>
                          <w:rFonts w:ascii="Calibri Light" w:hAnsi="Calibri Light" w:cs="Calibri Light"/>
                          <w:lang w:val="es-ES"/>
                        </w:rPr>
                        <w:t xml:space="preserve">, pedimos, como mínimo, </w:t>
                      </w:r>
                      <w:r w:rsidR="00BC62DC">
                        <w:rPr>
                          <w:rFonts w:ascii="Calibri Light" w:hAnsi="Calibri Light" w:cs="Calibri Light"/>
                          <w:lang w:val="es-ES"/>
                        </w:rPr>
                        <w:t>que</w:t>
                      </w:r>
                      <w:r w:rsidRPr="008965C5">
                        <w:rPr>
                          <w:rFonts w:ascii="Calibri Light" w:hAnsi="Calibri Light" w:cs="Calibri Light"/>
                          <w:lang w:val="es-ES"/>
                        </w:rPr>
                        <w:t>:</w:t>
                      </w:r>
                    </w:p>
                    <w:p w14:paraId="1302BA29" w14:textId="4C9F7976" w:rsidR="00DB3013" w:rsidRPr="008965C5" w:rsidRDefault="008965C5">
                      <w:pPr>
                        <w:pStyle w:val="Prrafodelista"/>
                        <w:numPr>
                          <w:ilvl w:val="0"/>
                          <w:numId w:val="2"/>
                        </w:numPr>
                        <w:spacing w:after="0" w:line="240" w:lineRule="auto"/>
                        <w:ind w:left="284" w:hanging="284"/>
                        <w:rPr>
                          <w:rFonts w:ascii="Calibri Light" w:hAnsi="Calibri Light" w:cs="Calibri Light"/>
                          <w:lang w:val="es-ES"/>
                        </w:rPr>
                      </w:pPr>
                      <w:r w:rsidRPr="008965C5">
                        <w:rPr>
                          <w:rFonts w:ascii="Calibri Light" w:hAnsi="Calibri Light" w:cs="Calibri Light"/>
                          <w:lang w:val="es-ES"/>
                        </w:rPr>
                        <w:t xml:space="preserve">las prohibiciones específicas existentes en </w:t>
                      </w:r>
                      <w:r w:rsidR="00BC62DC">
                        <w:rPr>
                          <w:rFonts w:ascii="Calibri Light" w:hAnsi="Calibri Light" w:cs="Calibri Light"/>
                          <w:lang w:val="es-ES"/>
                        </w:rPr>
                        <w:t xml:space="preserve">la </w:t>
                      </w:r>
                      <w:r w:rsidRPr="008965C5">
                        <w:rPr>
                          <w:rFonts w:ascii="Calibri Light" w:hAnsi="Calibri Light" w:cs="Calibri Light"/>
                          <w:lang w:val="es-ES"/>
                        </w:rPr>
                        <w:t xml:space="preserve">MIFID II se </w:t>
                      </w:r>
                      <w:r w:rsidR="00BC62DC" w:rsidRPr="008965C5">
                        <w:rPr>
                          <w:rFonts w:ascii="Calibri Light" w:hAnsi="Calibri Light" w:cs="Calibri Light"/>
                          <w:lang w:val="es-ES"/>
                        </w:rPr>
                        <w:t>extiend</w:t>
                      </w:r>
                      <w:r w:rsidR="00BC62DC">
                        <w:rPr>
                          <w:rFonts w:ascii="Calibri Light" w:hAnsi="Calibri Light" w:cs="Calibri Light"/>
                          <w:lang w:val="es-ES"/>
                        </w:rPr>
                        <w:t>a</w:t>
                      </w:r>
                      <w:r w:rsidR="00BC62DC" w:rsidRPr="008965C5">
                        <w:rPr>
                          <w:rFonts w:ascii="Calibri Light" w:hAnsi="Calibri Light" w:cs="Calibri Light"/>
                          <w:lang w:val="es-ES"/>
                        </w:rPr>
                        <w:t xml:space="preserve">n </w:t>
                      </w:r>
                      <w:r w:rsidRPr="008965C5">
                        <w:rPr>
                          <w:rFonts w:ascii="Calibri Light" w:hAnsi="Calibri Light" w:cs="Calibri Light"/>
                          <w:lang w:val="es-ES"/>
                        </w:rPr>
                        <w:t>a todos los productos de inversión sustituibles para garantizar una protección coherente de los inversores en todos los productos de inversión "minoristas" y poner fin al arbitraje reglamentario</w:t>
                      </w:r>
                      <w:r w:rsidR="00240716">
                        <w:rPr>
                          <w:rFonts w:ascii="Calibri Light" w:hAnsi="Calibri Light" w:cs="Calibri Light"/>
                          <w:lang w:val="es-ES"/>
                        </w:rPr>
                        <w:t xml:space="preserve"> </w:t>
                      </w:r>
                      <w:r w:rsidR="00BC62DC">
                        <w:rPr>
                          <w:rFonts w:ascii="Calibri Light" w:hAnsi="Calibri Light" w:cs="Calibri Light"/>
                          <w:lang w:val="es-ES"/>
                        </w:rPr>
                        <w:t>mediante la extensión de</w:t>
                      </w:r>
                      <w:r w:rsidRPr="008965C5">
                        <w:rPr>
                          <w:rFonts w:ascii="Calibri Light" w:hAnsi="Calibri Light" w:cs="Calibri Light"/>
                          <w:lang w:val="es-ES"/>
                        </w:rPr>
                        <w:t xml:space="preserve"> la prohibición actual de los incentivos a los asesores independientes y a la gestión de </w:t>
                      </w:r>
                      <w:r w:rsidR="00BC62DC">
                        <w:rPr>
                          <w:rFonts w:ascii="Calibri Light" w:hAnsi="Calibri Light" w:cs="Calibri Light"/>
                          <w:lang w:val="es-ES"/>
                        </w:rPr>
                        <w:t xml:space="preserve">las </w:t>
                      </w:r>
                      <w:r w:rsidRPr="008965C5">
                        <w:rPr>
                          <w:rFonts w:ascii="Calibri Light" w:hAnsi="Calibri Light" w:cs="Calibri Light"/>
                          <w:lang w:val="es-ES"/>
                        </w:rPr>
                        <w:t>carteras</w:t>
                      </w:r>
                      <w:r w:rsidR="00BC62DC">
                        <w:rPr>
                          <w:rFonts w:ascii="Calibri Light" w:hAnsi="Calibri Light" w:cs="Calibri Light"/>
                          <w:lang w:val="es-ES"/>
                        </w:rPr>
                        <w:t xml:space="preserve">, así como  </w:t>
                      </w:r>
                      <w:r w:rsidRPr="008965C5">
                        <w:rPr>
                          <w:rFonts w:ascii="Calibri Light" w:hAnsi="Calibri Light" w:cs="Calibri Light"/>
                          <w:lang w:val="es-ES"/>
                        </w:rPr>
                        <w:t xml:space="preserve">a los IBIP y a las pensiones personales (modificando así la Directiva de distribución de seguros): </w:t>
                      </w:r>
                      <w:r w:rsidR="00240716">
                        <w:rPr>
                          <w:rFonts w:ascii="Calibri Light" w:hAnsi="Calibri Light" w:cs="Calibri Light"/>
                          <w:lang w:val="es-ES"/>
                        </w:rPr>
                        <w:t>l</w:t>
                      </w:r>
                      <w:r w:rsidRPr="008965C5">
                        <w:rPr>
                          <w:rFonts w:ascii="Calibri Light" w:hAnsi="Calibri Light" w:cs="Calibri Light"/>
                          <w:lang w:val="es-ES"/>
                        </w:rPr>
                        <w:t>a AEVM está de acuerdo en que los productos de inversión similares debe</w:t>
                      </w:r>
                      <w:r w:rsidR="00BC62DC">
                        <w:rPr>
                          <w:rFonts w:ascii="Calibri Light" w:hAnsi="Calibri Light" w:cs="Calibri Light"/>
                          <w:lang w:val="es-ES"/>
                        </w:rPr>
                        <w:t>ría</w:t>
                      </w:r>
                      <w:r w:rsidRPr="008965C5">
                        <w:rPr>
                          <w:rFonts w:ascii="Calibri Light" w:hAnsi="Calibri Light" w:cs="Calibri Light"/>
                          <w:lang w:val="es-ES"/>
                        </w:rPr>
                        <w:t xml:space="preserve">n </w:t>
                      </w:r>
                      <w:r w:rsidR="00240716">
                        <w:rPr>
                          <w:rFonts w:ascii="Calibri Light" w:hAnsi="Calibri Light" w:cs="Calibri Light"/>
                          <w:lang w:val="es-ES"/>
                        </w:rPr>
                        <w:t>estar sometidos a</w:t>
                      </w:r>
                      <w:r w:rsidR="00240716" w:rsidRPr="008965C5">
                        <w:rPr>
                          <w:rFonts w:ascii="Calibri Light" w:hAnsi="Calibri Light" w:cs="Calibri Light"/>
                          <w:lang w:val="es-ES"/>
                        </w:rPr>
                        <w:t xml:space="preserve"> </w:t>
                      </w:r>
                      <w:r w:rsidRPr="008965C5">
                        <w:rPr>
                          <w:rFonts w:ascii="Calibri Light" w:hAnsi="Calibri Light" w:cs="Calibri Light"/>
                          <w:lang w:val="es-ES"/>
                        </w:rPr>
                        <w:t>las mismas normas de incentivo</w:t>
                      </w:r>
                      <w:r w:rsidR="00BC62DC">
                        <w:rPr>
                          <w:rFonts w:ascii="Calibri Light" w:hAnsi="Calibri Light" w:cs="Calibri Light"/>
                          <w:lang w:val="es-ES"/>
                        </w:rPr>
                        <w:t>s</w:t>
                      </w:r>
                      <w:r w:rsidRPr="008965C5">
                        <w:rPr>
                          <w:rFonts w:ascii="Calibri Light" w:hAnsi="Calibri Light" w:cs="Calibri Light"/>
                          <w:lang w:val="es-ES"/>
                        </w:rPr>
                        <w:t>;</w:t>
                      </w:r>
                    </w:p>
                    <w:p w14:paraId="1302BA2A" w14:textId="5B7B843E" w:rsidR="00DB3013" w:rsidRPr="008965C5" w:rsidRDefault="008965C5">
                      <w:pPr>
                        <w:pStyle w:val="Prrafodelista"/>
                        <w:numPr>
                          <w:ilvl w:val="0"/>
                          <w:numId w:val="2"/>
                        </w:numPr>
                        <w:spacing w:after="0" w:line="240" w:lineRule="auto"/>
                        <w:ind w:left="284" w:hanging="284"/>
                        <w:rPr>
                          <w:rFonts w:ascii="Calibri Light" w:hAnsi="Calibri Light" w:cs="Calibri Light"/>
                          <w:lang w:val="es-ES"/>
                        </w:rPr>
                      </w:pPr>
                      <w:r w:rsidRPr="008965C5">
                        <w:rPr>
                          <w:rFonts w:ascii="Calibri Light" w:hAnsi="Calibri Light" w:cs="Calibri Light"/>
                          <w:lang w:val="es-ES"/>
                        </w:rPr>
                        <w:t xml:space="preserve">la prohibición existente se </w:t>
                      </w:r>
                      <w:r w:rsidR="00BC62DC" w:rsidRPr="008965C5">
                        <w:rPr>
                          <w:rFonts w:ascii="Calibri Light" w:hAnsi="Calibri Light" w:cs="Calibri Light"/>
                          <w:lang w:val="es-ES"/>
                        </w:rPr>
                        <w:t>extiend</w:t>
                      </w:r>
                      <w:r w:rsidR="00BC62DC">
                        <w:rPr>
                          <w:rFonts w:ascii="Calibri Light" w:hAnsi="Calibri Light" w:cs="Calibri Light"/>
                          <w:lang w:val="es-ES"/>
                        </w:rPr>
                        <w:t>a</w:t>
                      </w:r>
                      <w:r w:rsidR="00BC62DC" w:rsidRPr="008965C5">
                        <w:rPr>
                          <w:rFonts w:ascii="Calibri Light" w:hAnsi="Calibri Light" w:cs="Calibri Light"/>
                          <w:lang w:val="es-ES"/>
                        </w:rPr>
                        <w:t xml:space="preserve"> </w:t>
                      </w:r>
                      <w:r w:rsidRPr="008965C5">
                        <w:rPr>
                          <w:rFonts w:ascii="Calibri Light" w:hAnsi="Calibri Light" w:cs="Calibri Light"/>
                          <w:lang w:val="es-ES"/>
                        </w:rPr>
                        <w:t xml:space="preserve">a las transacciones de "sólo ejecución" en las que, por definición, no hay ningún "asesoramiento" que se deba </w:t>
                      </w:r>
                      <w:r w:rsidR="00240716">
                        <w:rPr>
                          <w:rFonts w:ascii="Calibri Light" w:hAnsi="Calibri Light" w:cs="Calibri Light"/>
                          <w:lang w:val="es-ES"/>
                        </w:rPr>
                        <w:t>retribui</w:t>
                      </w:r>
                      <w:r w:rsidR="00240716" w:rsidRPr="008965C5">
                        <w:rPr>
                          <w:rFonts w:ascii="Calibri Light" w:hAnsi="Calibri Light" w:cs="Calibri Light"/>
                          <w:lang w:val="es-ES"/>
                        </w:rPr>
                        <w:t>r</w:t>
                      </w:r>
                      <w:r w:rsidRPr="008965C5">
                        <w:rPr>
                          <w:rFonts w:ascii="Calibri Light" w:hAnsi="Calibri Light" w:cs="Calibri Light"/>
                          <w:lang w:val="es-ES"/>
                        </w:rPr>
                        <w:t xml:space="preserve">, </w:t>
                      </w:r>
                      <w:r w:rsidR="00BC62DC">
                        <w:rPr>
                          <w:rFonts w:ascii="Calibri Light" w:hAnsi="Calibri Light" w:cs="Calibri Light"/>
                          <w:lang w:val="es-ES"/>
                        </w:rPr>
                        <w:t>tal como se</w:t>
                      </w:r>
                      <w:r w:rsidRPr="008965C5">
                        <w:rPr>
                          <w:rFonts w:ascii="Calibri Light" w:hAnsi="Calibri Light" w:cs="Calibri Light"/>
                          <w:lang w:val="es-ES"/>
                        </w:rPr>
                        <w:t xml:space="preserve"> hizo </w:t>
                      </w:r>
                      <w:r w:rsidR="00BC62DC" w:rsidRPr="008965C5">
                        <w:rPr>
                          <w:rFonts w:ascii="Calibri Light" w:hAnsi="Calibri Light" w:cs="Calibri Light"/>
                          <w:lang w:val="es-ES"/>
                        </w:rPr>
                        <w:t>e</w:t>
                      </w:r>
                      <w:r w:rsidR="00BC62DC">
                        <w:rPr>
                          <w:rFonts w:ascii="Calibri Light" w:hAnsi="Calibri Light" w:cs="Calibri Light"/>
                          <w:lang w:val="es-ES"/>
                        </w:rPr>
                        <w:t>n</w:t>
                      </w:r>
                      <w:r w:rsidR="00BC62DC" w:rsidRPr="008965C5">
                        <w:rPr>
                          <w:rFonts w:ascii="Calibri Light" w:hAnsi="Calibri Light" w:cs="Calibri Light"/>
                          <w:lang w:val="es-ES"/>
                        </w:rPr>
                        <w:t xml:space="preserve"> </w:t>
                      </w:r>
                      <w:r w:rsidRPr="008965C5">
                        <w:rPr>
                          <w:rFonts w:ascii="Calibri Light" w:hAnsi="Calibri Light" w:cs="Calibri Light"/>
                          <w:lang w:val="es-ES"/>
                        </w:rPr>
                        <w:t xml:space="preserve">Canadá: no hay </w:t>
                      </w:r>
                      <w:r w:rsidR="00240716">
                        <w:rPr>
                          <w:rFonts w:ascii="Calibri Light" w:hAnsi="Calibri Light" w:cs="Calibri Light"/>
                          <w:lang w:val="es-ES"/>
                        </w:rPr>
                        <w:t>razones</w:t>
                      </w:r>
                      <w:r w:rsidR="00240716" w:rsidRPr="008965C5">
                        <w:rPr>
                          <w:rFonts w:ascii="Calibri Light" w:hAnsi="Calibri Light" w:cs="Calibri Light"/>
                          <w:lang w:val="es-ES"/>
                        </w:rPr>
                        <w:t xml:space="preserve"> </w:t>
                      </w:r>
                      <w:r w:rsidRPr="008965C5">
                        <w:rPr>
                          <w:rFonts w:ascii="Calibri Light" w:hAnsi="Calibri Light" w:cs="Calibri Light"/>
                          <w:lang w:val="es-ES"/>
                        </w:rPr>
                        <w:t xml:space="preserve">para mantener las comisiones </w:t>
                      </w:r>
                      <w:r w:rsidR="00BC62DC">
                        <w:rPr>
                          <w:rFonts w:ascii="Calibri Light" w:hAnsi="Calibri Light" w:cs="Calibri Light"/>
                          <w:lang w:val="es-ES"/>
                        </w:rPr>
                        <w:t xml:space="preserve">en </w:t>
                      </w:r>
                      <w:r w:rsidRPr="008965C5">
                        <w:rPr>
                          <w:rFonts w:ascii="Calibri Light" w:hAnsi="Calibri Light" w:cs="Calibri Light"/>
                          <w:lang w:val="es-ES"/>
                        </w:rPr>
                        <w:t>esas transacciones;</w:t>
                      </w:r>
                    </w:p>
                    <w:p w14:paraId="1302BA2B" w14:textId="0A56A2C0" w:rsidR="00DB3013" w:rsidRPr="008965C5" w:rsidRDefault="008965C5">
                      <w:pPr>
                        <w:pStyle w:val="Prrafodelista"/>
                        <w:numPr>
                          <w:ilvl w:val="0"/>
                          <w:numId w:val="2"/>
                        </w:numPr>
                        <w:spacing w:after="0" w:line="240" w:lineRule="auto"/>
                        <w:ind w:left="284" w:hanging="284"/>
                        <w:rPr>
                          <w:rFonts w:ascii="Calibri Light" w:hAnsi="Calibri Light" w:cs="Calibri Light"/>
                          <w:lang w:val="es-ES"/>
                        </w:rPr>
                      </w:pPr>
                      <w:r w:rsidRPr="008965C5">
                        <w:rPr>
                          <w:rFonts w:ascii="Calibri Light" w:hAnsi="Calibri Light" w:cs="Calibri Light"/>
                          <w:lang w:val="es-ES"/>
                        </w:rPr>
                        <w:t xml:space="preserve">se </w:t>
                      </w:r>
                      <w:r w:rsidR="00BC62DC" w:rsidRPr="008965C5">
                        <w:rPr>
                          <w:rFonts w:ascii="Calibri Light" w:hAnsi="Calibri Light" w:cs="Calibri Light"/>
                          <w:lang w:val="es-ES"/>
                        </w:rPr>
                        <w:t>elimin</w:t>
                      </w:r>
                      <w:r w:rsidR="00BC62DC">
                        <w:rPr>
                          <w:rFonts w:ascii="Calibri Light" w:hAnsi="Calibri Light" w:cs="Calibri Light"/>
                          <w:lang w:val="es-ES"/>
                        </w:rPr>
                        <w:t>e</w:t>
                      </w:r>
                      <w:r w:rsidR="00BC62DC" w:rsidRPr="008965C5">
                        <w:rPr>
                          <w:rFonts w:ascii="Calibri Light" w:hAnsi="Calibri Light" w:cs="Calibri Light"/>
                          <w:lang w:val="es-ES"/>
                        </w:rPr>
                        <w:t xml:space="preserve">n </w:t>
                      </w:r>
                      <w:r w:rsidRPr="008965C5">
                        <w:rPr>
                          <w:rFonts w:ascii="Calibri Light" w:hAnsi="Calibri Light" w:cs="Calibri Light"/>
                          <w:lang w:val="es-ES"/>
                        </w:rPr>
                        <w:t xml:space="preserve">las actuales barreras al asesoramiento independiente (los asesores independientes deben poder acceder fácilmente a las "clases de </w:t>
                      </w:r>
                      <w:r w:rsidR="00BC62DC">
                        <w:rPr>
                          <w:rFonts w:ascii="Calibri Light" w:hAnsi="Calibri Light" w:cs="Calibri Light"/>
                          <w:lang w:val="es-ES"/>
                        </w:rPr>
                        <w:t>limpieza</w:t>
                      </w:r>
                      <w:r w:rsidRPr="008965C5">
                        <w:rPr>
                          <w:rFonts w:ascii="Calibri Light" w:hAnsi="Calibri Light" w:cs="Calibri Light"/>
                          <w:lang w:val="es-ES"/>
                        </w:rPr>
                        <w:t xml:space="preserve">" de los fondos y </w:t>
                      </w:r>
                      <w:r w:rsidR="00240716">
                        <w:rPr>
                          <w:rFonts w:ascii="Calibri Light" w:hAnsi="Calibri Light" w:cs="Calibri Light"/>
                          <w:lang w:val="es-ES"/>
                        </w:rPr>
                        <w:t xml:space="preserve">que </w:t>
                      </w:r>
                      <w:r w:rsidRPr="008965C5">
                        <w:rPr>
                          <w:rFonts w:ascii="Calibri Light" w:hAnsi="Calibri Light" w:cs="Calibri Light"/>
                          <w:lang w:val="es-ES"/>
                        </w:rPr>
                        <w:t xml:space="preserve">no se les </w:t>
                      </w:r>
                      <w:r w:rsidR="00BC62DC" w:rsidRPr="008965C5">
                        <w:rPr>
                          <w:rFonts w:ascii="Calibri Light" w:hAnsi="Calibri Light" w:cs="Calibri Light"/>
                          <w:lang w:val="es-ES"/>
                        </w:rPr>
                        <w:t>cobr</w:t>
                      </w:r>
                      <w:r w:rsidR="00BC62DC">
                        <w:rPr>
                          <w:rFonts w:ascii="Calibri Light" w:hAnsi="Calibri Light" w:cs="Calibri Light"/>
                          <w:lang w:val="es-ES"/>
                        </w:rPr>
                        <w:t>e</w:t>
                      </w:r>
                      <w:r w:rsidR="00BC62DC" w:rsidRPr="008965C5">
                        <w:rPr>
                          <w:rFonts w:ascii="Calibri Light" w:hAnsi="Calibri Light" w:cs="Calibri Light"/>
                          <w:lang w:val="es-ES"/>
                        </w:rPr>
                        <w:t>n</w:t>
                      </w:r>
                      <w:r w:rsidRPr="008965C5">
                        <w:rPr>
                          <w:rFonts w:ascii="Calibri Light" w:hAnsi="Calibri Light" w:cs="Calibri Light"/>
                          <w:lang w:val="es-ES"/>
                        </w:rPr>
                        <w:t>, por parte de los depositarios o las plataformas de fondos, las máximas comisiones de entrada (que no son exigidas por y para los gestores de fondos).</w:t>
                      </w:r>
                    </w:p>
                  </w:txbxContent>
                </v:textbox>
                <w10:wrap type="square" anchorx="margin"/>
              </v:shape>
            </w:pict>
          </mc:Fallback>
        </mc:AlternateContent>
      </w:r>
      <w:r w:rsidRPr="008965C5">
        <w:rPr>
          <w:rFonts w:ascii="Calibri Light" w:hAnsi="Calibri Light" w:cs="Calibri Light"/>
          <w:lang w:val="es-ES"/>
        </w:rPr>
        <w:t xml:space="preserve">BETTER FINANCE pide la prohibición total de los incentivos, no </w:t>
      </w:r>
      <w:r w:rsidR="00FA0B4F">
        <w:rPr>
          <w:rFonts w:ascii="Calibri Light" w:hAnsi="Calibri Light" w:cs="Calibri Light"/>
          <w:lang w:val="es-ES"/>
        </w:rPr>
        <w:t xml:space="preserve">tan </w:t>
      </w:r>
      <w:r w:rsidR="00FA0B4F" w:rsidRPr="008965C5">
        <w:rPr>
          <w:rFonts w:ascii="Calibri Light" w:hAnsi="Calibri Light" w:cs="Calibri Light"/>
          <w:lang w:val="es-ES"/>
        </w:rPr>
        <w:t>s</w:t>
      </w:r>
      <w:r w:rsidR="00FA0B4F">
        <w:rPr>
          <w:rFonts w:ascii="Calibri Light" w:hAnsi="Calibri Light" w:cs="Calibri Light"/>
          <w:lang w:val="es-ES"/>
        </w:rPr>
        <w:t>o</w:t>
      </w:r>
      <w:r w:rsidR="00FA0B4F" w:rsidRPr="008965C5">
        <w:rPr>
          <w:rFonts w:ascii="Calibri Light" w:hAnsi="Calibri Light" w:cs="Calibri Light"/>
          <w:lang w:val="es-ES"/>
        </w:rPr>
        <w:t xml:space="preserve">lo </w:t>
      </w:r>
      <w:r w:rsidRPr="008965C5">
        <w:rPr>
          <w:rFonts w:ascii="Calibri Light" w:hAnsi="Calibri Light" w:cs="Calibri Light"/>
          <w:lang w:val="es-ES"/>
        </w:rPr>
        <w:t xml:space="preserve">para los productos de inversión en el ámbito de </w:t>
      </w:r>
      <w:r w:rsidR="00240716">
        <w:rPr>
          <w:rFonts w:ascii="Calibri Light" w:hAnsi="Calibri Light" w:cs="Calibri Light"/>
          <w:lang w:val="es-ES"/>
        </w:rPr>
        <w:t xml:space="preserve">la </w:t>
      </w:r>
      <w:r w:rsidRPr="008965C5">
        <w:rPr>
          <w:rFonts w:ascii="Calibri Light" w:hAnsi="Calibri Light" w:cs="Calibri Light"/>
          <w:lang w:val="es-ES"/>
        </w:rPr>
        <w:t xml:space="preserve">MIFID II (principalmente los fondos de inversión, que representan sólo alrededor del 8% del ahorro financiero de los hogares), sino para todos los demás productos de inversión "minoristas" como los "IBIP" (productos de inversión basados en seguros) y los productos de pensiones personales, que en conjunto son cinco veces mayores. Ya existe un arbitraje reglamentario masivo debido a esta grave y perjudicial incoherencia en las normas de protección de los inversores </w:t>
      </w:r>
      <w:r w:rsidRPr="008965C5">
        <w:rPr>
          <w:rFonts w:ascii="Calibri Light" w:hAnsi="Calibri Light" w:cs="Calibri Light"/>
          <w:lang w:val="es-ES"/>
        </w:rPr>
        <w:lastRenderedPageBreak/>
        <w:t xml:space="preserve">de la UE. </w:t>
      </w:r>
    </w:p>
    <w:p w14:paraId="1302BA29" w14:textId="77777777" w:rsidR="00DB3013" w:rsidRPr="008965C5" w:rsidRDefault="008965C5">
      <w:pPr>
        <w:spacing w:after="0" w:line="264" w:lineRule="auto"/>
        <w:jc w:val="center"/>
        <w:rPr>
          <w:rFonts w:ascii="Calibri Light" w:hAnsi="Calibri Light" w:cs="Calibri Light"/>
          <w:lang w:val="es-ES"/>
        </w:rPr>
      </w:pPr>
      <w:r w:rsidRPr="008965C5">
        <w:rPr>
          <w:rFonts w:ascii="Calibri Light" w:hAnsi="Calibri Light" w:cs="Calibri Light"/>
          <w:lang w:val="es-ES"/>
        </w:rPr>
        <w:t>***</w:t>
      </w:r>
    </w:p>
    <w:p w14:paraId="1302BA2A" w14:textId="10EA5FD5" w:rsidR="00DB3013" w:rsidRPr="008965C5" w:rsidRDefault="008965C5">
      <w:pPr>
        <w:pStyle w:val="Textoindependiente"/>
        <w:spacing w:before="120" w:after="0" w:line="30" w:lineRule="atLeast"/>
        <w:jc w:val="center"/>
        <w:rPr>
          <w:lang w:val="es-ES"/>
        </w:rPr>
      </w:pPr>
      <w:r w:rsidRPr="008965C5">
        <w:rPr>
          <w:rFonts w:ascii="Calibri Light" w:hAnsi="Calibri Light" w:cs="Calibri Light"/>
          <w:sz w:val="18"/>
          <w:szCs w:val="18"/>
          <w:u w:val="single"/>
          <w:lang w:val="es-ES"/>
        </w:rPr>
        <w:t>Contacto</w:t>
      </w:r>
      <w:r w:rsidRPr="008965C5">
        <w:rPr>
          <w:rFonts w:ascii="Calibri Light" w:hAnsi="Calibri Light" w:cs="Calibri Light"/>
          <w:sz w:val="18"/>
          <w:szCs w:val="18"/>
          <w:lang w:val="es-ES"/>
        </w:rPr>
        <w:t xml:space="preserve">: </w:t>
      </w:r>
      <w:r w:rsidR="00BC62DC">
        <w:rPr>
          <w:rFonts w:ascii="Calibri Light" w:hAnsi="Calibri Light" w:cs="Calibri Light"/>
          <w:sz w:val="18"/>
          <w:szCs w:val="18"/>
          <w:lang w:val="es-ES"/>
        </w:rPr>
        <w:t>Director de Comunicación</w:t>
      </w:r>
      <w:r w:rsidRPr="008965C5">
        <w:rPr>
          <w:rFonts w:ascii="Calibri Light" w:hAnsi="Calibri Light" w:cs="Calibri Light"/>
          <w:sz w:val="18"/>
          <w:szCs w:val="18"/>
          <w:lang w:val="es-ES"/>
        </w:rPr>
        <w:t xml:space="preserve"> ǀ Arnaud Houdmont ǀ +32 (0)2 514 37 77 ǀ </w:t>
      </w:r>
      <w:hyperlink r:id="rId11" w:history="1">
        <w:r w:rsidRPr="008965C5">
          <w:rPr>
            <w:rStyle w:val="Hipervnculo"/>
            <w:rFonts w:ascii="Calibri Light" w:hAnsi="Calibri Light" w:cs="Calibri Light"/>
            <w:sz w:val="18"/>
            <w:szCs w:val="18"/>
            <w:lang w:val="es-ES"/>
          </w:rPr>
          <w:t>houdmont@betterfinance.eu</w:t>
        </w:r>
      </w:hyperlink>
    </w:p>
    <w:sectPr w:rsidR="00DB3013" w:rsidRPr="008965C5">
      <w:headerReference w:type="default" r:id="rId12"/>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B830" w14:textId="77777777" w:rsidR="0035645E" w:rsidRDefault="0035645E">
      <w:pPr>
        <w:spacing w:after="0" w:line="240" w:lineRule="auto"/>
      </w:pPr>
      <w:r>
        <w:separator/>
      </w:r>
    </w:p>
  </w:endnote>
  <w:endnote w:type="continuationSeparator" w:id="0">
    <w:p w14:paraId="672E17DC" w14:textId="77777777" w:rsidR="0035645E" w:rsidRDefault="0035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BA31" w14:textId="77777777" w:rsidR="00283D1E" w:rsidRPr="008965C5" w:rsidRDefault="008965C5">
    <w:pPr>
      <w:spacing w:before="120" w:after="0" w:line="240" w:lineRule="auto"/>
      <w:ind w:left="-567"/>
      <w:jc w:val="center"/>
      <w:rPr>
        <w:b/>
        <w:color w:val="006FB4"/>
        <w:sz w:val="16"/>
        <w:szCs w:val="16"/>
        <w:lang w:val="es-ES"/>
      </w:rPr>
    </w:pPr>
    <w:r w:rsidRPr="008965C5">
      <w:rPr>
        <w:b/>
        <w:color w:val="006FB4"/>
        <w:sz w:val="16"/>
        <w:szCs w:val="16"/>
        <w:lang w:val="es-ES"/>
      </w:rPr>
      <w:t>La Federación Europea de Inversores y Usuarios de Servicios Financieros</w:t>
    </w:r>
  </w:p>
  <w:p w14:paraId="1302BA32" w14:textId="77777777" w:rsidR="00283D1E" w:rsidRDefault="008965C5">
    <w:pPr>
      <w:spacing w:after="0" w:line="240" w:lineRule="auto"/>
      <w:ind w:left="-567"/>
      <w:jc w:val="center"/>
      <w:rPr>
        <w:color w:val="006FB4"/>
        <w:sz w:val="16"/>
        <w:szCs w:val="16"/>
        <w:lang w:val="de-DE"/>
      </w:rPr>
    </w:pPr>
    <w:r>
      <w:rPr>
        <w:color w:val="006FB4"/>
        <w:sz w:val="16"/>
        <w:szCs w:val="16"/>
        <w:lang w:val="de-DE"/>
      </w:rPr>
      <w:t>44, Rue d'Arenberg, 1000 Bruselas - Bélgica</w:t>
    </w:r>
  </w:p>
  <w:p w14:paraId="1302BA33" w14:textId="77777777" w:rsidR="00283D1E" w:rsidRPr="008965C5" w:rsidRDefault="008965C5">
    <w:pPr>
      <w:spacing w:after="0" w:line="240" w:lineRule="auto"/>
      <w:ind w:left="-567"/>
      <w:jc w:val="center"/>
      <w:rPr>
        <w:lang w:val="es-ES"/>
      </w:rPr>
    </w:pPr>
    <w:r>
      <w:rPr>
        <w:color w:val="006FB4"/>
        <w:sz w:val="16"/>
        <w:szCs w:val="16"/>
        <w:lang w:val="de-DE"/>
      </w:rPr>
      <w:t xml:space="preserve">Tel. (+32) 02 514 37 77 - Fax. </w:t>
    </w:r>
    <w:r>
      <w:rPr>
        <w:color w:val="006FB4"/>
        <w:sz w:val="16"/>
        <w:szCs w:val="16"/>
        <w:lang w:val="pt-PT"/>
      </w:rPr>
      <w:t>(+32) 02 514 36 66</w:t>
    </w:r>
  </w:p>
  <w:p w14:paraId="1302BA34" w14:textId="77777777" w:rsidR="00283D1E" w:rsidRPr="008965C5" w:rsidRDefault="00981ACD">
    <w:pPr>
      <w:spacing w:after="0" w:line="240" w:lineRule="auto"/>
      <w:ind w:left="-567"/>
      <w:jc w:val="center"/>
      <w:rPr>
        <w:lang w:val="es-ES"/>
      </w:rPr>
    </w:pPr>
    <w:hyperlink r:id="rId1" w:history="1">
      <w:r w:rsidR="008965C5">
        <w:rPr>
          <w:color w:val="006FB4"/>
          <w:sz w:val="16"/>
          <w:szCs w:val="16"/>
          <w:u w:val="single"/>
          <w:lang w:val="it-IT"/>
        </w:rPr>
        <w:t>Correo electrónico</w:t>
      </w:r>
    </w:hyperlink>
    <w:r w:rsidR="008965C5">
      <w:rPr>
        <w:color w:val="006FB4"/>
        <w:sz w:val="16"/>
        <w:szCs w:val="16"/>
        <w:lang w:val="pt-PT"/>
      </w:rPr>
      <w:t xml:space="preserve">: info@betterfinance.eu - </w:t>
    </w:r>
    <w:bookmarkStart w:id="2" w:name="_Hlk944867"/>
    <w:r w:rsidR="008965C5">
      <w:fldChar w:fldCharType="begin"/>
    </w:r>
    <w:r w:rsidR="008965C5" w:rsidRPr="008965C5">
      <w:rPr>
        <w:lang w:val="es-ES"/>
      </w:rPr>
      <w:instrText xml:space="preserve"> HYPERLINK  "http://www.eurofinuse.org" </w:instrText>
    </w:r>
    <w:r w:rsidR="008965C5">
      <w:fldChar w:fldCharType="separate"/>
    </w:r>
    <w:r w:rsidR="008965C5">
      <w:rPr>
        <w:color w:val="006FB4"/>
        <w:sz w:val="16"/>
        <w:szCs w:val="16"/>
        <w:u w:val="single"/>
        <w:lang w:val="it-IT"/>
      </w:rPr>
      <w:t xml:space="preserve">http://www.betterfinance.eu </w:t>
    </w:r>
    <w:r w:rsidR="008965C5">
      <w:rPr>
        <w:color w:val="006FB4"/>
        <w:sz w:val="16"/>
        <w:szCs w:val="16"/>
        <w:u w:val="single"/>
        <w:lang w:val="it-IT"/>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E29D0" w14:textId="77777777" w:rsidR="0035645E" w:rsidRDefault="0035645E">
      <w:pPr>
        <w:spacing w:after="0" w:line="240" w:lineRule="auto"/>
      </w:pPr>
      <w:r>
        <w:rPr>
          <w:color w:val="000000"/>
        </w:rPr>
        <w:separator/>
      </w:r>
    </w:p>
  </w:footnote>
  <w:footnote w:type="continuationSeparator" w:id="0">
    <w:p w14:paraId="67CDB722" w14:textId="77777777" w:rsidR="0035645E" w:rsidRDefault="0035645E">
      <w:pPr>
        <w:spacing w:after="0" w:line="240" w:lineRule="auto"/>
      </w:pPr>
      <w:r>
        <w:continuationSeparator/>
      </w:r>
    </w:p>
  </w:footnote>
  <w:footnote w:id="1">
    <w:p w14:paraId="1302BA26" w14:textId="4EDB73BE" w:rsidR="00DB3013" w:rsidRPr="008965C5" w:rsidRDefault="008965C5">
      <w:pPr>
        <w:pStyle w:val="Textonotapie"/>
        <w:rPr>
          <w:lang w:val="es-ES"/>
        </w:rPr>
      </w:pPr>
      <w:r>
        <w:rPr>
          <w:rStyle w:val="Refdenotaalpie"/>
        </w:rPr>
        <w:footnoteRef/>
      </w:r>
      <w:r w:rsidRPr="008965C5">
        <w:rPr>
          <w:rFonts w:ascii="Calibri Light" w:hAnsi="Calibri Light" w:cs="Calibri Light"/>
          <w:lang w:val="es-ES"/>
        </w:rPr>
        <w:t xml:space="preserve"> "</w:t>
      </w:r>
      <w:r w:rsidR="00B266FE">
        <w:rPr>
          <w:rFonts w:ascii="Calibri Light" w:hAnsi="Calibri Light" w:cs="Calibri Light"/>
          <w:lang w:val="es-ES"/>
        </w:rPr>
        <w:t>Incentivos</w:t>
      </w:r>
      <w:r w:rsidRPr="008965C5">
        <w:rPr>
          <w:rFonts w:ascii="Calibri Light" w:hAnsi="Calibri Light" w:cs="Calibri Light"/>
          <w:lang w:val="es-ES"/>
        </w:rPr>
        <w:t xml:space="preserve">" es el término jurídico </w:t>
      </w:r>
      <w:r w:rsidR="00B266FE">
        <w:rPr>
          <w:rFonts w:ascii="Calibri Light" w:hAnsi="Calibri Light" w:cs="Calibri Light"/>
          <w:lang w:val="es-ES"/>
        </w:rPr>
        <w:t>confuso</w:t>
      </w:r>
      <w:r w:rsidRPr="008965C5">
        <w:rPr>
          <w:rFonts w:ascii="Calibri Light" w:hAnsi="Calibri Light" w:cs="Calibri Light"/>
          <w:lang w:val="es-ES"/>
        </w:rPr>
        <w:t xml:space="preserve"> que se utiliza en la legislación de la Unión Europea para designar las ventajas (esencialmente comisiones) pagadas por los proveedores a los distribuidores por la venta de algunos de sus productos de inversión.</w:t>
      </w:r>
    </w:p>
  </w:footnote>
  <w:footnote w:id="2">
    <w:p w14:paraId="1302BA27" w14:textId="53F41B36" w:rsidR="00DB3013" w:rsidRPr="008965C5" w:rsidRDefault="008965C5">
      <w:pPr>
        <w:pStyle w:val="Textonotapie"/>
        <w:rPr>
          <w:lang w:val="es-ES"/>
        </w:rPr>
      </w:pPr>
      <w:r>
        <w:rPr>
          <w:rStyle w:val="Refdenotaalpie"/>
        </w:rPr>
        <w:footnoteRef/>
      </w:r>
      <w:r w:rsidRPr="008965C5">
        <w:rPr>
          <w:rFonts w:ascii="Calibri Light" w:hAnsi="Calibri Light" w:cs="Calibri Light"/>
          <w:lang w:val="es-ES"/>
        </w:rPr>
        <w:t xml:space="preserve"> </w:t>
      </w:r>
      <w:hyperlink r:id="rId1" w:history="1">
        <w:r w:rsidRPr="008965C5">
          <w:rPr>
            <w:rStyle w:val="Hipervnculo"/>
            <w:rFonts w:ascii="Calibri Light" w:hAnsi="Calibri Light" w:cs="Calibri Light"/>
            <w:lang w:val="es-ES"/>
          </w:rPr>
          <w:t xml:space="preserve">Informe de investigación </w:t>
        </w:r>
      </w:hyperlink>
      <w:r w:rsidR="00B266FE">
        <w:rPr>
          <w:rStyle w:val="Hipervnculo"/>
          <w:rFonts w:ascii="Calibri Light" w:hAnsi="Calibri Light" w:cs="Calibri Light"/>
          <w:lang w:val="es-ES"/>
        </w:rPr>
        <w:t xml:space="preserve">de </w:t>
      </w:r>
      <w:r w:rsidRPr="008965C5">
        <w:rPr>
          <w:rFonts w:ascii="Calibri Light" w:hAnsi="Calibri Light" w:cs="Calibri Light"/>
          <w:lang w:val="es-ES"/>
        </w:rPr>
        <w:t>BETTER FINANCE "</w:t>
      </w:r>
      <w:r w:rsidR="00B266FE">
        <w:rPr>
          <w:rFonts w:ascii="Calibri Light" w:hAnsi="Calibri Light" w:cs="Calibri Light"/>
          <w:lang w:val="es-ES"/>
        </w:rPr>
        <w:t>Pension Savings – The Real Return</w:t>
      </w:r>
      <w:r w:rsidRPr="008965C5">
        <w:rPr>
          <w:rFonts w:ascii="Calibri Light" w:hAnsi="Calibri Light" w:cs="Calibri Light"/>
          <w:lang w:val="es-ES"/>
        </w:rPr>
        <w:t>", edición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BA2C" w14:textId="77777777" w:rsidR="00283D1E" w:rsidRDefault="008965C5">
    <w:pPr>
      <w:pStyle w:val="Encabezado"/>
    </w:pPr>
    <w:r>
      <w:rPr>
        <w:noProof/>
        <w:lang w:val="ca-ES" w:eastAsia="ca-ES"/>
      </w:rPr>
      <w:drawing>
        <wp:anchor distT="0" distB="0" distL="114300" distR="114300" simplePos="0" relativeHeight="251659264" behindDoc="0" locked="0" layoutInCell="1" allowOverlap="1" wp14:anchorId="1302BA24" wp14:editId="1302BA25">
          <wp:simplePos x="0" y="0"/>
          <wp:positionH relativeFrom="margin">
            <wp:posOffset>2564133</wp:posOffset>
          </wp:positionH>
          <wp:positionV relativeFrom="paragraph">
            <wp:posOffset>-265432</wp:posOffset>
          </wp:positionV>
          <wp:extent cx="3138165" cy="645164"/>
          <wp:effectExtent l="0" t="0" r="5085" b="2536"/>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8165" cy="645164"/>
                  </a:xfrm>
                  <a:prstGeom prst="rect">
                    <a:avLst/>
                  </a:prstGeom>
                  <a:noFill/>
                  <a:ln>
                    <a:noFill/>
                    <a:prstDash/>
                  </a:ln>
                </pic:spPr>
              </pic:pic>
            </a:graphicData>
          </a:graphic>
        </wp:anchor>
      </w:drawing>
    </w:r>
  </w:p>
  <w:p w14:paraId="1302BA2D" w14:textId="77777777" w:rsidR="00283D1E" w:rsidRDefault="0031597D">
    <w:pPr>
      <w:pStyle w:val="Encabezado"/>
    </w:pPr>
  </w:p>
  <w:p w14:paraId="1302BA2E" w14:textId="77777777" w:rsidR="00283D1E" w:rsidRDefault="0031597D">
    <w:pPr>
      <w:pStyle w:val="Encabezado"/>
      <w:rPr>
        <w:sz w:val="12"/>
        <w:szCs w:val="12"/>
      </w:rPr>
    </w:pPr>
  </w:p>
  <w:p w14:paraId="1302BA2F" w14:textId="77777777" w:rsidR="00283D1E" w:rsidRDefault="0031597D">
    <w:pPr>
      <w:pStyle w:val="Encabezad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4F7F"/>
    <w:multiLevelType w:val="multilevel"/>
    <w:tmpl w:val="2870BA9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FC26E16"/>
    <w:multiLevelType w:val="multilevel"/>
    <w:tmpl w:val="0BA4F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B3013"/>
    <w:rsid w:val="00036A71"/>
    <w:rsid w:val="00240716"/>
    <w:rsid w:val="0031597D"/>
    <w:rsid w:val="0035645E"/>
    <w:rsid w:val="008965C5"/>
    <w:rsid w:val="00981ACD"/>
    <w:rsid w:val="009D2E9E"/>
    <w:rsid w:val="00B266FE"/>
    <w:rsid w:val="00BC62DC"/>
    <w:rsid w:val="00DB3013"/>
    <w:rsid w:val="00E323FE"/>
    <w:rsid w:val="00E362DF"/>
    <w:rsid w:val="00FA0B4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BA1B"/>
  <w15:docId w15:val="{F9B4E924-7FF8-4002-A57B-08E884B9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240" w:after="0"/>
      <w:outlineLvl w:val="0"/>
    </w:pPr>
    <w:rPr>
      <w:rFonts w:ascii="Cambria" w:eastAsia="SimSun" w:hAnsi="Cambria" w:cs="Times New Roman"/>
      <w:color w:val="365F91"/>
      <w:sz w:val="32"/>
      <w:szCs w:val="32"/>
    </w:rPr>
  </w:style>
  <w:style w:type="paragraph" w:styleId="Ttulo2">
    <w:name w:val="heading 2"/>
    <w:basedOn w:val="Normal"/>
    <w:next w:val="Normal"/>
    <w:uiPriority w:val="9"/>
    <w:unhideWhenUsed/>
    <w:qFormat/>
    <w:pPr>
      <w:keepNext/>
      <w:keepLines/>
      <w:spacing w:before="40" w:after="0"/>
      <w:outlineLvl w:val="1"/>
    </w:pPr>
    <w:rPr>
      <w:rFonts w:ascii="Cambria" w:eastAsia="SimSu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spacing w:after="0" w:line="240" w:lineRule="auto"/>
    </w:pPr>
  </w:style>
  <w:style w:type="character" w:customStyle="1" w:styleId="HeaderChar">
    <w:name w:val="Header Char"/>
    <w:basedOn w:val="Fuentedeprrafopredeter"/>
  </w:style>
  <w:style w:type="paragraph" w:styleId="Piedepgina">
    <w:name w:val="footer"/>
    <w:basedOn w:val="Normal"/>
    <w:pPr>
      <w:tabs>
        <w:tab w:val="center" w:pos="4536"/>
        <w:tab w:val="right" w:pos="9072"/>
      </w:tabs>
      <w:spacing w:after="0" w:line="240" w:lineRule="auto"/>
    </w:pPr>
  </w:style>
  <w:style w:type="character" w:customStyle="1" w:styleId="FooterChar">
    <w:name w:val="Footer Char"/>
    <w:basedOn w:val="Fuentedeprrafopredeter"/>
  </w:style>
  <w:style w:type="paragraph" w:styleId="Textoindependiente">
    <w:name w:val="Body Text"/>
    <w:basedOn w:val="Normal"/>
    <w:pPr>
      <w:spacing w:line="240" w:lineRule="exact"/>
    </w:pPr>
    <w:rPr>
      <w:rFonts w:ascii="Tahoma" w:eastAsia="Times New Roman" w:hAnsi="Tahoma" w:cs="Times New Roman"/>
      <w:spacing w:val="10"/>
      <w:sz w:val="17"/>
      <w:szCs w:val="20"/>
      <w:lang w:val="en-US"/>
    </w:rPr>
  </w:style>
  <w:style w:type="character" w:customStyle="1" w:styleId="BodyTextChar">
    <w:name w:val="Body Text Char"/>
    <w:basedOn w:val="Fuentedeprrafopredeter"/>
    <w:rPr>
      <w:rFonts w:ascii="Tahoma" w:eastAsia="Times New Roman" w:hAnsi="Tahoma" w:cs="Times New Roman"/>
      <w:spacing w:val="10"/>
      <w:sz w:val="17"/>
      <w:szCs w:val="20"/>
      <w:lang w:val="en-US"/>
    </w:rPr>
  </w:style>
  <w:style w:type="paragraph" w:styleId="Ttulo">
    <w:name w:val="Title"/>
    <w:basedOn w:val="Normal"/>
    <w:next w:val="Normal"/>
    <w:uiPriority w:val="10"/>
    <w:qFormat/>
    <w:pPr>
      <w:spacing w:after="0" w:line="240" w:lineRule="auto"/>
    </w:pPr>
    <w:rPr>
      <w:rFonts w:ascii="Cambria" w:eastAsia="SimSun" w:hAnsi="Cambria" w:cs="Times New Roman"/>
      <w:spacing w:val="-10"/>
      <w:kern w:val="3"/>
      <w:sz w:val="56"/>
      <w:szCs w:val="56"/>
    </w:rPr>
  </w:style>
  <w:style w:type="character" w:customStyle="1" w:styleId="TitleChar">
    <w:name w:val="Title Char"/>
    <w:basedOn w:val="Fuentedeprrafopredeter"/>
    <w:rPr>
      <w:rFonts w:ascii="Cambria" w:eastAsia="SimSun" w:hAnsi="Cambria" w:cs="Times New Roman"/>
      <w:spacing w:val="-10"/>
      <w:kern w:val="3"/>
      <w:sz w:val="56"/>
      <w:szCs w:val="56"/>
    </w:rPr>
  </w:style>
  <w:style w:type="paragraph" w:styleId="Textodeglobo">
    <w:name w:val="Balloon Text"/>
    <w:basedOn w:val="Normal"/>
    <w:pPr>
      <w:spacing w:after="0" w:line="240" w:lineRule="auto"/>
    </w:pPr>
    <w:rPr>
      <w:rFonts w:ascii="Times New Roman" w:hAnsi="Times New Roman" w:cs="Times New Roman"/>
      <w:sz w:val="18"/>
      <w:szCs w:val="18"/>
    </w:rPr>
  </w:style>
  <w:style w:type="character" w:customStyle="1" w:styleId="BalloonTextChar">
    <w:name w:val="Balloon Text Char"/>
    <w:basedOn w:val="Fuentedeprrafopredeter"/>
    <w:rPr>
      <w:rFonts w:ascii="Times New Roman" w:hAnsi="Times New Roman" w:cs="Times New Roman"/>
      <w:sz w:val="18"/>
      <w:szCs w:val="18"/>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styleId="Textonotapie">
    <w:name w:val="footnote text"/>
    <w:basedOn w:val="Normal"/>
    <w:pPr>
      <w:spacing w:after="0" w:line="240" w:lineRule="auto"/>
    </w:pPr>
    <w:rPr>
      <w:sz w:val="20"/>
      <w:szCs w:val="20"/>
    </w:rPr>
  </w:style>
  <w:style w:type="character" w:customStyle="1" w:styleId="FootnoteTextChar">
    <w:name w:val="Footnote Text Char"/>
    <w:basedOn w:val="Fuentedeprrafopredeter"/>
    <w:rPr>
      <w:sz w:val="20"/>
      <w:szCs w:val="20"/>
    </w:rPr>
  </w:style>
  <w:style w:type="character" w:styleId="Refdenotaalpie">
    <w:name w:val="footnote reference"/>
    <w:basedOn w:val="Fuentedeprrafopredeter"/>
    <w:rPr>
      <w:position w:val="0"/>
      <w:vertAlign w:val="superscript"/>
    </w:rPr>
  </w:style>
  <w:style w:type="character" w:styleId="Textoennegrita">
    <w:name w:val="Strong"/>
    <w:rPr>
      <w:b/>
      <w:bCs/>
    </w:rPr>
  </w:style>
  <w:style w:type="character" w:styleId="Hipervnculo">
    <w:name w:val="Hyperlink"/>
    <w:basedOn w:val="Fuentedeprrafopredeter"/>
    <w:rPr>
      <w:color w:val="0000FF"/>
      <w:u w:val="single"/>
    </w:rPr>
  </w:style>
  <w:style w:type="character" w:customStyle="1" w:styleId="Mencinsinresolver1">
    <w:name w:val="Mención sin resolver1"/>
    <w:basedOn w:val="Fuentedeprrafopredeter"/>
    <w:rPr>
      <w:color w:val="605E5C"/>
      <w:shd w:val="clear" w:color="auto" w:fill="E1DFDD"/>
    </w:rPr>
  </w:style>
  <w:style w:type="character" w:styleId="Hipervnculovisitado">
    <w:name w:val="FollowedHyperlink"/>
    <w:basedOn w:val="Fuentedeprrafopredeter"/>
    <w:rPr>
      <w:color w:val="800080"/>
      <w:u w:val="single"/>
    </w:rPr>
  </w:style>
  <w:style w:type="character" w:customStyle="1" w:styleId="Heading2Char">
    <w:name w:val="Heading 2 Char"/>
    <w:basedOn w:val="Fuentedeprrafopredeter"/>
    <w:rPr>
      <w:rFonts w:ascii="Cambria" w:eastAsia="SimSun" w:hAnsi="Cambria" w:cs="Times New Roman"/>
      <w:color w:val="365F91"/>
      <w:sz w:val="26"/>
      <w:szCs w:val="26"/>
    </w:rPr>
  </w:style>
  <w:style w:type="paragraph" w:styleId="Prrafodelista">
    <w:name w:val="List Paragraph"/>
    <w:basedOn w:val="Normal"/>
    <w:pPr>
      <w:ind w:left="720"/>
    </w:pPr>
  </w:style>
  <w:style w:type="character" w:customStyle="1" w:styleId="Heading1Char">
    <w:name w:val="Heading 1 Char"/>
    <w:basedOn w:val="Fuentedeprrafopredeter"/>
    <w:rPr>
      <w:rFonts w:ascii="Cambria" w:eastAsia="SimSun" w:hAnsi="Cambria" w:cs="Times New Roman"/>
      <w:color w:val="365F91"/>
      <w:sz w:val="32"/>
      <w:szCs w:val="32"/>
    </w:rPr>
  </w:style>
  <w:style w:type="character" w:customStyle="1" w:styleId="tlid-translation">
    <w:name w:val="tlid-translation"/>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dmont@betterfinance.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sma.europa.eu/sites/default/files/library/esma35-43-2126_technical_advice_on_inducements_and_costs_and_charges_disclosur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rofinus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etterfinance.eu/publication/pension-savings-the-real-return-2019-ed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63A1F-6A37-4A0D-B222-D7C0C85CB8D6}">
  <ds:schemaRefs>
    <ds:schemaRef ds:uri="http://schemas.microsoft.com/sharepoint/v3/contenttype/forms"/>
  </ds:schemaRefs>
</ds:datastoreItem>
</file>

<file path=customXml/itemProps2.xml><?xml version="1.0" encoding="utf-8"?>
<ds:datastoreItem xmlns:ds="http://schemas.openxmlformats.org/officeDocument/2006/customXml" ds:itemID="{2B39D123-92E8-422C-A2AB-786E70FD7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CDE07-6ED1-4E2A-98A4-42E44DAFCD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Houdmont</dc:creator>
  <cp:lastModifiedBy>Usuario</cp:lastModifiedBy>
  <cp:revision>5</cp:revision>
  <cp:lastPrinted>2019-03-22T09:41:00Z</cp:lastPrinted>
  <dcterms:created xsi:type="dcterms:W3CDTF">2020-12-07T08:28:00Z</dcterms:created>
  <dcterms:modified xsi:type="dcterms:W3CDTF">2020-12-21T18:00:00Z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ies>
</file>