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85481" w14:textId="062A90D5" w:rsidR="00153BB2" w:rsidRPr="00441B7C" w:rsidRDefault="00153BB2">
      <w:pPr>
        <w:rPr>
          <w:lang w:val="es-ES_tradnl"/>
        </w:rPr>
      </w:pPr>
    </w:p>
    <w:p w14:paraId="1D285482" w14:textId="14469674" w:rsidR="00153BB2" w:rsidRPr="00441B7C" w:rsidRDefault="00E62A76">
      <w:pPr>
        <w:pStyle w:val="Ttulo2"/>
        <w:spacing w:after="80"/>
        <w:jc w:val="both"/>
        <w:rPr>
          <w:rFonts w:ascii="Calibri Light" w:eastAsia="Calibri" w:hAnsi="Calibri Light" w:cs="Calibri Light"/>
          <w:b/>
          <w:spacing w:val="20"/>
          <w:kern w:val="3"/>
          <w:sz w:val="28"/>
          <w:szCs w:val="28"/>
          <w:lang w:val="es-ES_tradnl"/>
        </w:rPr>
      </w:pPr>
      <w:bookmarkStart w:id="0" w:name="_Hlk4143464"/>
      <w:r w:rsidRPr="00441B7C">
        <w:rPr>
          <w:rFonts w:ascii="Calibri Light" w:eastAsia="Calibri" w:hAnsi="Calibri Light" w:cs="Calibri Light"/>
          <w:b/>
          <w:spacing w:val="20"/>
          <w:kern w:val="3"/>
          <w:sz w:val="28"/>
          <w:szCs w:val="28"/>
          <w:lang w:val="es-ES_tradnl"/>
        </w:rPr>
        <w:t xml:space="preserve">Los ciudadanos de la UE son marginados </w:t>
      </w:r>
      <w:r w:rsidR="00265B3F" w:rsidRPr="00441B7C">
        <w:rPr>
          <w:rFonts w:ascii="Calibri Light" w:eastAsia="Calibri" w:hAnsi="Calibri Light" w:cs="Calibri Light"/>
          <w:b/>
          <w:spacing w:val="20"/>
          <w:kern w:val="3"/>
          <w:sz w:val="28"/>
          <w:szCs w:val="28"/>
          <w:lang w:val="es-ES_tradnl"/>
        </w:rPr>
        <w:t xml:space="preserve">en su condición de usuarios </w:t>
      </w:r>
      <w:r w:rsidRPr="00441B7C">
        <w:rPr>
          <w:rFonts w:ascii="Calibri Light" w:eastAsia="Calibri" w:hAnsi="Calibri Light" w:cs="Calibri Light"/>
          <w:b/>
          <w:spacing w:val="20"/>
          <w:kern w:val="3"/>
          <w:sz w:val="28"/>
          <w:szCs w:val="28"/>
          <w:lang w:val="es-ES_tradnl"/>
        </w:rPr>
        <w:t xml:space="preserve">en favor de la industria financiera en la elaboración </w:t>
      </w:r>
      <w:r w:rsidR="00265B3F" w:rsidRPr="00441B7C">
        <w:rPr>
          <w:rFonts w:ascii="Calibri Light" w:eastAsia="Calibri" w:hAnsi="Calibri Light" w:cs="Calibri Light"/>
          <w:b/>
          <w:spacing w:val="20"/>
          <w:kern w:val="3"/>
          <w:sz w:val="28"/>
          <w:szCs w:val="28"/>
          <w:lang w:val="es-ES_tradnl"/>
        </w:rPr>
        <w:t xml:space="preserve">y supervisión </w:t>
      </w:r>
      <w:r w:rsidRPr="00441B7C">
        <w:rPr>
          <w:rFonts w:ascii="Calibri Light" w:eastAsia="Calibri" w:hAnsi="Calibri Light" w:cs="Calibri Light"/>
          <w:b/>
          <w:spacing w:val="20"/>
          <w:kern w:val="3"/>
          <w:sz w:val="28"/>
          <w:szCs w:val="28"/>
          <w:lang w:val="es-ES_tradnl"/>
        </w:rPr>
        <w:t xml:space="preserve">de </w:t>
      </w:r>
      <w:r w:rsidR="00265B3F" w:rsidRPr="00441B7C">
        <w:rPr>
          <w:rFonts w:ascii="Calibri Light" w:eastAsia="Calibri" w:hAnsi="Calibri Light" w:cs="Calibri Light"/>
          <w:b/>
          <w:spacing w:val="20"/>
          <w:kern w:val="3"/>
          <w:sz w:val="28"/>
          <w:szCs w:val="28"/>
          <w:lang w:val="es-ES_tradnl"/>
        </w:rPr>
        <w:t xml:space="preserve">las </w:t>
      </w:r>
      <w:r w:rsidRPr="00441B7C">
        <w:rPr>
          <w:rFonts w:ascii="Calibri Light" w:eastAsia="Calibri" w:hAnsi="Calibri Light" w:cs="Calibri Light"/>
          <w:b/>
          <w:spacing w:val="20"/>
          <w:kern w:val="3"/>
          <w:sz w:val="28"/>
          <w:szCs w:val="28"/>
          <w:lang w:val="es-ES_tradnl"/>
        </w:rPr>
        <w:t>políticas financiera</w:t>
      </w:r>
      <w:r w:rsidR="00265B3F" w:rsidRPr="00441B7C">
        <w:rPr>
          <w:rFonts w:ascii="Calibri Light" w:eastAsia="Calibri" w:hAnsi="Calibri Light" w:cs="Calibri Light"/>
          <w:b/>
          <w:spacing w:val="20"/>
          <w:kern w:val="3"/>
          <w:sz w:val="28"/>
          <w:szCs w:val="28"/>
          <w:lang w:val="es-ES_tradnl"/>
        </w:rPr>
        <w:t>s</w:t>
      </w:r>
      <w:r w:rsidRPr="00441B7C">
        <w:rPr>
          <w:rFonts w:ascii="Calibri Light" w:eastAsia="Calibri" w:hAnsi="Calibri Light" w:cs="Calibri Light"/>
          <w:b/>
          <w:spacing w:val="20"/>
          <w:kern w:val="3"/>
          <w:sz w:val="28"/>
          <w:szCs w:val="28"/>
          <w:lang w:val="es-ES_tradnl"/>
        </w:rPr>
        <w:t xml:space="preserve"> europea</w:t>
      </w:r>
      <w:r w:rsidR="00265B3F" w:rsidRPr="00441B7C">
        <w:rPr>
          <w:rFonts w:ascii="Calibri Light" w:eastAsia="Calibri" w:hAnsi="Calibri Light" w:cs="Calibri Light"/>
          <w:b/>
          <w:spacing w:val="20"/>
          <w:kern w:val="3"/>
          <w:sz w:val="28"/>
          <w:szCs w:val="28"/>
          <w:lang w:val="es-ES_tradnl"/>
        </w:rPr>
        <w:t>s</w:t>
      </w:r>
    </w:p>
    <w:p w14:paraId="1D285483" w14:textId="2FE67960" w:rsidR="00153BB2" w:rsidRPr="00441B7C" w:rsidRDefault="00E62A76">
      <w:pPr>
        <w:spacing w:after="120" w:line="240" w:lineRule="auto"/>
        <w:jc w:val="both"/>
        <w:rPr>
          <w:lang w:val="es-ES_tradnl"/>
        </w:rPr>
      </w:pPr>
      <w:r w:rsidRPr="00441B7C">
        <w:rPr>
          <w:rFonts w:ascii="Calibri Light" w:eastAsia="Times New Roman" w:hAnsi="Calibri Light" w:cs="Calibri Light"/>
          <w:b/>
          <w:bCs/>
          <w:lang w:val="es-ES_tradnl"/>
        </w:rPr>
        <w:t xml:space="preserve">Bruselas, 20 de julio de 2020 </w:t>
      </w:r>
      <w:bookmarkEnd w:id="0"/>
      <w:r w:rsidRPr="00441B7C">
        <w:rPr>
          <w:rFonts w:ascii="Calibri Light" w:eastAsia="Times New Roman" w:hAnsi="Calibri Light" w:cs="Calibri Light"/>
          <w:lang w:val="es-ES_tradnl"/>
        </w:rPr>
        <w:t xml:space="preserve">- La nueva composición de los </w:t>
      </w:r>
      <w:r w:rsidRPr="00441B7C">
        <w:rPr>
          <w:rStyle w:val="Refdenotaalpie"/>
          <w:rFonts w:ascii="Calibri Light" w:eastAsia="Times New Roman" w:hAnsi="Calibri Light" w:cs="Calibri Light"/>
          <w:lang w:val="es-ES_tradnl"/>
        </w:rPr>
        <w:footnoteReference w:id="1"/>
      </w:r>
      <w:r w:rsidRPr="00441B7C">
        <w:rPr>
          <w:rFonts w:ascii="Calibri Light" w:eastAsia="Times New Roman" w:hAnsi="Calibri Light" w:cs="Calibri Light"/>
          <w:lang w:val="es-ES_tradnl"/>
        </w:rPr>
        <w:t>"Grupos de partes interesadas" de las Autoridades Europeas de Supervisión (</w:t>
      </w:r>
      <w:r w:rsidR="00265B3F" w:rsidRPr="00441B7C">
        <w:rPr>
          <w:rFonts w:ascii="Calibri Light" w:eastAsia="Times New Roman" w:hAnsi="Calibri Light" w:cs="Calibri Light"/>
          <w:lang w:val="es-ES_tradnl"/>
        </w:rPr>
        <w:t>AES</w:t>
      </w:r>
      <w:r w:rsidRPr="00441B7C">
        <w:rPr>
          <w:rFonts w:ascii="Calibri Light" w:eastAsia="Times New Roman" w:hAnsi="Calibri Light" w:cs="Calibri Light"/>
          <w:lang w:val="es-ES_tradnl"/>
        </w:rPr>
        <w:t xml:space="preserve">) </w:t>
      </w:r>
      <w:r w:rsidR="00F30BD4" w:rsidRPr="00441B7C">
        <w:rPr>
          <w:rFonts w:ascii="Calibri Light" w:eastAsia="Times New Roman" w:hAnsi="Calibri Light" w:cs="Calibri Light"/>
          <w:lang w:val="es-ES_tradnl"/>
        </w:rPr>
        <w:t xml:space="preserve">representa </w:t>
      </w:r>
      <w:r w:rsidRPr="00441B7C">
        <w:rPr>
          <w:rFonts w:ascii="Calibri Light" w:eastAsia="Times New Roman" w:hAnsi="Calibri Light" w:cs="Calibri Light"/>
          <w:lang w:val="es-ES_tradnl"/>
        </w:rPr>
        <w:t xml:space="preserve">un paso atrás en lo que respecta a una representación equilibrada entre la industria y los consumidores en la </w:t>
      </w:r>
      <w:r w:rsidR="00265B3F" w:rsidRPr="00441B7C">
        <w:rPr>
          <w:rFonts w:ascii="Calibri Light" w:eastAsia="Times New Roman" w:hAnsi="Calibri Light" w:cs="Calibri Light"/>
          <w:lang w:val="es-ES_tradnl"/>
        </w:rPr>
        <w:t xml:space="preserve">regulación </w:t>
      </w:r>
      <w:r w:rsidRPr="00441B7C">
        <w:rPr>
          <w:rFonts w:ascii="Calibri Light" w:eastAsia="Times New Roman" w:hAnsi="Calibri Light" w:cs="Calibri Light"/>
          <w:lang w:val="es-ES_tradnl"/>
        </w:rPr>
        <w:t xml:space="preserve">financiera de la UE. Esto es el resultado de la reciente </w:t>
      </w:r>
      <w:r w:rsidRPr="00441B7C">
        <w:rPr>
          <w:rFonts w:ascii="Calibri Light" w:eastAsia="Times New Roman" w:hAnsi="Calibri Light" w:cs="Calibri Light"/>
          <w:i/>
          <w:iCs/>
          <w:lang w:val="es-ES_tradnl"/>
        </w:rPr>
        <w:t xml:space="preserve">reforma de las </w:t>
      </w:r>
      <w:r w:rsidR="00265B3F" w:rsidRPr="00441B7C">
        <w:rPr>
          <w:rFonts w:ascii="Calibri Light" w:eastAsia="Times New Roman" w:hAnsi="Calibri Light" w:cs="Calibri Light"/>
          <w:i/>
          <w:iCs/>
          <w:lang w:val="es-ES_tradnl"/>
        </w:rPr>
        <w:t>AES</w:t>
      </w:r>
      <w:r w:rsidRPr="00441B7C">
        <w:rPr>
          <w:rFonts w:ascii="Calibri Light" w:eastAsia="Times New Roman" w:hAnsi="Calibri Light" w:cs="Calibri Light"/>
          <w:lang w:val="es-ES_tradnl"/>
        </w:rPr>
        <w:t>,</w:t>
      </w:r>
      <w:r w:rsidRPr="00441B7C">
        <w:rPr>
          <w:rStyle w:val="Refdenotaalpie"/>
          <w:rFonts w:ascii="Calibri Light" w:eastAsia="Times New Roman" w:hAnsi="Calibri Light" w:cs="Calibri Light"/>
          <w:lang w:val="es-ES_tradnl"/>
        </w:rPr>
        <w:footnoteReference w:id="2"/>
      </w:r>
      <w:r w:rsidR="00F30BD4" w:rsidRPr="00441B7C">
        <w:rPr>
          <w:rFonts w:ascii="Calibri Light" w:eastAsia="Times New Roman" w:hAnsi="Calibri Light" w:cs="Calibri Light"/>
          <w:lang w:val="es-ES_tradnl"/>
        </w:rPr>
        <w:t xml:space="preserve"> </w:t>
      </w:r>
      <w:r w:rsidRPr="00441B7C">
        <w:rPr>
          <w:rFonts w:ascii="Calibri Light" w:eastAsia="Times New Roman" w:hAnsi="Calibri Light" w:cs="Calibri Light"/>
          <w:lang w:val="es-ES_tradnl"/>
        </w:rPr>
        <w:t xml:space="preserve">que redujo las cuotas de los consumidores y </w:t>
      </w:r>
      <w:r w:rsidR="00F30BD4" w:rsidRPr="00441B7C">
        <w:rPr>
          <w:rFonts w:ascii="Calibri Light" w:eastAsia="Times New Roman" w:hAnsi="Calibri Light" w:cs="Calibri Light"/>
          <w:lang w:val="es-ES_tradnl"/>
        </w:rPr>
        <w:t xml:space="preserve">de </w:t>
      </w:r>
      <w:r w:rsidRPr="00441B7C">
        <w:rPr>
          <w:rFonts w:ascii="Calibri Light" w:eastAsia="Times New Roman" w:hAnsi="Calibri Light" w:cs="Calibri Light"/>
          <w:lang w:val="es-ES_tradnl"/>
        </w:rPr>
        <w:t>los académicos en favor de las instituciones financieras (</w:t>
      </w:r>
      <w:r w:rsidRPr="00441B7C">
        <w:rPr>
          <w:rFonts w:ascii="Calibri Light" w:eastAsia="Times New Roman" w:hAnsi="Calibri Light" w:cs="Calibri Light"/>
          <w:i/>
          <w:iCs/>
          <w:lang w:val="es-ES_tradnl"/>
        </w:rPr>
        <w:t xml:space="preserve">industria y "asociaciones profesionales"). 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153BB2" w:rsidRPr="00856144" w14:paraId="1D285487" w14:textId="77777777">
        <w:tc>
          <w:tcPr>
            <w:tcW w:w="90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5484" w14:textId="013C0271" w:rsidR="00153BB2" w:rsidRPr="00441B7C" w:rsidRDefault="00E62A76">
            <w:pPr>
              <w:spacing w:after="120" w:line="240" w:lineRule="auto"/>
              <w:ind w:firstLine="426"/>
              <w:jc w:val="both"/>
              <w:rPr>
                <w:lang w:val="es-ES_tradnl"/>
              </w:rPr>
            </w:pPr>
            <w:r w:rsidRPr="00441B7C">
              <w:rPr>
                <w:rFonts w:ascii="Calibri Light" w:eastAsia="Times New Roman" w:hAnsi="Calibri Light" w:cs="Calibri Light"/>
                <w:b/>
                <w:bCs/>
                <w:i/>
                <w:iCs/>
                <w:noProof/>
                <w:lang w:val="es-ES_tradnl" w:eastAsia="ca-ES"/>
              </w:rPr>
              <w:drawing>
                <wp:anchor distT="0" distB="0" distL="114300" distR="114300" simplePos="0" relativeHeight="251658240" behindDoc="0" locked="0" layoutInCell="1" allowOverlap="1" wp14:anchorId="1D285488" wp14:editId="1D285489">
                  <wp:simplePos x="0" y="0"/>
                  <wp:positionH relativeFrom="margin">
                    <wp:posOffset>-630</wp:posOffset>
                  </wp:positionH>
                  <wp:positionV relativeFrom="paragraph">
                    <wp:posOffset>35561</wp:posOffset>
                  </wp:positionV>
                  <wp:extent cx="195581" cy="195581"/>
                  <wp:effectExtent l="0" t="0" r="0" b="0"/>
                  <wp:wrapNone/>
                  <wp:docPr id="5" name="Graphic 2" descr="Postit Not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1" cy="195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41B7C">
              <w:rPr>
                <w:rFonts w:ascii="Calibri Light" w:eastAsia="Times New Roman" w:hAnsi="Calibri Light" w:cs="Calibri Light"/>
                <w:b/>
                <w:i/>
                <w:iCs/>
                <w:lang w:val="es-ES_tradnl"/>
              </w:rPr>
              <w:t>Preguntas frecuentes de los ahorradores</w:t>
            </w:r>
            <w:r w:rsidRPr="00441B7C">
              <w:rPr>
                <w:rFonts w:ascii="Calibri Light" w:eastAsia="Times New Roman" w:hAnsi="Calibri Light" w:cs="Calibri Light"/>
                <w:i/>
                <w:iCs/>
                <w:lang w:val="es-ES_tradnl"/>
              </w:rPr>
              <w:t xml:space="preserve"> </w:t>
            </w:r>
            <w:r w:rsidRPr="00441B7C">
              <w:rPr>
                <w:rFonts w:ascii="Calibri Light" w:eastAsia="Times New Roman" w:hAnsi="Calibri Light" w:cs="Calibri Light"/>
                <w:b/>
                <w:bCs/>
                <w:i/>
                <w:iCs/>
                <w:lang w:val="es-ES_tradnl"/>
              </w:rPr>
              <w:t xml:space="preserve">e inversores </w:t>
            </w:r>
            <w:r w:rsidR="00265B3F" w:rsidRPr="00441B7C">
              <w:rPr>
                <w:rFonts w:ascii="Calibri Light" w:eastAsia="Times New Roman" w:hAnsi="Calibri Light" w:cs="Calibri Light"/>
                <w:b/>
                <w:bCs/>
                <w:i/>
                <w:iCs/>
                <w:lang w:val="es-ES_tradnl"/>
              </w:rPr>
              <w:t>privados</w:t>
            </w:r>
            <w:r w:rsidRPr="00441B7C">
              <w:rPr>
                <w:rFonts w:ascii="Calibri Light" w:eastAsia="Times New Roman" w:hAnsi="Calibri Light" w:cs="Calibri Light"/>
                <w:b/>
                <w:bCs/>
                <w:i/>
                <w:iCs/>
                <w:lang w:val="es-ES_tradnl"/>
              </w:rPr>
              <w:t xml:space="preserve">: </w:t>
            </w:r>
            <w:r w:rsidRPr="00441B7C">
              <w:rPr>
                <w:rFonts w:ascii="Calibri Light" w:eastAsia="Times New Roman" w:hAnsi="Calibri Light" w:cs="Calibri Light"/>
                <w:i/>
                <w:iCs/>
                <w:lang w:val="es-ES_tradnl"/>
              </w:rPr>
              <w:t>¿</w:t>
            </w:r>
            <w:r w:rsidR="00265B3F" w:rsidRPr="00441B7C">
              <w:rPr>
                <w:rFonts w:ascii="Calibri Light" w:eastAsia="Times New Roman" w:hAnsi="Calibri Light" w:cs="Calibri Light"/>
                <w:i/>
                <w:iCs/>
                <w:lang w:val="es-ES_tradnl"/>
              </w:rPr>
              <w:t xml:space="preserve">Qué </w:t>
            </w:r>
            <w:r w:rsidRPr="00441B7C">
              <w:rPr>
                <w:rFonts w:ascii="Calibri Light" w:eastAsia="Times New Roman" w:hAnsi="Calibri Light" w:cs="Calibri Light"/>
                <w:i/>
                <w:iCs/>
                <w:lang w:val="es-ES_tradnl"/>
              </w:rPr>
              <w:t xml:space="preserve">son los grupos </w:t>
            </w:r>
            <w:r w:rsidR="00252E84" w:rsidRPr="00441B7C">
              <w:rPr>
                <w:rFonts w:ascii="Calibri Light" w:eastAsia="Times New Roman" w:hAnsi="Calibri Light" w:cs="Calibri Light"/>
                <w:i/>
                <w:iCs/>
                <w:lang w:val="es-ES_tradnl"/>
              </w:rPr>
              <w:t>de partes interesadas</w:t>
            </w:r>
            <w:r w:rsidRPr="00441B7C">
              <w:rPr>
                <w:rFonts w:ascii="Calibri Light" w:eastAsia="Times New Roman" w:hAnsi="Calibri Light" w:cs="Calibri Light"/>
                <w:i/>
                <w:iCs/>
                <w:lang w:val="es-ES_tradnl"/>
              </w:rPr>
              <w:t>?</w:t>
            </w:r>
          </w:p>
          <w:p w14:paraId="1D285485" w14:textId="339C0F07" w:rsidR="00153BB2" w:rsidRPr="00441B7C" w:rsidRDefault="00E62A76">
            <w:pPr>
              <w:spacing w:after="120" w:line="240" w:lineRule="auto"/>
              <w:jc w:val="both"/>
              <w:rPr>
                <w:lang w:val="es-ES_tradnl"/>
              </w:rPr>
            </w:pPr>
            <w:r w:rsidRPr="00441B7C">
              <w:rPr>
                <w:rFonts w:ascii="Calibri Light" w:eastAsia="Times New Roman" w:hAnsi="Calibri Light" w:cs="Calibri Light"/>
                <w:lang w:val="es-ES_tradnl"/>
              </w:rPr>
              <w:t>Los supervisores financieros de la Unión Europea (</w:t>
            </w:r>
            <w:r w:rsidR="00252E84" w:rsidRPr="00441B7C">
              <w:rPr>
                <w:rFonts w:ascii="Calibri Light" w:eastAsia="Times New Roman" w:hAnsi="Calibri Light" w:cs="Calibri Light"/>
                <w:lang w:val="es-ES_tradnl"/>
              </w:rPr>
              <w:t>AES</w:t>
            </w:r>
            <w:r w:rsidRPr="00441B7C">
              <w:rPr>
                <w:rFonts w:ascii="Calibri Light" w:eastAsia="Times New Roman" w:hAnsi="Calibri Light" w:cs="Calibri Light"/>
                <w:lang w:val="es-ES_tradnl"/>
              </w:rPr>
              <w:t>) designan órganos consultivos (</w:t>
            </w:r>
            <w:r w:rsidRPr="00441B7C">
              <w:rPr>
                <w:rFonts w:ascii="Calibri Light" w:eastAsia="Times New Roman" w:hAnsi="Calibri Light" w:cs="Calibri Light"/>
                <w:i/>
                <w:iCs/>
                <w:lang w:val="es-ES_tradnl"/>
              </w:rPr>
              <w:t xml:space="preserve">grupos de </w:t>
            </w:r>
            <w:r w:rsidR="00252E84" w:rsidRPr="00441B7C">
              <w:rPr>
                <w:rFonts w:ascii="Calibri Light" w:eastAsia="Times New Roman" w:hAnsi="Calibri Light" w:cs="Calibri Light"/>
                <w:i/>
                <w:iCs/>
                <w:lang w:val="es-ES_tradnl"/>
              </w:rPr>
              <w:t>partes interesadas</w:t>
            </w:r>
            <w:r w:rsidRPr="00441B7C">
              <w:rPr>
                <w:rFonts w:ascii="Calibri Light" w:eastAsia="Times New Roman" w:hAnsi="Calibri Light" w:cs="Calibri Light"/>
                <w:lang w:val="es-ES_tradnl"/>
              </w:rPr>
              <w:t>) para que emitan opiniones, recomendaciones o respuestas en relación con la labor de reg</w:t>
            </w:r>
            <w:r w:rsidR="00252E84" w:rsidRPr="00441B7C">
              <w:rPr>
                <w:rFonts w:ascii="Calibri Light" w:eastAsia="Times New Roman" w:hAnsi="Calibri Light" w:cs="Calibri Light"/>
                <w:lang w:val="es-ES_tradnl"/>
              </w:rPr>
              <w:t>ula</w:t>
            </w:r>
            <w:r w:rsidRPr="00441B7C">
              <w:rPr>
                <w:rFonts w:ascii="Calibri Light" w:eastAsia="Times New Roman" w:hAnsi="Calibri Light" w:cs="Calibri Light"/>
                <w:lang w:val="es-ES_tradnl"/>
              </w:rPr>
              <w:t xml:space="preserve">ción o supervisión de </w:t>
            </w:r>
            <w:r w:rsidR="00252E84" w:rsidRPr="00441B7C">
              <w:rPr>
                <w:rFonts w:ascii="Calibri Light" w:eastAsia="Times New Roman" w:hAnsi="Calibri Light" w:cs="Calibri Light"/>
                <w:lang w:val="es-ES_tradnl"/>
              </w:rPr>
              <w:t>las AES</w:t>
            </w:r>
            <w:r w:rsidRPr="00441B7C">
              <w:rPr>
                <w:rFonts w:ascii="Calibri Light" w:eastAsia="Times New Roman" w:hAnsi="Calibri Light" w:cs="Calibri Light"/>
                <w:lang w:val="es-ES_tradnl"/>
              </w:rPr>
              <w:t xml:space="preserve">. Los grupos de </w:t>
            </w:r>
            <w:r w:rsidR="00252E84" w:rsidRPr="00441B7C">
              <w:rPr>
                <w:rFonts w:ascii="Calibri Light" w:eastAsia="Times New Roman" w:hAnsi="Calibri Light" w:cs="Calibri Light"/>
                <w:lang w:val="es-ES_tradnl"/>
              </w:rPr>
              <w:t xml:space="preserve">partes interesadas </w:t>
            </w:r>
            <w:r w:rsidRPr="00441B7C">
              <w:rPr>
                <w:rFonts w:ascii="Calibri Light" w:eastAsia="Times New Roman" w:hAnsi="Calibri Light" w:cs="Calibri Light"/>
                <w:lang w:val="es-ES_tradnl"/>
              </w:rPr>
              <w:t xml:space="preserve">se reúnen periódicamente y están integrados por 30 miembros que representan a las diferentes categorías de destinatarios de la </w:t>
            </w:r>
            <w:r w:rsidR="00252E84" w:rsidRPr="00441B7C">
              <w:rPr>
                <w:rFonts w:ascii="Calibri Light" w:eastAsia="Times New Roman" w:hAnsi="Calibri Light" w:cs="Calibri Light"/>
                <w:lang w:val="es-ES_tradnl"/>
              </w:rPr>
              <w:t xml:space="preserve">regulación </w:t>
            </w:r>
            <w:r w:rsidRPr="00441B7C">
              <w:rPr>
                <w:rFonts w:ascii="Calibri Light" w:eastAsia="Times New Roman" w:hAnsi="Calibri Light" w:cs="Calibri Light"/>
                <w:lang w:val="es-ES_tradnl"/>
              </w:rPr>
              <w:t xml:space="preserve">financiera de la UE (instituciones financieras, consumidores, PYMES, etc.), así como por académicos independientes. </w:t>
            </w:r>
          </w:p>
          <w:p w14:paraId="1D285486" w14:textId="77777777" w:rsidR="00153BB2" w:rsidRPr="00441B7C" w:rsidRDefault="00E62A76">
            <w:pPr>
              <w:spacing w:after="120" w:line="240" w:lineRule="auto"/>
              <w:jc w:val="both"/>
              <w:rPr>
                <w:lang w:val="es-ES_tradnl"/>
              </w:rPr>
            </w:pPr>
            <w:r w:rsidRPr="00441B7C">
              <w:rPr>
                <w:rFonts w:ascii="Calibri Light" w:eastAsia="Times New Roman" w:hAnsi="Calibri Light" w:cs="Calibri Light"/>
                <w:lang w:val="es-ES_tradnl"/>
              </w:rPr>
              <w:t>Actualmente existen cuatro grupos de este tipo: uno para el sector de los seguros (IRSG</w:t>
            </w:r>
            <w:r w:rsidRPr="00441B7C">
              <w:rPr>
                <w:rStyle w:val="Refdenotaalpie"/>
                <w:rFonts w:ascii="Calibri Light" w:eastAsia="Times New Roman" w:hAnsi="Calibri Light" w:cs="Calibri Light"/>
                <w:lang w:val="es-ES_tradnl"/>
              </w:rPr>
              <w:footnoteReference w:id="3"/>
            </w:r>
            <w:r w:rsidRPr="00441B7C">
              <w:rPr>
                <w:rFonts w:ascii="Calibri Light" w:eastAsia="Times New Roman" w:hAnsi="Calibri Light" w:cs="Calibri Light"/>
                <w:lang w:val="es-ES_tradnl"/>
              </w:rPr>
              <w:t xml:space="preserve"> ), uno para las pensiones de jubilación (OPSG</w:t>
            </w:r>
            <w:r w:rsidRPr="00441B7C">
              <w:rPr>
                <w:rStyle w:val="Refdenotaalpie"/>
                <w:rFonts w:ascii="Calibri Light" w:eastAsia="Times New Roman" w:hAnsi="Calibri Light" w:cs="Calibri Light"/>
                <w:lang w:val="es-ES_tradnl"/>
              </w:rPr>
              <w:footnoteReference w:id="4"/>
            </w:r>
            <w:r w:rsidRPr="00441B7C">
              <w:rPr>
                <w:rFonts w:ascii="Calibri Light" w:eastAsia="Times New Roman" w:hAnsi="Calibri Light" w:cs="Calibri Light"/>
                <w:lang w:val="es-ES_tradnl"/>
              </w:rPr>
              <w:t xml:space="preserve"> ), uno para los servicios bancarios (BSG</w:t>
            </w:r>
            <w:r w:rsidRPr="00441B7C">
              <w:rPr>
                <w:rStyle w:val="Refdenotaalpie"/>
                <w:rFonts w:ascii="Calibri Light" w:eastAsia="Times New Roman" w:hAnsi="Calibri Light" w:cs="Calibri Light"/>
                <w:lang w:val="es-ES_tradnl"/>
              </w:rPr>
              <w:footnoteReference w:id="5"/>
            </w:r>
            <w:r w:rsidRPr="00441B7C">
              <w:rPr>
                <w:rFonts w:ascii="Calibri Light" w:eastAsia="Times New Roman" w:hAnsi="Calibri Light" w:cs="Calibri Light"/>
                <w:lang w:val="es-ES_tradnl"/>
              </w:rPr>
              <w:t xml:space="preserve"> ) y uno para los mercados de valores (SMSG</w:t>
            </w:r>
            <w:r w:rsidRPr="00441B7C">
              <w:rPr>
                <w:rStyle w:val="Refdenotaalpie"/>
                <w:rFonts w:ascii="Calibri Light" w:eastAsia="Times New Roman" w:hAnsi="Calibri Light" w:cs="Calibri Light"/>
                <w:lang w:val="es-ES_tradnl"/>
              </w:rPr>
              <w:footnoteReference w:id="6"/>
            </w:r>
            <w:r w:rsidRPr="00441B7C">
              <w:rPr>
                <w:rFonts w:ascii="Calibri Light" w:eastAsia="Times New Roman" w:hAnsi="Calibri Light" w:cs="Calibri Light"/>
                <w:lang w:val="es-ES_tradnl"/>
              </w:rPr>
              <w:t xml:space="preserve"> ).</w:t>
            </w:r>
          </w:p>
        </w:tc>
      </w:tr>
    </w:tbl>
    <w:p w14:paraId="1D285488" w14:textId="1FFC40BA" w:rsidR="00153BB2" w:rsidRPr="00441B7C" w:rsidRDefault="00E62A76">
      <w:pPr>
        <w:spacing w:before="120" w:after="120" w:line="240" w:lineRule="auto"/>
        <w:jc w:val="both"/>
        <w:rPr>
          <w:lang w:val="es-ES_tradnl"/>
        </w:rPr>
      </w:pPr>
      <w:r w:rsidRPr="00441B7C">
        <w:rPr>
          <w:rFonts w:ascii="Calibri Light" w:eastAsia="Times New Roman" w:hAnsi="Calibri Light" w:cs="Calibri Light"/>
          <w:lang w:val="es-ES_tradnl"/>
        </w:rPr>
        <w:t xml:space="preserve">Antes de la </w:t>
      </w:r>
      <w:r w:rsidRPr="00441B7C">
        <w:rPr>
          <w:rFonts w:ascii="Calibri Light" w:eastAsia="Times New Roman" w:hAnsi="Calibri Light" w:cs="Calibri Light"/>
          <w:i/>
          <w:iCs/>
          <w:lang w:val="es-ES_tradnl"/>
        </w:rPr>
        <w:t xml:space="preserve">reforma de las AES </w:t>
      </w:r>
      <w:r w:rsidRPr="00441B7C">
        <w:rPr>
          <w:rFonts w:ascii="Calibri Light" w:eastAsia="Times New Roman" w:hAnsi="Calibri Light" w:cs="Calibri Light"/>
          <w:lang w:val="es-ES_tradnl"/>
        </w:rPr>
        <w:t xml:space="preserve">que entró en vigor en 2019, esos grupos de </w:t>
      </w:r>
      <w:r w:rsidR="00252E84" w:rsidRPr="00441B7C">
        <w:rPr>
          <w:rFonts w:ascii="Calibri Light" w:eastAsia="Times New Roman" w:hAnsi="Calibri Light" w:cs="Calibri Light"/>
          <w:lang w:val="es-ES_tradnl"/>
        </w:rPr>
        <w:t xml:space="preserve">partes interesadas </w:t>
      </w:r>
      <w:r w:rsidRPr="00441B7C">
        <w:rPr>
          <w:rFonts w:ascii="Calibri Light" w:eastAsia="Times New Roman" w:hAnsi="Calibri Light" w:cs="Calibri Light"/>
          <w:lang w:val="es-ES_tradnl"/>
        </w:rPr>
        <w:t xml:space="preserve">reservaron 10 plazas para </w:t>
      </w:r>
      <w:r w:rsidR="00252E84" w:rsidRPr="00441B7C">
        <w:rPr>
          <w:rFonts w:ascii="Calibri Light" w:eastAsia="Times New Roman" w:hAnsi="Calibri Light" w:cs="Calibri Light"/>
          <w:lang w:val="es-ES_tradnl"/>
        </w:rPr>
        <w:t xml:space="preserve">los </w:t>
      </w:r>
      <w:r w:rsidRPr="00441B7C">
        <w:rPr>
          <w:rFonts w:ascii="Calibri Light" w:eastAsia="Times New Roman" w:hAnsi="Calibri Light" w:cs="Calibri Light"/>
          <w:lang w:val="es-ES_tradnl"/>
        </w:rPr>
        <w:t xml:space="preserve">representantes de la industria financiera, 5 para </w:t>
      </w:r>
      <w:r w:rsidR="00252E84" w:rsidRPr="00441B7C">
        <w:rPr>
          <w:rFonts w:ascii="Calibri Light" w:eastAsia="Times New Roman" w:hAnsi="Calibri Light" w:cs="Calibri Light"/>
          <w:lang w:val="es-ES_tradnl"/>
        </w:rPr>
        <w:t xml:space="preserve">los </w:t>
      </w:r>
      <w:r w:rsidRPr="00441B7C">
        <w:rPr>
          <w:rFonts w:ascii="Calibri Light" w:eastAsia="Times New Roman" w:hAnsi="Calibri Light" w:cs="Calibri Light"/>
          <w:lang w:val="es-ES_tradnl"/>
        </w:rPr>
        <w:t xml:space="preserve">académicos y el resto para una categoría "agrupada" compuesta por representantes de empleados (de instituciones financieras), consumidores, usuarios de servicios financieros y PYMES. Tras la reforma, la cuota de la industria financiera en la ABE y en la AEVM se aumentó en detrimento de las demás categorías: ahora cada grupo de </w:t>
      </w:r>
      <w:r w:rsidR="00252E84" w:rsidRPr="00441B7C">
        <w:rPr>
          <w:rFonts w:ascii="Calibri Light" w:eastAsia="Times New Roman" w:hAnsi="Calibri Light" w:cs="Calibri Light"/>
          <w:lang w:val="es-ES_tradnl"/>
        </w:rPr>
        <w:t xml:space="preserve">partes interesadas </w:t>
      </w:r>
      <w:r w:rsidRPr="00441B7C">
        <w:rPr>
          <w:rFonts w:ascii="Calibri Light" w:eastAsia="Times New Roman" w:hAnsi="Calibri Light" w:cs="Calibri Light"/>
          <w:lang w:val="es-ES_tradnl"/>
        </w:rPr>
        <w:t xml:space="preserve">debe estar integrado por 13 miembros </w:t>
      </w:r>
      <w:r w:rsidR="00252E84" w:rsidRPr="00441B7C">
        <w:rPr>
          <w:rFonts w:ascii="Calibri Light" w:eastAsia="Times New Roman" w:hAnsi="Calibri Light" w:cs="Calibri Light"/>
          <w:lang w:val="es-ES_tradnl"/>
        </w:rPr>
        <w:t>representantes de</w:t>
      </w:r>
      <w:r w:rsidRPr="00441B7C">
        <w:rPr>
          <w:rFonts w:ascii="Calibri Light" w:eastAsia="Times New Roman" w:hAnsi="Calibri Light" w:cs="Calibri Light"/>
          <w:lang w:val="es-ES_tradnl"/>
        </w:rPr>
        <w:t xml:space="preserve"> la industria, 4 académicos y 13 de la categoría "agrupada". La nueva norma de la UE es aún peor en el caso de la AESPJ, donde los representantes de las asociaciones profesionales se añaden a la cuota aumentada de </w:t>
      </w:r>
      <w:r w:rsidR="00252E84" w:rsidRPr="00441B7C">
        <w:rPr>
          <w:rFonts w:ascii="Calibri Light" w:eastAsia="Times New Roman" w:hAnsi="Calibri Light" w:cs="Calibri Light"/>
          <w:lang w:val="es-ES_tradnl"/>
        </w:rPr>
        <w:t xml:space="preserve">los </w:t>
      </w:r>
      <w:r w:rsidRPr="00441B7C">
        <w:rPr>
          <w:rFonts w:ascii="Calibri Light" w:eastAsia="Times New Roman" w:hAnsi="Calibri Light" w:cs="Calibri Light"/>
          <w:lang w:val="es-ES_tradnl"/>
        </w:rPr>
        <w:t xml:space="preserve">13 de la industria financiera, y </w:t>
      </w:r>
      <w:r w:rsidR="00252E84" w:rsidRPr="00441B7C">
        <w:rPr>
          <w:rFonts w:ascii="Calibri Light" w:eastAsia="Times New Roman" w:hAnsi="Calibri Light" w:cs="Calibri Light"/>
          <w:lang w:val="es-ES_tradnl"/>
        </w:rPr>
        <w:t xml:space="preserve">ahora esta última </w:t>
      </w:r>
      <w:r w:rsidRPr="00441B7C">
        <w:rPr>
          <w:rFonts w:ascii="Calibri Light" w:eastAsia="Times New Roman" w:hAnsi="Calibri Light" w:cs="Calibri Light"/>
          <w:lang w:val="es-ES_tradnl"/>
        </w:rPr>
        <w:t xml:space="preserve">constituye la mitad (o más) del total de miembros. </w:t>
      </w:r>
    </w:p>
    <w:p w14:paraId="1D285489" w14:textId="77777777" w:rsidR="00153BB2" w:rsidRPr="00441B7C" w:rsidRDefault="00E62A76">
      <w:pPr>
        <w:spacing w:after="120" w:line="240" w:lineRule="auto"/>
        <w:jc w:val="both"/>
        <w:rPr>
          <w:rFonts w:ascii="Calibri Light" w:eastAsia="Times New Roman" w:hAnsi="Calibri Light" w:cs="Calibri Light"/>
          <w:lang w:val="es-ES_tradnl"/>
        </w:rPr>
      </w:pPr>
      <w:r w:rsidRPr="00441B7C">
        <w:rPr>
          <w:rFonts w:ascii="Calibri Light" w:eastAsia="Times New Roman" w:hAnsi="Calibri Light" w:cs="Calibri Light"/>
          <w:lang w:val="es-ES_tradnl"/>
        </w:rPr>
        <w:t xml:space="preserve">Además, la diferenciación entre "industria financiera" y "asociaciones profesionales" parece, en el mejor de los casos, incómoda, ya que la AIOPA, por ejemplo, incluye a FERMA, la Federación de Asociaciones Europeas de Gestión de Riesgos, en la categoría de "asociaciones profesionales", aunque califica a Insurance Europe, la federación europea de seguros y reaseguros, como "industria" en el IRSG. En cambio, en la OPSG de la AIOPA, Insurance Europe está incluida en la categoría de "IORP" - </w:t>
      </w:r>
      <w:r w:rsidRPr="00441B7C">
        <w:rPr>
          <w:rFonts w:ascii="Calibri Light" w:eastAsia="Times New Roman" w:hAnsi="Calibri Light" w:cs="Calibri Light"/>
          <w:lang w:val="es-ES_tradnl"/>
        </w:rPr>
        <w:lastRenderedPageBreak/>
        <w:t>un representante de los planes de pensiones en la jerga de la UE - y sin embargo EFAMA, la Asociación Europea de Fondos y Gestión de Activos, está etiquetada como "asociación profesional".</w:t>
      </w:r>
    </w:p>
    <w:p w14:paraId="1D28548A" w14:textId="2B4BD72B" w:rsidR="00153BB2" w:rsidRPr="00441B7C" w:rsidRDefault="00E62A76">
      <w:pPr>
        <w:spacing w:after="120" w:line="240" w:lineRule="auto"/>
        <w:jc w:val="both"/>
        <w:rPr>
          <w:lang w:val="es-ES_tradnl"/>
        </w:rPr>
      </w:pPr>
      <w:r w:rsidRPr="00441B7C">
        <w:rPr>
          <w:rFonts w:ascii="Calibri Light" w:eastAsia="Times New Roman" w:hAnsi="Calibri Light" w:cs="Calibri Light"/>
          <w:lang w:val="es-ES_tradnl"/>
        </w:rPr>
        <w:t xml:space="preserve">En </w:t>
      </w:r>
      <w:hyperlink r:id="rId11" w:history="1">
        <w:r w:rsidRPr="00441B7C">
          <w:rPr>
            <w:rStyle w:val="Hipervnculo"/>
            <w:rFonts w:ascii="Calibri Light" w:eastAsia="Times New Roman" w:hAnsi="Calibri Light" w:cs="Calibri Light"/>
            <w:lang w:val="es-ES_tradnl"/>
          </w:rPr>
          <w:t xml:space="preserve">enero de 2020, BETTER FINANCE ya reaccionó </w:t>
        </w:r>
      </w:hyperlink>
      <w:r w:rsidRPr="00441B7C">
        <w:rPr>
          <w:rFonts w:ascii="Calibri Light" w:eastAsia="Times New Roman" w:hAnsi="Calibri Light" w:cs="Calibri Light"/>
          <w:lang w:val="es-ES_tradnl"/>
        </w:rPr>
        <w:t xml:space="preserve">a </w:t>
      </w:r>
      <w:r w:rsidR="00034CEB" w:rsidRPr="00441B7C">
        <w:rPr>
          <w:rFonts w:ascii="Calibri Light" w:eastAsia="Times New Roman" w:hAnsi="Calibri Light" w:cs="Calibri Light"/>
          <w:lang w:val="es-ES_tradnl"/>
        </w:rPr>
        <w:t xml:space="preserve">los </w:t>
      </w:r>
      <w:r w:rsidRPr="00441B7C">
        <w:rPr>
          <w:rFonts w:ascii="Calibri Light" w:eastAsia="Times New Roman" w:hAnsi="Calibri Light" w:cs="Calibri Light"/>
          <w:lang w:val="es-ES_tradnl"/>
        </w:rPr>
        <w:t>cambios específicos en el Reglamento de la AESPJ</w:t>
      </w:r>
      <w:r w:rsidRPr="00441B7C">
        <w:rPr>
          <w:rStyle w:val="Refdenotaalpie"/>
          <w:rFonts w:ascii="Calibri Light" w:eastAsia="Times New Roman" w:hAnsi="Calibri Light" w:cs="Calibri Light"/>
          <w:lang w:val="es-ES_tradnl"/>
        </w:rPr>
        <w:footnoteReference w:id="7"/>
      </w:r>
      <w:r w:rsidRPr="00441B7C">
        <w:rPr>
          <w:rFonts w:ascii="Calibri Light" w:eastAsia="Times New Roman" w:hAnsi="Calibri Light" w:cs="Calibri Light"/>
          <w:lang w:val="es-ES_tradnl"/>
        </w:rPr>
        <w:t xml:space="preserve"> en cuanto a la composición de los grupos de </w:t>
      </w:r>
      <w:r w:rsidR="00034CEB" w:rsidRPr="00441B7C">
        <w:rPr>
          <w:rFonts w:ascii="Calibri Light" w:eastAsia="Times New Roman" w:hAnsi="Calibri Light" w:cs="Calibri Light"/>
          <w:lang w:val="es-ES_tradnl"/>
        </w:rPr>
        <w:t xml:space="preserve">partes interesadas </w:t>
      </w:r>
      <w:r w:rsidRPr="00441B7C">
        <w:rPr>
          <w:rFonts w:ascii="Calibri Light" w:eastAsia="Times New Roman" w:hAnsi="Calibri Light" w:cs="Calibri Light"/>
          <w:lang w:val="es-ES_tradnl"/>
        </w:rPr>
        <w:t xml:space="preserve">de la AESPJ y al alto riesgo de que se redujera el número de representantes de los usuarios en favor de los de la industria financiera. </w:t>
      </w:r>
    </w:p>
    <w:p w14:paraId="1D28548B" w14:textId="23D2F5FD" w:rsidR="00153BB2" w:rsidRPr="00441B7C" w:rsidRDefault="00E62A76">
      <w:pPr>
        <w:spacing w:after="120" w:line="240" w:lineRule="auto"/>
        <w:jc w:val="both"/>
        <w:rPr>
          <w:lang w:val="es-ES_tradnl"/>
        </w:rPr>
      </w:pPr>
      <w:r w:rsidRPr="00441B7C">
        <w:rPr>
          <w:rFonts w:ascii="Calibri Light" w:eastAsia="Times New Roman" w:hAnsi="Calibri Light" w:cs="Calibri Light"/>
          <w:lang w:val="es-ES_tradnl"/>
        </w:rPr>
        <w:t xml:space="preserve">Lo que es más, la regla de la </w:t>
      </w:r>
      <w:r w:rsidRPr="00441B7C">
        <w:rPr>
          <w:rFonts w:ascii="Calibri Light" w:eastAsia="Times New Roman" w:hAnsi="Calibri Light" w:cs="Calibri Light"/>
          <w:b/>
          <w:bCs/>
          <w:i/>
          <w:iCs/>
          <w:lang w:val="es-ES_tradnl"/>
        </w:rPr>
        <w:t xml:space="preserve">representación equilibrada </w:t>
      </w:r>
      <w:r w:rsidRPr="00441B7C">
        <w:rPr>
          <w:rFonts w:ascii="Calibri Light" w:eastAsia="Times New Roman" w:hAnsi="Calibri Light" w:cs="Calibri Light"/>
          <w:lang w:val="es-ES_tradnl"/>
        </w:rPr>
        <w:t xml:space="preserve">es ahora aplicable sólo a la industria financiera. Guillaume Prache, un "veterano" que sirvió en el BSG, </w:t>
      </w:r>
      <w:r w:rsidR="00034CEB" w:rsidRPr="00441B7C">
        <w:rPr>
          <w:rFonts w:ascii="Calibri Light" w:eastAsia="Times New Roman" w:hAnsi="Calibri Light" w:cs="Calibri Light"/>
          <w:lang w:val="es-ES_tradnl"/>
        </w:rPr>
        <w:t xml:space="preserve">en el </w:t>
      </w:r>
      <w:r w:rsidRPr="00441B7C">
        <w:rPr>
          <w:rFonts w:ascii="Calibri Light" w:eastAsia="Times New Roman" w:hAnsi="Calibri Light" w:cs="Calibri Light"/>
          <w:lang w:val="es-ES_tradnl"/>
        </w:rPr>
        <w:t xml:space="preserve">IRSG y </w:t>
      </w:r>
      <w:r w:rsidR="00034CEB" w:rsidRPr="00441B7C">
        <w:rPr>
          <w:rFonts w:ascii="Calibri Light" w:eastAsia="Times New Roman" w:hAnsi="Calibri Light" w:cs="Calibri Light"/>
          <w:lang w:val="es-ES_tradnl"/>
        </w:rPr>
        <w:t xml:space="preserve">en el </w:t>
      </w:r>
      <w:r w:rsidRPr="00441B7C">
        <w:rPr>
          <w:rFonts w:ascii="Calibri Light" w:eastAsia="Times New Roman" w:hAnsi="Calibri Light" w:cs="Calibri Light"/>
          <w:lang w:val="es-ES_tradnl"/>
        </w:rPr>
        <w:t>SMSG, comenta que, "</w:t>
      </w:r>
      <w:r w:rsidRPr="00441B7C">
        <w:rPr>
          <w:rFonts w:ascii="Calibri Light" w:eastAsia="Times New Roman" w:hAnsi="Calibri Light" w:cs="Calibri Light"/>
          <w:i/>
          <w:iCs/>
          <w:lang w:val="es-ES_tradnl"/>
        </w:rPr>
        <w:t xml:space="preserve">lo que parecía un </w:t>
      </w:r>
      <w:r w:rsidR="00034CEB" w:rsidRPr="00441B7C">
        <w:rPr>
          <w:rFonts w:ascii="Calibri Light" w:eastAsia="Times New Roman" w:hAnsi="Calibri Light" w:cs="Calibri Light"/>
          <w:i/>
          <w:iCs/>
          <w:lang w:val="es-ES_tradnl"/>
        </w:rPr>
        <w:t xml:space="preserve">discreto </w:t>
      </w:r>
      <w:r w:rsidRPr="00441B7C">
        <w:rPr>
          <w:rFonts w:ascii="Calibri Light" w:eastAsia="Times New Roman" w:hAnsi="Calibri Light" w:cs="Calibri Light"/>
          <w:i/>
          <w:iCs/>
          <w:lang w:val="es-ES_tradnl"/>
        </w:rPr>
        <w:t xml:space="preserve">cambio en </w:t>
      </w:r>
      <w:r w:rsidR="00034CEB" w:rsidRPr="00441B7C">
        <w:rPr>
          <w:rFonts w:ascii="Calibri Light" w:eastAsia="Times New Roman" w:hAnsi="Calibri Light" w:cs="Calibri Light"/>
          <w:i/>
          <w:iCs/>
          <w:lang w:val="es-ES_tradnl"/>
        </w:rPr>
        <w:t>el fundamento jurídico</w:t>
      </w:r>
      <w:r w:rsidRPr="00441B7C">
        <w:rPr>
          <w:rFonts w:ascii="Calibri Light" w:eastAsia="Times New Roman" w:hAnsi="Calibri Light" w:cs="Calibri Light"/>
          <w:i/>
          <w:iCs/>
          <w:lang w:val="es-ES_tradnl"/>
        </w:rPr>
        <w:t xml:space="preserve"> en realidad resultó en la eliminación de la regla general de "representación equilibrada" en la composición de los Grupos de </w:t>
      </w:r>
      <w:r w:rsidR="00034CEB" w:rsidRPr="00441B7C">
        <w:rPr>
          <w:rFonts w:ascii="Calibri Light" w:eastAsia="Times New Roman" w:hAnsi="Calibri Light" w:cs="Calibri Light"/>
          <w:i/>
          <w:iCs/>
          <w:lang w:val="es-ES_tradnl"/>
        </w:rPr>
        <w:t>Partes Interesadas</w:t>
      </w:r>
      <w:r w:rsidRPr="00441B7C">
        <w:rPr>
          <w:rFonts w:ascii="Calibri Light" w:eastAsia="Times New Roman" w:hAnsi="Calibri Light" w:cs="Calibri Light"/>
          <w:i/>
          <w:iCs/>
          <w:lang w:val="es-ES_tradnl"/>
        </w:rPr>
        <w:t>, lo que llevó a una inclinación legal de la balanza a favor de las voces de la industria</w:t>
      </w:r>
      <w:r w:rsidRPr="00441B7C">
        <w:rPr>
          <w:rFonts w:ascii="Calibri Light" w:eastAsia="Times New Roman" w:hAnsi="Calibri Light" w:cs="Calibri Light"/>
          <w:lang w:val="es-ES_tradnl"/>
        </w:rPr>
        <w:t xml:space="preserve">". </w:t>
      </w:r>
    </w:p>
    <w:p w14:paraId="1D28548C" w14:textId="2DAB86F8" w:rsidR="00153BB2" w:rsidRPr="00441B7C" w:rsidRDefault="00E62A76">
      <w:pPr>
        <w:spacing w:after="120" w:line="240" w:lineRule="auto"/>
        <w:jc w:val="both"/>
        <w:rPr>
          <w:rFonts w:ascii="Calibri Light" w:eastAsia="Times New Roman" w:hAnsi="Calibri Light" w:cs="Calibri Light"/>
          <w:lang w:val="es-ES_tradnl"/>
        </w:rPr>
      </w:pPr>
      <w:r w:rsidRPr="00441B7C">
        <w:rPr>
          <w:rFonts w:ascii="Calibri Light" w:eastAsia="Times New Roman" w:hAnsi="Calibri Light" w:cs="Calibri Light"/>
          <w:lang w:val="es-ES_tradnl"/>
        </w:rPr>
        <w:t xml:space="preserve">Un rápido vistazo revela que la proporción de representantes designados de los consumidores y usuarios en las SG </w:t>
      </w:r>
      <w:r w:rsidR="00034CEB" w:rsidRPr="00441B7C">
        <w:rPr>
          <w:rFonts w:ascii="Calibri Light" w:eastAsia="Times New Roman" w:hAnsi="Calibri Light" w:cs="Calibri Light"/>
          <w:lang w:val="es-ES_tradnl"/>
        </w:rPr>
        <w:t xml:space="preserve">se redujo </w:t>
      </w:r>
      <w:r w:rsidRPr="00441B7C">
        <w:rPr>
          <w:rFonts w:ascii="Calibri Light" w:eastAsia="Times New Roman" w:hAnsi="Calibri Light" w:cs="Calibri Light"/>
          <w:lang w:val="es-ES_tradnl"/>
        </w:rPr>
        <w:t>del 33</w:t>
      </w:r>
      <w:r w:rsidR="00034CEB" w:rsidRPr="00441B7C">
        <w:rPr>
          <w:rFonts w:ascii="Calibri Light" w:eastAsia="Times New Roman" w:hAnsi="Calibri Light" w:cs="Calibri Light"/>
          <w:lang w:val="es-ES_tradnl"/>
        </w:rPr>
        <w:t xml:space="preserve"> </w:t>
      </w:r>
      <w:r w:rsidRPr="00441B7C">
        <w:rPr>
          <w:rFonts w:ascii="Calibri Light" w:eastAsia="Times New Roman" w:hAnsi="Calibri Light" w:cs="Calibri Light"/>
          <w:lang w:val="es-ES_tradnl"/>
        </w:rPr>
        <w:t>% al 28</w:t>
      </w:r>
      <w:r w:rsidR="00034CEB" w:rsidRPr="00441B7C">
        <w:rPr>
          <w:rFonts w:ascii="Calibri Light" w:eastAsia="Times New Roman" w:hAnsi="Calibri Light" w:cs="Calibri Light"/>
          <w:lang w:val="es-ES_tradnl"/>
        </w:rPr>
        <w:t xml:space="preserve"> </w:t>
      </w:r>
      <w:r w:rsidRPr="00441B7C">
        <w:rPr>
          <w:rFonts w:ascii="Calibri Light" w:eastAsia="Times New Roman" w:hAnsi="Calibri Light" w:cs="Calibri Light"/>
          <w:lang w:val="es-ES_tradnl"/>
        </w:rPr>
        <w:t>% del total, y la de los académicos independientes del 17</w:t>
      </w:r>
      <w:r w:rsidR="00034CEB" w:rsidRPr="00441B7C">
        <w:rPr>
          <w:rFonts w:ascii="Calibri Light" w:eastAsia="Times New Roman" w:hAnsi="Calibri Light" w:cs="Calibri Light"/>
          <w:lang w:val="es-ES_tradnl"/>
        </w:rPr>
        <w:t xml:space="preserve"> </w:t>
      </w:r>
      <w:r w:rsidRPr="00441B7C">
        <w:rPr>
          <w:rFonts w:ascii="Calibri Light" w:eastAsia="Times New Roman" w:hAnsi="Calibri Light" w:cs="Calibri Light"/>
          <w:lang w:val="es-ES_tradnl"/>
        </w:rPr>
        <w:t>% al 13</w:t>
      </w:r>
      <w:r w:rsidR="00034CEB" w:rsidRPr="00441B7C">
        <w:rPr>
          <w:rFonts w:ascii="Calibri Light" w:eastAsia="Times New Roman" w:hAnsi="Calibri Light" w:cs="Calibri Light"/>
          <w:lang w:val="es-ES_tradnl"/>
        </w:rPr>
        <w:t xml:space="preserve"> </w:t>
      </w:r>
      <w:r w:rsidRPr="00441B7C">
        <w:rPr>
          <w:rFonts w:ascii="Calibri Light" w:eastAsia="Times New Roman" w:hAnsi="Calibri Light" w:cs="Calibri Light"/>
          <w:lang w:val="es-ES_tradnl"/>
        </w:rPr>
        <w:t>%, mientras que la representación de la industria (incluidas las asociaciones profesionales) aumentó a casi la mitad de los miembros, del 39</w:t>
      </w:r>
      <w:r w:rsidR="00034CEB" w:rsidRPr="00441B7C">
        <w:rPr>
          <w:rFonts w:ascii="Calibri Light" w:eastAsia="Times New Roman" w:hAnsi="Calibri Light" w:cs="Calibri Light"/>
          <w:lang w:val="es-ES_tradnl"/>
        </w:rPr>
        <w:t xml:space="preserve"> </w:t>
      </w:r>
      <w:r w:rsidRPr="00441B7C">
        <w:rPr>
          <w:rFonts w:ascii="Calibri Light" w:eastAsia="Times New Roman" w:hAnsi="Calibri Light" w:cs="Calibri Light"/>
          <w:lang w:val="es-ES_tradnl"/>
        </w:rPr>
        <w:t>% al 48</w:t>
      </w:r>
      <w:r w:rsidR="00034CEB" w:rsidRPr="00441B7C">
        <w:rPr>
          <w:rFonts w:ascii="Calibri Light" w:eastAsia="Times New Roman" w:hAnsi="Calibri Light" w:cs="Calibri Light"/>
          <w:lang w:val="es-ES_tradnl"/>
        </w:rPr>
        <w:t xml:space="preserve"> </w:t>
      </w:r>
      <w:r w:rsidRPr="00441B7C">
        <w:rPr>
          <w:rFonts w:ascii="Calibri Light" w:eastAsia="Times New Roman" w:hAnsi="Calibri Light" w:cs="Calibri Light"/>
          <w:lang w:val="es-ES_tradnl"/>
        </w:rPr>
        <w:t xml:space="preserve">%. Esto dificulta seriamente los esfuerzos para </w:t>
      </w:r>
      <w:r w:rsidR="00034CEB" w:rsidRPr="00441B7C">
        <w:rPr>
          <w:rFonts w:ascii="Calibri Light" w:eastAsia="Times New Roman" w:hAnsi="Calibri Light" w:cs="Calibri Light"/>
          <w:lang w:val="es-ES_tradnl"/>
        </w:rPr>
        <w:t xml:space="preserve">promover </w:t>
      </w:r>
      <w:r w:rsidRPr="00441B7C">
        <w:rPr>
          <w:rFonts w:ascii="Calibri Light" w:eastAsia="Times New Roman" w:hAnsi="Calibri Light" w:cs="Calibri Light"/>
          <w:lang w:val="es-ES_tradnl"/>
        </w:rPr>
        <w:t xml:space="preserve">y defender los intereses no industriales. </w:t>
      </w:r>
    </w:p>
    <w:p w14:paraId="1D28548D" w14:textId="5FAA3808" w:rsidR="00153BB2" w:rsidRPr="00441B7C" w:rsidRDefault="00034CEB">
      <w:pPr>
        <w:spacing w:after="120" w:line="240" w:lineRule="auto"/>
        <w:jc w:val="both"/>
        <w:rPr>
          <w:rFonts w:ascii="Calibri Light" w:eastAsia="Times New Roman" w:hAnsi="Calibri Light" w:cs="Calibri Light"/>
          <w:lang w:val="es-ES_tradnl"/>
        </w:rPr>
      </w:pPr>
      <w:r w:rsidRPr="00441B7C">
        <w:rPr>
          <w:rFonts w:ascii="Calibri Light" w:eastAsia="Times New Roman" w:hAnsi="Calibri Light" w:cs="Calibri Light"/>
          <w:lang w:val="es-ES_tradnl"/>
        </w:rPr>
        <w:t>Y para más inri</w:t>
      </w:r>
      <w:r w:rsidR="00E62A76" w:rsidRPr="00441B7C">
        <w:rPr>
          <w:rFonts w:ascii="Calibri Light" w:eastAsia="Times New Roman" w:hAnsi="Calibri Light" w:cs="Calibri Light"/>
          <w:lang w:val="es-ES_tradnl"/>
        </w:rPr>
        <w:t xml:space="preserve">, las </w:t>
      </w:r>
      <w:r w:rsidRPr="00441B7C">
        <w:rPr>
          <w:rFonts w:ascii="Calibri Light" w:eastAsia="Times New Roman" w:hAnsi="Calibri Light" w:cs="Calibri Light"/>
          <w:lang w:val="es-ES_tradnl"/>
        </w:rPr>
        <w:t xml:space="preserve">AES </w:t>
      </w:r>
      <w:r w:rsidR="00E62A76" w:rsidRPr="00441B7C">
        <w:rPr>
          <w:rFonts w:ascii="Calibri Light" w:eastAsia="Times New Roman" w:hAnsi="Calibri Light" w:cs="Calibri Light"/>
          <w:lang w:val="es-ES_tradnl"/>
        </w:rPr>
        <w:t>designaron erróneamente a algunos expertos no consumidores para los pocos puestos asignados a los representantes de los consumidores, lo que prácticamente redujo aún más la voz de los ciudadanos de la UE en las SG.</w:t>
      </w:r>
    </w:p>
    <w:tbl>
      <w:tblPr>
        <w:tblW w:w="901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6"/>
        <w:gridCol w:w="216"/>
        <w:gridCol w:w="547"/>
        <w:gridCol w:w="216"/>
        <w:gridCol w:w="763"/>
        <w:gridCol w:w="3137"/>
        <w:gridCol w:w="800"/>
        <w:gridCol w:w="831"/>
      </w:tblGrid>
      <w:tr w:rsidR="00153BB2" w:rsidRPr="00856144" w14:paraId="1D28548F" w14:textId="77777777">
        <w:trPr>
          <w:trHeight w:val="300"/>
          <w:jc w:val="center"/>
        </w:trPr>
        <w:tc>
          <w:tcPr>
            <w:tcW w:w="901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48E" w14:textId="157CBFE3" w:rsidR="00153BB2" w:rsidRPr="00441B7C" w:rsidRDefault="00E62A76" w:rsidP="00441B7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b/>
                <w:bCs/>
                <w:color w:val="FFFFFF"/>
                <w:lang w:val="es-ES_tradnl" w:eastAsia="en-GB"/>
              </w:rPr>
              <w:t xml:space="preserve">Composición de los grupos de </w:t>
            </w:r>
            <w:r w:rsidR="00034CEB" w:rsidRPr="00441B7C">
              <w:rPr>
                <w:rFonts w:ascii="Calibri Light" w:eastAsia="Times New Roman" w:hAnsi="Calibri Light" w:cs="Calibri Light"/>
                <w:b/>
                <w:bCs/>
                <w:color w:val="FFFFFF"/>
                <w:lang w:val="es-ES_tradnl" w:eastAsia="en-GB"/>
              </w:rPr>
              <w:t xml:space="preserve">partes interesadas </w:t>
            </w:r>
            <w:r w:rsidRPr="00441B7C">
              <w:rPr>
                <w:rFonts w:ascii="Calibri Light" w:eastAsia="Times New Roman" w:hAnsi="Calibri Light" w:cs="Calibri Light"/>
                <w:b/>
                <w:bCs/>
                <w:color w:val="FFFFFF"/>
                <w:lang w:val="es-ES_tradnl" w:eastAsia="en-GB"/>
              </w:rPr>
              <w:t xml:space="preserve">de las </w:t>
            </w:r>
            <w:r w:rsidR="00034CEB" w:rsidRPr="00441B7C">
              <w:rPr>
                <w:rFonts w:ascii="Calibri Light" w:eastAsia="Times New Roman" w:hAnsi="Calibri Light" w:cs="Calibri Light"/>
                <w:b/>
                <w:bCs/>
                <w:color w:val="FFFFFF"/>
                <w:lang w:val="es-ES_tradnl" w:eastAsia="en-GB"/>
              </w:rPr>
              <w:t>AES</w:t>
            </w:r>
            <w:r w:rsidRPr="00441B7C">
              <w:rPr>
                <w:rFonts w:ascii="Calibri Light" w:eastAsia="Times New Roman" w:hAnsi="Calibri Light" w:cs="Calibri Light"/>
                <w:b/>
                <w:bCs/>
                <w:color w:val="FFFFFF"/>
                <w:lang w:val="es-ES_tradnl" w:eastAsia="en-GB"/>
              </w:rPr>
              <w:t>: consumidores/industria</w:t>
            </w:r>
          </w:p>
        </w:tc>
      </w:tr>
      <w:tr w:rsidR="00153BB2" w:rsidRPr="00441B7C" w14:paraId="1D285496" w14:textId="77777777">
        <w:trPr>
          <w:trHeight w:val="300"/>
          <w:jc w:val="center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490" w14:textId="77777777" w:rsidR="00153BB2" w:rsidRPr="00441B7C" w:rsidRDefault="00153B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lang w:val="es-ES_tradnl" w:eastAsia="en-GB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491" w14:textId="77777777" w:rsidR="00153BB2" w:rsidRPr="00441B7C" w:rsidRDefault="00E62A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b/>
                <w:bCs/>
                <w:color w:val="000000"/>
                <w:lang w:val="es-ES_tradnl" w:eastAsia="en-GB"/>
              </w:rPr>
              <w:t>2018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492" w14:textId="77777777" w:rsidR="00153BB2" w:rsidRPr="00441B7C" w:rsidRDefault="00E62A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b/>
                <w:bCs/>
                <w:color w:val="000000"/>
                <w:lang w:val="es-ES_tradnl" w:eastAsia="en-GB"/>
              </w:rPr>
              <w:t>2020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285493" w14:textId="77777777" w:rsidR="00153BB2" w:rsidRPr="00441B7C" w:rsidRDefault="00153BB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val="es-ES_tradnl" w:eastAsia="en-GB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494" w14:textId="77777777" w:rsidR="00153BB2" w:rsidRPr="00441B7C" w:rsidRDefault="00E62A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b/>
                <w:bCs/>
                <w:color w:val="000000"/>
                <w:lang w:val="es-ES_tradnl" w:eastAsia="en-GB"/>
              </w:rPr>
              <w:t>2018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495" w14:textId="77777777" w:rsidR="00153BB2" w:rsidRPr="00441B7C" w:rsidRDefault="00E62A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b/>
                <w:bCs/>
                <w:color w:val="000000"/>
                <w:lang w:val="es-ES_tradnl" w:eastAsia="en-GB"/>
              </w:rPr>
              <w:t>2020</w:t>
            </w:r>
          </w:p>
        </w:tc>
      </w:tr>
      <w:tr w:rsidR="00153BB2" w:rsidRPr="00441B7C" w14:paraId="1D28549D" w14:textId="77777777">
        <w:trPr>
          <w:trHeight w:val="300"/>
          <w:jc w:val="center"/>
        </w:trPr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497" w14:textId="77777777" w:rsidR="00153BB2" w:rsidRPr="00441B7C" w:rsidRDefault="00E62A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b/>
                <w:bCs/>
                <w:color w:val="000000"/>
                <w:lang w:val="es-ES_tradnl" w:eastAsia="en-GB"/>
              </w:rPr>
              <w:t>Valores y Mercados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285498" w14:textId="77777777" w:rsidR="00153BB2" w:rsidRPr="00441B7C" w:rsidRDefault="00153BB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es-ES_tradnl" w:eastAsia="en-GB"/>
              </w:rPr>
            </w:pPr>
          </w:p>
        </w:tc>
        <w:tc>
          <w:tcPr>
            <w:tcW w:w="7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285499" w14:textId="77777777" w:rsidR="00153BB2" w:rsidRPr="00441B7C" w:rsidRDefault="00153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n-GB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49A" w14:textId="77777777" w:rsidR="00153BB2" w:rsidRPr="00441B7C" w:rsidRDefault="00E62A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b/>
                <w:bCs/>
                <w:color w:val="000000"/>
                <w:lang w:val="es-ES_tradnl" w:eastAsia="en-GB"/>
              </w:rPr>
              <w:t>Seguro y reaseguro</w:t>
            </w:r>
          </w:p>
        </w:tc>
        <w:tc>
          <w:tcPr>
            <w:tcW w:w="800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28549B" w14:textId="77777777" w:rsidR="00153BB2" w:rsidRPr="00441B7C" w:rsidRDefault="00153BB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es-ES_tradnl" w:eastAsia="en-GB"/>
              </w:rPr>
            </w:pPr>
          </w:p>
        </w:tc>
        <w:tc>
          <w:tcPr>
            <w:tcW w:w="83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49C" w14:textId="77777777" w:rsidR="00153BB2" w:rsidRPr="00441B7C" w:rsidRDefault="00153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n-GB"/>
              </w:rPr>
            </w:pPr>
          </w:p>
        </w:tc>
      </w:tr>
      <w:tr w:rsidR="00153BB2" w:rsidRPr="00441B7C" w14:paraId="1D2854A4" w14:textId="77777777">
        <w:trPr>
          <w:trHeight w:val="300"/>
          <w:jc w:val="center"/>
        </w:trPr>
        <w:tc>
          <w:tcPr>
            <w:tcW w:w="2722" w:type="dxa"/>
            <w:gridSpan w:val="2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49E" w14:textId="6741F370" w:rsidR="00153BB2" w:rsidRPr="00441B7C" w:rsidRDefault="00E62A76" w:rsidP="00441B7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  <w:t xml:space="preserve">Expertos </w:t>
            </w:r>
            <w:r w:rsidR="00FB3FF0" w:rsidRPr="00441B7C"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  <w:t>consumidores</w:t>
            </w:r>
            <w:r w:rsidR="00F9118F" w:rsidRPr="00441B7C"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  <w:t xml:space="preserve"> </w:t>
            </w:r>
            <w:r w:rsidRPr="00441B7C"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  <w:t>y usuarios</w:t>
            </w:r>
          </w:p>
        </w:tc>
        <w:tc>
          <w:tcPr>
            <w:tcW w:w="76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49F" w14:textId="77777777" w:rsidR="00153BB2" w:rsidRPr="00441B7C" w:rsidRDefault="00E62A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  <w:t>12</w:t>
            </w:r>
          </w:p>
        </w:tc>
        <w:tc>
          <w:tcPr>
            <w:tcW w:w="76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4A0" w14:textId="77777777" w:rsidR="00153BB2" w:rsidRPr="00441B7C" w:rsidRDefault="00E62A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  <w:t>10</w:t>
            </w:r>
          </w:p>
        </w:tc>
        <w:tc>
          <w:tcPr>
            <w:tcW w:w="3137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4A1" w14:textId="68250E64" w:rsidR="00153BB2" w:rsidRPr="00441B7C" w:rsidRDefault="00E62A76" w:rsidP="00441B7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  <w:t xml:space="preserve">Expertos </w:t>
            </w:r>
            <w:r w:rsidR="00FB3FF0" w:rsidRPr="00441B7C"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  <w:t>consumidores</w:t>
            </w:r>
            <w:r w:rsidRPr="00441B7C"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  <w:t>*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4A2" w14:textId="77777777" w:rsidR="00153BB2" w:rsidRPr="00441B7C" w:rsidRDefault="00E62A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  <w:t>10</w:t>
            </w:r>
          </w:p>
        </w:tc>
        <w:tc>
          <w:tcPr>
            <w:tcW w:w="831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4A3" w14:textId="77777777" w:rsidR="00153BB2" w:rsidRPr="00441B7C" w:rsidRDefault="00E62A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  <w:t>9</w:t>
            </w:r>
          </w:p>
        </w:tc>
      </w:tr>
      <w:tr w:rsidR="00153BB2" w:rsidRPr="00441B7C" w14:paraId="1D2854AB" w14:textId="77777777">
        <w:trPr>
          <w:trHeight w:val="300"/>
          <w:jc w:val="center"/>
        </w:trPr>
        <w:tc>
          <w:tcPr>
            <w:tcW w:w="27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4A5" w14:textId="77777777" w:rsidR="00153BB2" w:rsidRPr="00441B7C" w:rsidRDefault="00E62A7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  <w:t>Expertos de la industria*</w:t>
            </w:r>
          </w:p>
        </w:tc>
        <w:tc>
          <w:tcPr>
            <w:tcW w:w="763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4A6" w14:textId="77777777" w:rsidR="00153BB2" w:rsidRPr="00441B7C" w:rsidRDefault="00E62A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  <w:t>10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4A7" w14:textId="77777777" w:rsidR="00153BB2" w:rsidRPr="00441B7C" w:rsidRDefault="00E62A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  <w:t>13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4A8" w14:textId="77777777" w:rsidR="00153BB2" w:rsidRPr="00441B7C" w:rsidRDefault="00E62A7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  <w:t>Expertos de la industria*</w:t>
            </w: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4A9" w14:textId="77777777" w:rsidR="00153BB2" w:rsidRPr="00441B7C" w:rsidRDefault="00E62A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  <w:t>13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4AA" w14:textId="77777777" w:rsidR="00153BB2" w:rsidRPr="00441B7C" w:rsidRDefault="00E62A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  <w:t>15</w:t>
            </w:r>
          </w:p>
        </w:tc>
      </w:tr>
      <w:tr w:rsidR="00153BB2" w:rsidRPr="00441B7C" w14:paraId="1D2854B2" w14:textId="77777777">
        <w:trPr>
          <w:trHeight w:val="300"/>
          <w:jc w:val="center"/>
        </w:trPr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4AC" w14:textId="77777777" w:rsidR="00153BB2" w:rsidRPr="00441B7C" w:rsidRDefault="00E62A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b/>
                <w:bCs/>
                <w:color w:val="000000"/>
                <w:lang w:val="es-ES_tradnl" w:eastAsia="en-GB"/>
              </w:rPr>
              <w:t>Banca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2854AD" w14:textId="77777777" w:rsidR="00153BB2" w:rsidRPr="00441B7C" w:rsidRDefault="00153BB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es-ES_tradnl" w:eastAsia="en-GB"/>
              </w:rPr>
            </w:pPr>
          </w:p>
        </w:tc>
        <w:tc>
          <w:tcPr>
            <w:tcW w:w="7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2854AE" w14:textId="77777777" w:rsidR="00153BB2" w:rsidRPr="00441B7C" w:rsidRDefault="00153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n-GB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4AF" w14:textId="77777777" w:rsidR="00153BB2" w:rsidRPr="00441B7C" w:rsidRDefault="00E62A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b/>
                <w:bCs/>
                <w:color w:val="000000"/>
                <w:lang w:val="es-ES_tradnl" w:eastAsia="en-GB"/>
              </w:rPr>
              <w:t>Pensiones laborales</w:t>
            </w:r>
          </w:p>
        </w:tc>
        <w:tc>
          <w:tcPr>
            <w:tcW w:w="800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2854B0" w14:textId="77777777" w:rsidR="00153BB2" w:rsidRPr="00441B7C" w:rsidRDefault="00153BB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es-ES_tradnl" w:eastAsia="en-GB"/>
              </w:rPr>
            </w:pPr>
          </w:p>
        </w:tc>
        <w:tc>
          <w:tcPr>
            <w:tcW w:w="83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4B1" w14:textId="77777777" w:rsidR="00153BB2" w:rsidRPr="00441B7C" w:rsidRDefault="00153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n-GB"/>
              </w:rPr>
            </w:pPr>
          </w:p>
        </w:tc>
      </w:tr>
      <w:tr w:rsidR="00153BB2" w:rsidRPr="00441B7C" w14:paraId="1D2854B9" w14:textId="77777777">
        <w:trPr>
          <w:trHeight w:val="300"/>
          <w:jc w:val="center"/>
        </w:trPr>
        <w:tc>
          <w:tcPr>
            <w:tcW w:w="2722" w:type="dxa"/>
            <w:gridSpan w:val="2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4B3" w14:textId="29451514" w:rsidR="00153BB2" w:rsidRPr="00441B7C" w:rsidRDefault="00E62A76" w:rsidP="00441B7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  <w:t xml:space="preserve">Expertos </w:t>
            </w:r>
            <w:r w:rsidR="00FB3FF0" w:rsidRPr="00441B7C"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  <w:t>consumidores</w:t>
            </w:r>
            <w:r w:rsidR="00F9118F" w:rsidRPr="00441B7C"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  <w:t xml:space="preserve"> </w:t>
            </w:r>
            <w:r w:rsidRPr="00441B7C"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  <w:t>y usuarios</w:t>
            </w:r>
          </w:p>
        </w:tc>
        <w:tc>
          <w:tcPr>
            <w:tcW w:w="76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4B4" w14:textId="77777777" w:rsidR="00153BB2" w:rsidRPr="00441B7C" w:rsidRDefault="00E62A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  <w:t>9</w:t>
            </w:r>
          </w:p>
        </w:tc>
        <w:tc>
          <w:tcPr>
            <w:tcW w:w="76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4B5" w14:textId="77777777" w:rsidR="00153BB2" w:rsidRPr="00441B7C" w:rsidRDefault="00E62A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  <w:t>9</w:t>
            </w:r>
          </w:p>
        </w:tc>
        <w:tc>
          <w:tcPr>
            <w:tcW w:w="3137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4B6" w14:textId="59ED1054" w:rsidR="00153BB2" w:rsidRPr="00441B7C" w:rsidRDefault="00E62A76" w:rsidP="00441B7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  <w:t xml:space="preserve">Expertos </w:t>
            </w:r>
            <w:r w:rsidR="00FB3FF0" w:rsidRPr="00441B7C"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  <w:t>consumidores</w:t>
            </w:r>
            <w:r w:rsidRPr="00441B7C"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  <w:t>* (participantes en el PP)</w:t>
            </w:r>
          </w:p>
        </w:tc>
        <w:tc>
          <w:tcPr>
            <w:tcW w:w="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4B7" w14:textId="77777777" w:rsidR="00153BB2" w:rsidRPr="00441B7C" w:rsidRDefault="00E62A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  <w:t>8</w:t>
            </w:r>
          </w:p>
        </w:tc>
        <w:tc>
          <w:tcPr>
            <w:tcW w:w="831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4B8" w14:textId="77777777" w:rsidR="00153BB2" w:rsidRPr="00441B7C" w:rsidRDefault="00E62A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  <w:t>5</w:t>
            </w:r>
          </w:p>
        </w:tc>
      </w:tr>
      <w:tr w:rsidR="00153BB2" w:rsidRPr="00441B7C" w14:paraId="1D2854C0" w14:textId="77777777">
        <w:trPr>
          <w:trHeight w:val="300"/>
          <w:jc w:val="center"/>
        </w:trPr>
        <w:tc>
          <w:tcPr>
            <w:tcW w:w="27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4BA" w14:textId="77777777" w:rsidR="00153BB2" w:rsidRPr="00441B7C" w:rsidRDefault="00E62A7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  <w:t>Expertos de la industria*</w:t>
            </w:r>
          </w:p>
        </w:tc>
        <w:tc>
          <w:tcPr>
            <w:tcW w:w="763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4BB" w14:textId="77777777" w:rsidR="00153BB2" w:rsidRPr="00441B7C" w:rsidRDefault="00E62A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  <w:t>10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4BC" w14:textId="77777777" w:rsidR="00153BB2" w:rsidRPr="00441B7C" w:rsidRDefault="00E62A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  <w:t>13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4BD" w14:textId="77777777" w:rsidR="00153BB2" w:rsidRPr="00441B7C" w:rsidRDefault="00E62A7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  <w:t>Industria*</w:t>
            </w: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4BE" w14:textId="77777777" w:rsidR="00153BB2" w:rsidRPr="00441B7C" w:rsidRDefault="00E62A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  <w:t>14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54BF" w14:textId="77777777" w:rsidR="00153BB2" w:rsidRPr="00441B7C" w:rsidRDefault="00E62A7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color w:val="000000"/>
                <w:lang w:val="es-ES_tradnl" w:eastAsia="en-GB"/>
              </w:rPr>
              <w:t>16</w:t>
            </w:r>
          </w:p>
        </w:tc>
      </w:tr>
      <w:tr w:rsidR="00153BB2" w:rsidRPr="00856144" w14:paraId="1D2854C5" w14:textId="77777777">
        <w:trPr>
          <w:trHeight w:val="300"/>
          <w:jc w:val="center"/>
        </w:trPr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54C1" w14:textId="77777777" w:rsidR="00153BB2" w:rsidRPr="00441B7C" w:rsidRDefault="00E62A76">
            <w:pPr>
              <w:spacing w:before="120"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u w:val="single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b/>
                <w:bCs/>
                <w:color w:val="000000"/>
                <w:u w:val="single"/>
                <w:lang w:val="es-ES_tradnl" w:eastAsia="en-GB"/>
              </w:rPr>
              <w:t>Totales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54C2" w14:textId="77777777" w:rsidR="00153BB2" w:rsidRPr="00441B7C" w:rsidRDefault="00E62A76">
            <w:pPr>
              <w:spacing w:before="120"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b/>
                <w:bCs/>
                <w:color w:val="000000"/>
                <w:lang w:val="es-ES_tradnl" w:eastAsia="en-GB"/>
              </w:rPr>
              <w:t>2018</w:t>
            </w:r>
          </w:p>
        </w:tc>
        <w:tc>
          <w:tcPr>
            <w:tcW w:w="7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54C3" w14:textId="77777777" w:rsidR="00153BB2" w:rsidRPr="00441B7C" w:rsidRDefault="00E62A76">
            <w:pPr>
              <w:spacing w:before="120"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b/>
                <w:bCs/>
                <w:color w:val="000000"/>
                <w:lang w:val="es-ES_tradnl" w:eastAsia="en-GB"/>
              </w:rPr>
              <w:t>2020</w:t>
            </w:r>
          </w:p>
        </w:tc>
        <w:tc>
          <w:tcPr>
            <w:tcW w:w="47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54C4" w14:textId="77777777" w:rsidR="00153BB2" w:rsidRPr="00441B7C" w:rsidRDefault="00E62A76">
            <w:pPr>
              <w:spacing w:before="120" w:after="12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es-ES_tradnl" w:eastAsia="en-GB"/>
              </w:rPr>
              <w:t>* consumidores = "consumidores", otros usuarios", personas de la "sociedad civil", etc.</w:t>
            </w:r>
          </w:p>
        </w:tc>
      </w:tr>
      <w:tr w:rsidR="00153BB2" w:rsidRPr="00856144" w14:paraId="1D2854CA" w14:textId="77777777">
        <w:trPr>
          <w:trHeight w:val="300"/>
          <w:jc w:val="center"/>
        </w:trPr>
        <w:tc>
          <w:tcPr>
            <w:tcW w:w="2722" w:type="dxa"/>
            <w:gridSpan w:val="2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54C6" w14:textId="76984AD7" w:rsidR="00153BB2" w:rsidRPr="00441B7C" w:rsidRDefault="00F9118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b/>
                <w:bCs/>
                <w:color w:val="000000"/>
                <w:lang w:val="es-ES_tradnl" w:eastAsia="en-GB"/>
              </w:rPr>
              <w:t>R</w:t>
            </w:r>
            <w:r w:rsidR="00E62A76" w:rsidRPr="00441B7C">
              <w:rPr>
                <w:rFonts w:ascii="Calibri Light" w:eastAsia="Times New Roman" w:hAnsi="Calibri Light" w:cs="Calibri Light"/>
                <w:b/>
                <w:bCs/>
                <w:color w:val="000000"/>
                <w:lang w:val="es-ES_tradnl" w:eastAsia="en-GB"/>
              </w:rPr>
              <w:t>epresentantes de los consumidores</w:t>
            </w:r>
          </w:p>
        </w:tc>
        <w:tc>
          <w:tcPr>
            <w:tcW w:w="76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54C7" w14:textId="77777777" w:rsidR="00153BB2" w:rsidRPr="00441B7C" w:rsidRDefault="00E62A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b/>
                <w:bCs/>
                <w:color w:val="000000"/>
                <w:lang w:val="es-ES_tradnl" w:eastAsia="en-GB"/>
              </w:rPr>
              <w:t>33%</w:t>
            </w:r>
          </w:p>
        </w:tc>
        <w:tc>
          <w:tcPr>
            <w:tcW w:w="76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54C8" w14:textId="77777777" w:rsidR="00153BB2" w:rsidRPr="00441B7C" w:rsidRDefault="00E62A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b/>
                <w:bCs/>
                <w:color w:val="FF0000"/>
                <w:lang w:val="es-ES_tradnl" w:eastAsia="en-GB"/>
              </w:rPr>
              <w:t>28%</w:t>
            </w:r>
          </w:p>
        </w:tc>
        <w:tc>
          <w:tcPr>
            <w:tcW w:w="476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54C9" w14:textId="77777777" w:rsidR="00153BB2" w:rsidRPr="00441B7C" w:rsidRDefault="00E62A76">
            <w:pPr>
              <w:spacing w:after="12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es-ES_tradnl" w:eastAsia="en-GB"/>
              </w:rPr>
              <w:t>** industria = "industria", "participantes del mercado", "IORPs" (planes de pensiones de empleo), "asociaciones profesionales", etc.</w:t>
            </w:r>
          </w:p>
        </w:tc>
      </w:tr>
      <w:tr w:rsidR="00153BB2" w:rsidRPr="00856144" w14:paraId="1D2854CF" w14:textId="77777777">
        <w:trPr>
          <w:trHeight w:val="300"/>
          <w:jc w:val="center"/>
        </w:trPr>
        <w:tc>
          <w:tcPr>
            <w:tcW w:w="27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54CB" w14:textId="77777777" w:rsidR="00153BB2" w:rsidRPr="00441B7C" w:rsidRDefault="00E62A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b/>
                <w:bCs/>
                <w:color w:val="000000"/>
                <w:lang w:val="es-ES_tradnl" w:eastAsia="en-GB"/>
              </w:rPr>
              <w:t>Representantes de la industria</w:t>
            </w:r>
          </w:p>
        </w:tc>
        <w:tc>
          <w:tcPr>
            <w:tcW w:w="763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54CC" w14:textId="77777777" w:rsidR="00153BB2" w:rsidRPr="00441B7C" w:rsidRDefault="00E62A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b/>
                <w:bCs/>
                <w:color w:val="000000"/>
                <w:lang w:val="es-ES_tradnl" w:eastAsia="en-GB"/>
              </w:rPr>
              <w:t>39%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54CD" w14:textId="77777777" w:rsidR="00153BB2" w:rsidRPr="00441B7C" w:rsidRDefault="00E62A7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0000"/>
                <w:lang w:val="es-ES_tradnl" w:eastAsia="en-GB"/>
              </w:rPr>
            </w:pPr>
            <w:r w:rsidRPr="00441B7C">
              <w:rPr>
                <w:rFonts w:ascii="Calibri Light" w:eastAsia="Times New Roman" w:hAnsi="Calibri Light" w:cs="Calibri Light"/>
                <w:b/>
                <w:bCs/>
                <w:color w:val="FF0000"/>
                <w:lang w:val="es-ES_tradnl" w:eastAsia="en-GB"/>
              </w:rPr>
              <w:t>48%</w:t>
            </w:r>
          </w:p>
        </w:tc>
        <w:tc>
          <w:tcPr>
            <w:tcW w:w="47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54CE" w14:textId="4B7C22A0" w:rsidR="00153BB2" w:rsidRPr="00441B7C" w:rsidRDefault="00E62A76" w:rsidP="00441B7C">
            <w:pPr>
              <w:spacing w:after="120" w:line="240" w:lineRule="auto"/>
              <w:rPr>
                <w:lang w:val="es-ES_tradnl"/>
              </w:rPr>
            </w:pPr>
            <w:r w:rsidRPr="00441B7C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u w:val="single"/>
                <w:lang w:val="es-ES_tradnl" w:eastAsia="en-GB"/>
              </w:rPr>
              <w:t>Fuente</w:t>
            </w:r>
            <w:r w:rsidRPr="00441B7C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es-ES_tradnl" w:eastAsia="en-GB"/>
              </w:rPr>
              <w:t xml:space="preserve">: </w:t>
            </w:r>
            <w:r w:rsidR="00F9118F" w:rsidRPr="00441B7C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es-ES_tradnl" w:eastAsia="en-GB"/>
              </w:rPr>
              <w:t>EAS</w:t>
            </w:r>
            <w:r w:rsidRPr="00441B7C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es-ES_tradnl" w:eastAsia="en-GB"/>
              </w:rPr>
              <w:t xml:space="preserve">, análisis BF: el grupo de expertos </w:t>
            </w:r>
            <w:r w:rsidR="00F9118F" w:rsidRPr="00441B7C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es-ES_tradnl" w:eastAsia="en-GB"/>
              </w:rPr>
              <w:t xml:space="preserve">del </w:t>
            </w:r>
            <w:r w:rsidRPr="00441B7C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es-ES_tradnl" w:eastAsia="en-GB"/>
              </w:rPr>
              <w:t xml:space="preserve">ECMI y </w:t>
            </w:r>
            <w:r w:rsidR="00F9118F" w:rsidRPr="00441B7C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es-ES_tradnl" w:eastAsia="en-GB"/>
              </w:rPr>
              <w:t>d</w:t>
            </w:r>
            <w:r w:rsidRPr="00441B7C">
              <w:rPr>
                <w:rFonts w:ascii="Calibri Light" w:eastAsia="Times New Roman" w:hAnsi="Calibri Light" w:cs="Calibri Light"/>
                <w:i/>
                <w:iCs/>
                <w:color w:val="000000"/>
                <w:sz w:val="20"/>
                <w:szCs w:val="20"/>
                <w:lang w:val="es-ES_tradnl" w:eastAsia="en-GB"/>
              </w:rPr>
              <w:t>el FMI no se cuentan como organizaciones de consumidores</w:t>
            </w:r>
          </w:p>
        </w:tc>
      </w:tr>
    </w:tbl>
    <w:p w14:paraId="1D2854D0" w14:textId="379B56C2" w:rsidR="00153BB2" w:rsidRPr="00441B7C" w:rsidRDefault="00E62A76">
      <w:pPr>
        <w:spacing w:before="120" w:after="120" w:line="240" w:lineRule="auto"/>
        <w:jc w:val="both"/>
        <w:rPr>
          <w:lang w:val="es-ES_tradnl"/>
        </w:rPr>
      </w:pPr>
      <w:r w:rsidRPr="00441B7C">
        <w:rPr>
          <w:rFonts w:ascii="Calibri Light" w:eastAsia="Times New Roman" w:hAnsi="Calibri Light" w:cs="Calibri Light"/>
          <w:lang w:val="es-ES_tradnl"/>
        </w:rPr>
        <w:t xml:space="preserve">Guillaume </w:t>
      </w:r>
      <w:proofErr w:type="spellStart"/>
      <w:r w:rsidRPr="00441B7C">
        <w:rPr>
          <w:rFonts w:ascii="Calibri Light" w:eastAsia="Times New Roman" w:hAnsi="Calibri Light" w:cs="Calibri Light"/>
          <w:lang w:val="es-ES_tradnl"/>
        </w:rPr>
        <w:t>Prache</w:t>
      </w:r>
      <w:proofErr w:type="spellEnd"/>
      <w:r w:rsidRPr="00441B7C">
        <w:rPr>
          <w:rFonts w:ascii="Calibri Light" w:eastAsia="Times New Roman" w:hAnsi="Calibri Light" w:cs="Calibri Light"/>
          <w:lang w:val="es-ES_tradnl"/>
        </w:rPr>
        <w:t xml:space="preserve"> subraya que "</w:t>
      </w:r>
      <w:r w:rsidR="00F9118F" w:rsidRPr="00441B7C">
        <w:rPr>
          <w:rFonts w:ascii="Calibri Light" w:eastAsia="Times New Roman" w:hAnsi="Calibri Light" w:cs="Calibri Light"/>
          <w:i/>
          <w:iCs/>
          <w:lang w:val="es-ES_tradnl"/>
        </w:rPr>
        <w:t xml:space="preserve">esta </w:t>
      </w:r>
      <w:r w:rsidRPr="00441B7C">
        <w:rPr>
          <w:rFonts w:ascii="Calibri Light" w:eastAsia="Times New Roman" w:hAnsi="Calibri Light" w:cs="Calibri Light"/>
          <w:i/>
          <w:iCs/>
          <w:lang w:val="es-ES_tradnl"/>
        </w:rPr>
        <w:t xml:space="preserve">medida representa un gran paso atrás, </w:t>
      </w:r>
      <w:r w:rsidR="00F9118F" w:rsidRPr="00441B7C">
        <w:rPr>
          <w:rFonts w:ascii="Calibri Light" w:eastAsia="Times New Roman" w:hAnsi="Calibri Light" w:cs="Calibri Light"/>
          <w:i/>
          <w:iCs/>
          <w:lang w:val="es-ES_tradnl"/>
        </w:rPr>
        <w:t>un regreso</w:t>
      </w:r>
      <w:r w:rsidRPr="00441B7C">
        <w:rPr>
          <w:rFonts w:ascii="Calibri Light" w:eastAsia="Times New Roman" w:hAnsi="Calibri Light" w:cs="Calibri Light"/>
          <w:i/>
          <w:iCs/>
          <w:lang w:val="es-ES_tradnl"/>
        </w:rPr>
        <w:t xml:space="preserve"> a las prácticas anteriores a 2008, cuando la formulación de políticas financieras de la UE se hacía principalmente entre los responsables de las políticas de la UE y los grupos de presión de la industria financiera"</w:t>
      </w:r>
      <w:r w:rsidRPr="00441B7C">
        <w:rPr>
          <w:rFonts w:ascii="Calibri Light" w:eastAsia="Times New Roman" w:hAnsi="Calibri Light" w:cs="Calibri Light"/>
          <w:lang w:val="es-ES_tradnl"/>
        </w:rPr>
        <w:t xml:space="preserve">. Da marcha atrás a algunos de los grandes </w:t>
      </w:r>
      <w:r w:rsidR="00FB3FF0" w:rsidRPr="00441B7C">
        <w:rPr>
          <w:rFonts w:ascii="Calibri Light" w:eastAsia="Times New Roman" w:hAnsi="Calibri Light" w:cs="Calibri Light"/>
          <w:lang w:val="es-ES_tradnl"/>
        </w:rPr>
        <w:t xml:space="preserve">avances </w:t>
      </w:r>
      <w:r w:rsidR="00F9118F" w:rsidRPr="00441B7C">
        <w:rPr>
          <w:rFonts w:ascii="Calibri Light" w:eastAsia="Times New Roman" w:hAnsi="Calibri Light" w:cs="Calibri Light"/>
          <w:lang w:val="es-ES_tradnl"/>
        </w:rPr>
        <w:t xml:space="preserve">conseguidos </w:t>
      </w:r>
      <w:r w:rsidRPr="00441B7C">
        <w:rPr>
          <w:rFonts w:ascii="Calibri Light" w:eastAsia="Times New Roman" w:hAnsi="Calibri Light" w:cs="Calibri Light"/>
          <w:lang w:val="es-ES_tradnl"/>
        </w:rPr>
        <w:t xml:space="preserve">en 2018, cuando BETTER FINANCE </w:t>
      </w:r>
      <w:hyperlink r:id="rId12" w:history="1">
        <w:r w:rsidRPr="00441B7C">
          <w:rPr>
            <w:rStyle w:val="Hipervnculo"/>
            <w:rFonts w:ascii="Calibri Light" w:eastAsia="Times New Roman" w:hAnsi="Calibri Light" w:cs="Calibri Light"/>
            <w:lang w:val="es-ES_tradnl"/>
          </w:rPr>
          <w:t xml:space="preserve">felicitó a </w:t>
        </w:r>
      </w:hyperlink>
      <w:r w:rsidRPr="00441B7C">
        <w:rPr>
          <w:rFonts w:ascii="Calibri Light" w:eastAsia="Times New Roman" w:hAnsi="Calibri Light" w:cs="Calibri Light"/>
          <w:lang w:val="es-ES_tradnl"/>
        </w:rPr>
        <w:t>la AIOPA por haber logrado "reforzar la representación de los consumidores" y estar a la altura del espíritu de los reglamentos de la UE que rigen la supervisión financiera europea</w:t>
      </w:r>
      <w:r w:rsidR="00FB3FF0" w:rsidRPr="00441B7C">
        <w:rPr>
          <w:rFonts w:ascii="Calibri Light" w:eastAsia="Times New Roman" w:hAnsi="Calibri Light" w:cs="Calibri Light"/>
          <w:lang w:val="es-ES_tradnl"/>
        </w:rPr>
        <w:t xml:space="preserve"> y</w:t>
      </w:r>
      <w:r w:rsidRPr="00441B7C">
        <w:rPr>
          <w:rFonts w:ascii="Calibri Light" w:eastAsia="Times New Roman" w:hAnsi="Calibri Light" w:cs="Calibri Light"/>
          <w:lang w:val="es-ES_tradnl"/>
        </w:rPr>
        <w:t xml:space="preserve"> que exigen una proporción equilibrada entre los representantes del sector y los usuarios minoristas. </w:t>
      </w:r>
    </w:p>
    <w:p w14:paraId="1D2854D1" w14:textId="36AEA9EC" w:rsidR="00153BB2" w:rsidRPr="00441B7C" w:rsidRDefault="00E62A76">
      <w:pPr>
        <w:spacing w:after="120" w:line="240" w:lineRule="auto"/>
        <w:jc w:val="both"/>
        <w:rPr>
          <w:lang w:val="es-ES_tradnl"/>
        </w:rPr>
      </w:pPr>
      <w:r w:rsidRPr="00441B7C">
        <w:rPr>
          <w:rFonts w:ascii="Calibri Light" w:eastAsia="Times New Roman" w:hAnsi="Calibri Light" w:cs="Calibri Light"/>
          <w:lang w:val="es-ES_tradnl"/>
        </w:rPr>
        <w:lastRenderedPageBreak/>
        <w:t xml:space="preserve">Estas nuevas composiciones de los Grupos de </w:t>
      </w:r>
      <w:r w:rsidR="00F9118F" w:rsidRPr="00441B7C">
        <w:rPr>
          <w:rFonts w:ascii="Calibri Light" w:eastAsia="Times New Roman" w:hAnsi="Calibri Light" w:cs="Calibri Light"/>
          <w:lang w:val="es-ES_tradnl"/>
        </w:rPr>
        <w:t xml:space="preserve">Partes Interesadas </w:t>
      </w:r>
      <w:r w:rsidRPr="00441B7C">
        <w:rPr>
          <w:rFonts w:ascii="Calibri Light" w:eastAsia="Times New Roman" w:hAnsi="Calibri Light" w:cs="Calibri Light"/>
          <w:lang w:val="es-ES_tradnl"/>
        </w:rPr>
        <w:t xml:space="preserve">van en contra de las recomendaciones recién publicadas </w:t>
      </w:r>
      <w:r w:rsidR="00F9118F" w:rsidRPr="00441B7C">
        <w:rPr>
          <w:rFonts w:ascii="Calibri Light" w:eastAsia="Times New Roman" w:hAnsi="Calibri Light" w:cs="Calibri Light"/>
          <w:lang w:val="es-ES_tradnl"/>
        </w:rPr>
        <w:t xml:space="preserve">por el </w:t>
      </w:r>
      <w:r w:rsidRPr="00441B7C">
        <w:rPr>
          <w:rFonts w:ascii="Calibri Light" w:eastAsia="Times New Roman" w:hAnsi="Calibri Light" w:cs="Calibri Light"/>
          <w:lang w:val="es-ES_tradnl"/>
        </w:rPr>
        <w:t xml:space="preserve">Foro de Alto Nivel de la Comisión Europea sobre </w:t>
      </w:r>
      <w:r w:rsidR="00FB3FF0" w:rsidRPr="00441B7C">
        <w:rPr>
          <w:rFonts w:ascii="Calibri Light" w:eastAsia="Times New Roman" w:hAnsi="Calibri Light" w:cs="Calibri Light"/>
          <w:lang w:val="es-ES_tradnl"/>
        </w:rPr>
        <w:t xml:space="preserve">la </w:t>
      </w:r>
      <w:r w:rsidRPr="00441B7C">
        <w:rPr>
          <w:rFonts w:ascii="Calibri Light" w:eastAsia="Times New Roman" w:hAnsi="Calibri Light" w:cs="Calibri Light"/>
          <w:lang w:val="es-ES_tradnl"/>
        </w:rPr>
        <w:t xml:space="preserve">Unión de Mercados de Capitales, que establece que las Autoridades Europeas de Supervisión deberían </w:t>
      </w:r>
      <w:r w:rsidRPr="00441B7C">
        <w:rPr>
          <w:rFonts w:ascii="Calibri Light" w:eastAsia="Times New Roman" w:hAnsi="Calibri Light" w:cs="Calibri Light"/>
          <w:i/>
          <w:iCs/>
          <w:lang w:val="es-ES_tradnl"/>
        </w:rPr>
        <w:t>"</w:t>
      </w:r>
      <w:r w:rsidR="00F9118F" w:rsidRPr="00441B7C">
        <w:rPr>
          <w:rFonts w:ascii="Calibri Light" w:eastAsia="Times New Roman" w:hAnsi="Calibri Light" w:cs="Calibri Light"/>
          <w:i/>
          <w:iCs/>
          <w:lang w:val="es-ES_tradnl"/>
        </w:rPr>
        <w:t>garantizar</w:t>
      </w:r>
      <w:r w:rsidRPr="00441B7C">
        <w:rPr>
          <w:rFonts w:ascii="Calibri Light" w:eastAsia="Times New Roman" w:hAnsi="Calibri Light" w:cs="Calibri Light"/>
          <w:i/>
          <w:iCs/>
          <w:lang w:val="es-ES_tradnl"/>
        </w:rPr>
        <w:t xml:space="preserve"> una representación equilibrada en los grupos de </w:t>
      </w:r>
      <w:r w:rsidR="00F9118F" w:rsidRPr="00441B7C">
        <w:rPr>
          <w:rFonts w:ascii="Calibri Light" w:eastAsia="Times New Roman" w:hAnsi="Calibri Light" w:cs="Calibri Light"/>
          <w:i/>
          <w:iCs/>
          <w:lang w:val="es-ES_tradnl"/>
        </w:rPr>
        <w:t xml:space="preserve">partes interesadas </w:t>
      </w:r>
      <w:r w:rsidRPr="00441B7C">
        <w:rPr>
          <w:rFonts w:ascii="Calibri Light" w:eastAsia="Times New Roman" w:hAnsi="Calibri Light" w:cs="Calibri Light"/>
          <w:i/>
          <w:iCs/>
          <w:lang w:val="es-ES_tradnl"/>
        </w:rPr>
        <w:t>entre los representantes de la industria y los usuarios/consumidores minoristas</w:t>
      </w:r>
      <w:r w:rsidRPr="00441B7C">
        <w:rPr>
          <w:rFonts w:ascii="Calibri Light" w:eastAsia="Times New Roman" w:hAnsi="Calibri Light" w:cs="Calibri Light"/>
          <w:lang w:val="es-ES_tradnl"/>
        </w:rPr>
        <w:t>"</w:t>
      </w:r>
      <w:r w:rsidRPr="00441B7C">
        <w:rPr>
          <w:rStyle w:val="Refdenotaalpie"/>
          <w:rFonts w:ascii="Calibri Light" w:eastAsia="Times New Roman" w:hAnsi="Calibri Light" w:cs="Calibri Light"/>
          <w:lang w:val="es-ES_tradnl"/>
        </w:rPr>
        <w:footnoteReference w:id="8"/>
      </w:r>
      <w:r w:rsidRPr="00441B7C">
        <w:rPr>
          <w:rFonts w:ascii="Calibri Light" w:eastAsia="Times New Roman" w:hAnsi="Calibri Light" w:cs="Calibri Light"/>
          <w:lang w:val="es-ES_tradnl"/>
        </w:rPr>
        <w:t xml:space="preserve">. </w:t>
      </w:r>
    </w:p>
    <w:p w14:paraId="1D2854D2" w14:textId="77777777" w:rsidR="00153BB2" w:rsidRPr="00441B7C" w:rsidRDefault="00E62A76">
      <w:pPr>
        <w:spacing w:after="0" w:line="240" w:lineRule="auto"/>
        <w:jc w:val="center"/>
        <w:rPr>
          <w:rFonts w:ascii="Calibri Light" w:hAnsi="Calibri Light" w:cs="Calibri Light"/>
          <w:lang w:val="es-ES_tradnl"/>
        </w:rPr>
      </w:pPr>
      <w:r w:rsidRPr="00441B7C">
        <w:rPr>
          <w:rFonts w:ascii="Calibri Light" w:hAnsi="Calibri Light" w:cs="Calibri Light"/>
          <w:lang w:val="es-ES_tradnl"/>
        </w:rPr>
        <w:t>***</w:t>
      </w:r>
    </w:p>
    <w:p w14:paraId="1D2854D4" w14:textId="519C32FC" w:rsidR="00FF2DAB" w:rsidRPr="00856144" w:rsidRDefault="00E62A76" w:rsidP="00856144">
      <w:pPr>
        <w:pStyle w:val="Textoindependiente"/>
        <w:spacing w:after="0" w:line="240" w:lineRule="auto"/>
        <w:rPr>
          <w:lang w:val="es-ES"/>
        </w:rPr>
        <w:sectPr w:rsidR="00FF2DAB" w:rsidRPr="00856144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20"/>
        </w:sectPr>
      </w:pPr>
      <w:r w:rsidRPr="00441B7C">
        <w:rPr>
          <w:rFonts w:ascii="Calibri Light" w:hAnsi="Calibri Light" w:cs="Calibri Light"/>
          <w:sz w:val="20"/>
          <w:u w:val="single"/>
          <w:lang w:val="es-ES_tradnl"/>
        </w:rPr>
        <w:t>Contacto</w:t>
      </w:r>
      <w:r w:rsidRPr="00441B7C">
        <w:rPr>
          <w:rFonts w:ascii="Calibri Light" w:hAnsi="Calibri Light" w:cs="Calibri Light"/>
          <w:sz w:val="20"/>
          <w:lang w:val="es-ES_tradnl"/>
        </w:rPr>
        <w:t xml:space="preserve">: </w:t>
      </w:r>
      <w:r w:rsidR="00F9118F" w:rsidRPr="00441B7C">
        <w:rPr>
          <w:rFonts w:ascii="Calibri Light" w:hAnsi="Calibri Light" w:cs="Calibri Light"/>
          <w:sz w:val="20"/>
          <w:lang w:val="es-ES_tradnl"/>
        </w:rPr>
        <w:t>Director de Comunicación</w:t>
      </w:r>
      <w:r w:rsidRPr="00441B7C">
        <w:rPr>
          <w:rFonts w:ascii="Calibri Light" w:hAnsi="Calibri Light" w:cs="Calibri Light"/>
          <w:sz w:val="20"/>
          <w:lang w:val="es-ES_tradnl"/>
        </w:rPr>
        <w:t xml:space="preserve"> ǀ Arnaud Houdmont ǀ +32 (0)2 514 37 77 ǀ </w:t>
      </w:r>
      <w:bookmarkStart w:id="2" w:name="_GoBack"/>
      <w:r w:rsidR="00856144">
        <w:fldChar w:fldCharType="begin"/>
      </w:r>
      <w:r w:rsidR="00856144" w:rsidRPr="00856144">
        <w:rPr>
          <w:lang w:val="es-ES"/>
        </w:rPr>
        <w:instrText xml:space="preserve"> HYPERLINK "mailto:houdmont@betterfinance.eu" </w:instrText>
      </w:r>
      <w:r w:rsidR="00856144">
        <w:fldChar w:fldCharType="separate"/>
      </w:r>
      <w:r w:rsidRPr="00441B7C">
        <w:rPr>
          <w:rStyle w:val="Hipervnculo"/>
          <w:rFonts w:ascii="Calibri Light" w:hAnsi="Calibri Light" w:cs="Calibri Light"/>
          <w:sz w:val="20"/>
          <w:lang w:val="es-ES_tradnl"/>
        </w:rPr>
        <w:t>houdmont@betterfinance.eu</w:t>
      </w:r>
      <w:r w:rsidR="00856144">
        <w:rPr>
          <w:rStyle w:val="Hipervnculo"/>
          <w:rFonts w:ascii="Calibri Light" w:hAnsi="Calibri Light" w:cs="Calibri Light"/>
          <w:sz w:val="20"/>
          <w:lang w:val="es-ES_tradnl"/>
        </w:rPr>
        <w:fldChar w:fldCharType="end"/>
      </w:r>
      <w:bookmarkEnd w:id="2"/>
    </w:p>
    <w:p w14:paraId="1D2854D6" w14:textId="77777777" w:rsidR="00153BB2" w:rsidRPr="00441B7C" w:rsidRDefault="00153BB2" w:rsidP="00856144">
      <w:pPr>
        <w:rPr>
          <w:lang w:val="es-ES_tradnl"/>
        </w:rPr>
      </w:pPr>
    </w:p>
    <w:sectPr w:rsidR="00153BB2" w:rsidRPr="00441B7C">
      <w:type w:val="continuous"/>
      <w:pgSz w:w="11906" w:h="16838"/>
      <w:pgMar w:top="1440" w:right="720" w:bottom="144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5596E" w14:textId="77777777" w:rsidR="00E25B01" w:rsidRDefault="00E25B01">
      <w:pPr>
        <w:spacing w:after="0" w:line="240" w:lineRule="auto"/>
      </w:pPr>
      <w:r>
        <w:separator/>
      </w:r>
    </w:p>
  </w:endnote>
  <w:endnote w:type="continuationSeparator" w:id="0">
    <w:p w14:paraId="705EE4A0" w14:textId="77777777" w:rsidR="00E25B01" w:rsidRDefault="00E2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85498" w14:textId="77777777" w:rsidR="005F41C6" w:rsidRPr="00E62A76" w:rsidRDefault="00E62A76">
    <w:pPr>
      <w:spacing w:before="120" w:after="0" w:line="240" w:lineRule="auto"/>
      <w:ind w:left="-567"/>
      <w:jc w:val="center"/>
      <w:rPr>
        <w:b/>
        <w:color w:val="006FB4"/>
        <w:sz w:val="16"/>
        <w:szCs w:val="16"/>
        <w:lang w:val="es-ES"/>
      </w:rPr>
    </w:pPr>
    <w:r w:rsidRPr="00E62A76">
      <w:rPr>
        <w:b/>
        <w:color w:val="006FB4"/>
        <w:sz w:val="16"/>
        <w:szCs w:val="16"/>
        <w:lang w:val="es-ES"/>
      </w:rPr>
      <w:t>La Federación Europea de Inversores y Usuarios de Servicios Financieros</w:t>
    </w:r>
  </w:p>
  <w:p w14:paraId="1D285499" w14:textId="77777777" w:rsidR="005F41C6" w:rsidRDefault="00E62A76">
    <w:pPr>
      <w:spacing w:after="0" w:line="240" w:lineRule="auto"/>
      <w:ind w:left="-567"/>
      <w:jc w:val="center"/>
      <w:rPr>
        <w:color w:val="006FB4"/>
        <w:sz w:val="16"/>
        <w:szCs w:val="16"/>
        <w:lang w:val="de-DE"/>
      </w:rPr>
    </w:pPr>
    <w:r>
      <w:rPr>
        <w:color w:val="006FB4"/>
        <w:sz w:val="16"/>
        <w:szCs w:val="16"/>
        <w:lang w:val="de-DE"/>
      </w:rPr>
      <w:t>44, Rue d'Arenberg, 1000 Bruselas - Bélgica</w:t>
    </w:r>
  </w:p>
  <w:p w14:paraId="1D28549A" w14:textId="77777777" w:rsidR="005F41C6" w:rsidRPr="00E62A76" w:rsidRDefault="00E62A76">
    <w:pPr>
      <w:spacing w:after="0" w:line="240" w:lineRule="auto"/>
      <w:ind w:left="-567"/>
      <w:jc w:val="center"/>
      <w:rPr>
        <w:lang w:val="es-ES"/>
      </w:rPr>
    </w:pPr>
    <w:r>
      <w:rPr>
        <w:color w:val="006FB4"/>
        <w:sz w:val="16"/>
        <w:szCs w:val="16"/>
        <w:lang w:val="de-DE"/>
      </w:rPr>
      <w:t xml:space="preserve">Tel. (+32) 02 514 37 77 - Fax. </w:t>
    </w:r>
    <w:r>
      <w:rPr>
        <w:color w:val="006FB4"/>
        <w:sz w:val="16"/>
        <w:szCs w:val="16"/>
        <w:lang w:val="pt-PT"/>
      </w:rPr>
      <w:t>(+32) 02 514 36 66</w:t>
    </w:r>
  </w:p>
  <w:p w14:paraId="1D28549B" w14:textId="77777777" w:rsidR="005F41C6" w:rsidRPr="00E62A76" w:rsidRDefault="00856144">
    <w:pPr>
      <w:spacing w:after="0" w:line="240" w:lineRule="auto"/>
      <w:ind w:left="-567"/>
      <w:jc w:val="center"/>
      <w:rPr>
        <w:lang w:val="es-ES"/>
      </w:rPr>
    </w:pPr>
    <w:r>
      <w:fldChar w:fldCharType="begin"/>
    </w:r>
    <w:r w:rsidRPr="00856144">
      <w:rPr>
        <w:lang w:val="es-ES"/>
      </w:rPr>
      <w:instrText xml:space="preserve"> HYPERLINK "http://www.eurofinuse.org" </w:instrText>
    </w:r>
    <w:r>
      <w:fldChar w:fldCharType="separate"/>
    </w:r>
    <w:r w:rsidR="00E62A76">
      <w:rPr>
        <w:color w:val="006FB4"/>
        <w:sz w:val="16"/>
        <w:szCs w:val="16"/>
        <w:u w:val="single"/>
        <w:lang w:val="it-IT"/>
      </w:rPr>
      <w:t>Correo electrónico</w:t>
    </w:r>
    <w:r>
      <w:rPr>
        <w:color w:val="006FB4"/>
        <w:sz w:val="16"/>
        <w:szCs w:val="16"/>
        <w:u w:val="single"/>
        <w:lang w:val="it-IT"/>
      </w:rPr>
      <w:fldChar w:fldCharType="end"/>
    </w:r>
    <w:r w:rsidR="00E62A76">
      <w:rPr>
        <w:color w:val="006FB4"/>
        <w:sz w:val="16"/>
        <w:szCs w:val="16"/>
        <w:lang w:val="pt-PT"/>
      </w:rPr>
      <w:t xml:space="preserve">: info@betterfinance.eu - </w:t>
    </w:r>
    <w:bookmarkStart w:id="1" w:name="_Hlk944867"/>
    <w:r w:rsidR="00E62A76">
      <w:fldChar w:fldCharType="begin"/>
    </w:r>
    <w:r w:rsidR="00E62A76" w:rsidRPr="00E62A76">
      <w:rPr>
        <w:lang w:val="es-ES"/>
      </w:rPr>
      <w:instrText xml:space="preserve"> HYPERLINK  "http://www.eurofinuse.org" </w:instrText>
    </w:r>
    <w:r w:rsidR="00E62A76">
      <w:fldChar w:fldCharType="separate"/>
    </w:r>
    <w:r w:rsidR="00E62A76">
      <w:rPr>
        <w:color w:val="006FB4"/>
        <w:sz w:val="16"/>
        <w:szCs w:val="16"/>
        <w:u w:val="single"/>
        <w:lang w:val="it-IT"/>
      </w:rPr>
      <w:t xml:space="preserve">http://www.betterfinance.eu </w:t>
    </w:r>
    <w:r w:rsidR="00E62A76">
      <w:rPr>
        <w:color w:val="006FB4"/>
        <w:sz w:val="16"/>
        <w:szCs w:val="16"/>
        <w:u w:val="single"/>
        <w:lang w:val="it-IT"/>
      </w:rP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F00D2" w14:textId="77777777" w:rsidR="00E25B01" w:rsidRDefault="00E25B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32D21C" w14:textId="77777777" w:rsidR="00E25B01" w:rsidRDefault="00E25B01">
      <w:pPr>
        <w:spacing w:after="0" w:line="240" w:lineRule="auto"/>
      </w:pPr>
      <w:r>
        <w:continuationSeparator/>
      </w:r>
    </w:p>
  </w:footnote>
  <w:footnote w:id="1">
    <w:p w14:paraId="1D28548C" w14:textId="1AD59ACE" w:rsidR="00153BB2" w:rsidRPr="00E62A76" w:rsidRDefault="00E62A76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 w:rsidRPr="00E62A76">
        <w:rPr>
          <w:rFonts w:ascii="Calibri Light" w:hAnsi="Calibri Light" w:cs="Calibri Light"/>
          <w:sz w:val="16"/>
          <w:szCs w:val="16"/>
          <w:lang w:val="es-ES"/>
        </w:rPr>
        <w:t xml:space="preserve"> Las </w:t>
      </w:r>
      <w:r w:rsidR="00252E84" w:rsidRPr="00E62A76">
        <w:rPr>
          <w:rFonts w:ascii="Calibri Light" w:hAnsi="Calibri Light" w:cs="Calibri Light"/>
          <w:sz w:val="16"/>
          <w:szCs w:val="16"/>
          <w:lang w:val="es-ES"/>
        </w:rPr>
        <w:t>A</w:t>
      </w:r>
      <w:r w:rsidR="00252E84">
        <w:rPr>
          <w:rFonts w:ascii="Calibri Light" w:hAnsi="Calibri Light" w:cs="Calibri Light"/>
          <w:sz w:val="16"/>
          <w:szCs w:val="16"/>
          <w:lang w:val="es-ES"/>
        </w:rPr>
        <w:t>ES</w:t>
      </w:r>
      <w:r w:rsidR="00252E84" w:rsidRPr="00E62A76">
        <w:rPr>
          <w:rFonts w:ascii="Calibri Light" w:hAnsi="Calibri Light" w:cs="Calibri Light"/>
          <w:sz w:val="16"/>
          <w:szCs w:val="16"/>
          <w:lang w:val="es-ES"/>
        </w:rPr>
        <w:t xml:space="preserve"> </w:t>
      </w:r>
      <w:r w:rsidRPr="00E62A76">
        <w:rPr>
          <w:rFonts w:ascii="Calibri Light" w:hAnsi="Calibri Light" w:cs="Calibri Light"/>
          <w:sz w:val="16"/>
          <w:szCs w:val="16"/>
          <w:lang w:val="es-ES"/>
        </w:rPr>
        <w:t>son la Autoridad Europea de Valores y Mercados (AE</w:t>
      </w:r>
      <w:r w:rsidR="00252E84">
        <w:rPr>
          <w:rFonts w:ascii="Calibri Light" w:hAnsi="Calibri Light" w:cs="Calibri Light"/>
          <w:sz w:val="16"/>
          <w:szCs w:val="16"/>
          <w:lang w:val="es-ES"/>
        </w:rPr>
        <w:t>V</w:t>
      </w:r>
      <w:r w:rsidRPr="00E62A76">
        <w:rPr>
          <w:rFonts w:ascii="Calibri Light" w:hAnsi="Calibri Light" w:cs="Calibri Light"/>
          <w:sz w:val="16"/>
          <w:szCs w:val="16"/>
          <w:lang w:val="es-ES"/>
        </w:rPr>
        <w:t>M), la Autoridad Europea de Seguros y Pensiones de Jubilación (AESPJ) y la Autoridad Bancaria Europea (AEB).</w:t>
      </w:r>
    </w:p>
  </w:footnote>
  <w:footnote w:id="2">
    <w:p w14:paraId="1D28548D" w14:textId="5EF2D04B" w:rsidR="00153BB2" w:rsidRPr="00E62A76" w:rsidRDefault="00E62A76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E62A76">
        <w:rPr>
          <w:rFonts w:ascii="Calibri Light" w:hAnsi="Calibri Light" w:cs="Calibri Light"/>
          <w:sz w:val="16"/>
          <w:szCs w:val="16"/>
          <w:lang w:val="es-ES"/>
        </w:rPr>
        <w:t xml:space="preserve"> </w:t>
      </w:r>
      <w:r w:rsidR="00856144">
        <w:fldChar w:fldCharType="begin"/>
      </w:r>
      <w:r w:rsidR="00856144" w:rsidRPr="00856144">
        <w:rPr>
          <w:lang w:val="es-ES"/>
        </w:rPr>
        <w:instrText xml:space="preserve"> HYPERLINK "https://www.esma.europa.eu/sites/default/files/library/esma22-106-2053-joint_opinion</w:instrText>
      </w:r>
      <w:r w:rsidR="00856144" w:rsidRPr="00856144">
        <w:rPr>
          <w:lang w:val="es-ES"/>
        </w:rPr>
        <w:instrText xml:space="preserve">_esa_review.pdf" </w:instrText>
      </w:r>
      <w:r w:rsidR="00856144">
        <w:fldChar w:fldCharType="separate"/>
      </w:r>
      <w:r w:rsidRPr="00E62A76">
        <w:rPr>
          <w:rStyle w:val="Hipervnculo"/>
          <w:rFonts w:ascii="Calibri Light" w:hAnsi="Calibri Light" w:cs="Calibri Light"/>
          <w:sz w:val="16"/>
          <w:szCs w:val="16"/>
          <w:lang w:val="es-ES"/>
        </w:rPr>
        <w:t xml:space="preserve">Documento de posición conjunta </w:t>
      </w:r>
      <w:r w:rsidR="00856144">
        <w:rPr>
          <w:rStyle w:val="Hipervnculo"/>
          <w:rFonts w:ascii="Calibri Light" w:hAnsi="Calibri Light" w:cs="Calibri Light"/>
          <w:sz w:val="16"/>
          <w:szCs w:val="16"/>
          <w:lang w:val="es-ES"/>
        </w:rPr>
        <w:fldChar w:fldCharType="end"/>
      </w:r>
      <w:r w:rsidRPr="00E62A76">
        <w:rPr>
          <w:rFonts w:ascii="Calibri Light" w:hAnsi="Calibri Light" w:cs="Calibri Light"/>
          <w:sz w:val="16"/>
          <w:szCs w:val="16"/>
          <w:lang w:val="es-ES"/>
        </w:rPr>
        <w:t>sobre el examen de la</w:t>
      </w:r>
      <w:r w:rsidR="00034CEB">
        <w:rPr>
          <w:rFonts w:ascii="Calibri Light" w:hAnsi="Calibri Light" w:cs="Calibri Light"/>
          <w:sz w:val="16"/>
          <w:szCs w:val="16"/>
          <w:lang w:val="es-ES"/>
        </w:rPr>
        <w:t>s</w:t>
      </w:r>
      <w:r w:rsidRPr="00E62A76">
        <w:rPr>
          <w:rFonts w:ascii="Calibri Light" w:hAnsi="Calibri Light" w:cs="Calibri Light"/>
          <w:sz w:val="16"/>
          <w:szCs w:val="16"/>
          <w:lang w:val="es-ES"/>
        </w:rPr>
        <w:t xml:space="preserve"> </w:t>
      </w:r>
      <w:r w:rsidR="00252E84">
        <w:rPr>
          <w:rFonts w:ascii="Calibri Light" w:hAnsi="Calibri Light" w:cs="Calibri Light"/>
          <w:sz w:val="16"/>
          <w:szCs w:val="16"/>
          <w:lang w:val="es-ES"/>
        </w:rPr>
        <w:t>AES</w:t>
      </w:r>
      <w:r w:rsidR="00252E84" w:rsidRPr="00E62A76">
        <w:rPr>
          <w:rFonts w:ascii="Calibri Light" w:hAnsi="Calibri Light" w:cs="Calibri Light"/>
          <w:sz w:val="16"/>
          <w:szCs w:val="16"/>
          <w:lang w:val="es-ES"/>
        </w:rPr>
        <w:t xml:space="preserve"> </w:t>
      </w:r>
      <w:r w:rsidRPr="00E62A76">
        <w:rPr>
          <w:rFonts w:ascii="Calibri Light" w:hAnsi="Calibri Light" w:cs="Calibri Light"/>
          <w:sz w:val="16"/>
          <w:szCs w:val="16"/>
          <w:lang w:val="es-ES"/>
        </w:rPr>
        <w:t xml:space="preserve">del Grupo </w:t>
      </w:r>
      <w:r w:rsidR="00252E84" w:rsidRPr="00E62A76">
        <w:rPr>
          <w:rFonts w:ascii="Calibri Light" w:hAnsi="Calibri Light" w:cs="Calibri Light"/>
          <w:sz w:val="16"/>
          <w:szCs w:val="16"/>
          <w:lang w:val="es-ES"/>
        </w:rPr>
        <w:t>Bancario</w:t>
      </w:r>
      <w:r w:rsidR="00252E84" w:rsidRPr="00E62A76" w:rsidDel="00252E84">
        <w:rPr>
          <w:rFonts w:ascii="Calibri Light" w:hAnsi="Calibri Light" w:cs="Calibri Light"/>
          <w:sz w:val="16"/>
          <w:szCs w:val="16"/>
          <w:lang w:val="es-ES"/>
        </w:rPr>
        <w:t xml:space="preserve"> </w:t>
      </w:r>
      <w:r w:rsidR="00252E84">
        <w:rPr>
          <w:rFonts w:ascii="Calibri Light" w:hAnsi="Calibri Light" w:cs="Calibri Light"/>
          <w:sz w:val="16"/>
          <w:szCs w:val="16"/>
          <w:lang w:val="es-ES"/>
        </w:rPr>
        <w:t>de Partes Interesadas</w:t>
      </w:r>
      <w:r w:rsidRPr="00E62A76">
        <w:rPr>
          <w:rFonts w:ascii="Calibri Light" w:hAnsi="Calibri Light" w:cs="Calibri Light"/>
          <w:sz w:val="16"/>
          <w:szCs w:val="16"/>
          <w:lang w:val="es-ES"/>
        </w:rPr>
        <w:t xml:space="preserve"> </w:t>
      </w:r>
      <w:r w:rsidR="00034CEB">
        <w:rPr>
          <w:rFonts w:ascii="Calibri Light" w:hAnsi="Calibri Light" w:cs="Calibri Light"/>
          <w:sz w:val="16"/>
          <w:szCs w:val="16"/>
          <w:lang w:val="es-ES"/>
        </w:rPr>
        <w:t>del BSG</w:t>
      </w:r>
      <w:r w:rsidRPr="00E62A76">
        <w:rPr>
          <w:rFonts w:ascii="Calibri Light" w:hAnsi="Calibri Light" w:cs="Calibri Light"/>
          <w:sz w:val="16"/>
          <w:szCs w:val="16"/>
          <w:lang w:val="es-ES"/>
        </w:rPr>
        <w:t xml:space="preserve"> (), el Grupo de Interés de Seguros y Reaseguros </w:t>
      </w:r>
      <w:r w:rsidR="00034CEB">
        <w:rPr>
          <w:rFonts w:ascii="Calibri Light" w:hAnsi="Calibri Light" w:cs="Calibri Light"/>
          <w:sz w:val="16"/>
          <w:szCs w:val="16"/>
          <w:lang w:val="es-ES"/>
        </w:rPr>
        <w:t>del ISRG</w:t>
      </w:r>
      <w:r w:rsidRPr="00E62A76">
        <w:rPr>
          <w:rFonts w:ascii="Calibri Light" w:hAnsi="Calibri Light" w:cs="Calibri Light"/>
          <w:sz w:val="16"/>
          <w:szCs w:val="16"/>
          <w:lang w:val="es-ES"/>
        </w:rPr>
        <w:t xml:space="preserve"> y el Grupo de </w:t>
      </w:r>
      <w:r w:rsidR="00252E84">
        <w:rPr>
          <w:rFonts w:ascii="Calibri Light" w:hAnsi="Calibri Light" w:cs="Calibri Light"/>
          <w:sz w:val="16"/>
          <w:szCs w:val="16"/>
          <w:lang w:val="es-ES"/>
        </w:rPr>
        <w:t xml:space="preserve">Partes </w:t>
      </w:r>
      <w:r w:rsidR="00252E84" w:rsidRPr="00E62A76">
        <w:rPr>
          <w:rFonts w:ascii="Calibri Light" w:hAnsi="Calibri Light" w:cs="Calibri Light"/>
          <w:sz w:val="16"/>
          <w:szCs w:val="16"/>
          <w:lang w:val="es-ES"/>
        </w:rPr>
        <w:t>Inter</w:t>
      </w:r>
      <w:r w:rsidR="00252E84">
        <w:rPr>
          <w:rFonts w:ascii="Calibri Light" w:hAnsi="Calibri Light" w:cs="Calibri Light"/>
          <w:sz w:val="16"/>
          <w:szCs w:val="16"/>
          <w:lang w:val="es-ES"/>
        </w:rPr>
        <w:t xml:space="preserve">esadas </w:t>
      </w:r>
      <w:r w:rsidRPr="00E62A76">
        <w:rPr>
          <w:rFonts w:ascii="Calibri Light" w:hAnsi="Calibri Light" w:cs="Calibri Light"/>
          <w:sz w:val="16"/>
          <w:szCs w:val="16"/>
          <w:lang w:val="es-ES"/>
        </w:rPr>
        <w:t xml:space="preserve">de Pensiones Laborales (OPSG), y el Grupo </w:t>
      </w:r>
      <w:r w:rsidR="00252E84">
        <w:rPr>
          <w:rFonts w:ascii="Calibri Light" w:hAnsi="Calibri Light" w:cs="Calibri Light"/>
          <w:sz w:val="16"/>
          <w:szCs w:val="16"/>
          <w:lang w:val="es-ES"/>
        </w:rPr>
        <w:t>de Partes Interesadas</w:t>
      </w:r>
      <w:r w:rsidRPr="00E62A76">
        <w:rPr>
          <w:rFonts w:ascii="Calibri Light" w:hAnsi="Calibri Light" w:cs="Calibri Light"/>
          <w:sz w:val="16"/>
          <w:szCs w:val="16"/>
          <w:lang w:val="es-ES"/>
        </w:rPr>
        <w:t xml:space="preserve"> de Valores y Mercados de la </w:t>
      </w:r>
      <w:r w:rsidR="00252E84">
        <w:rPr>
          <w:rFonts w:ascii="Calibri Light" w:hAnsi="Calibri Light" w:cs="Calibri Light"/>
          <w:sz w:val="16"/>
          <w:szCs w:val="16"/>
          <w:lang w:val="es-ES"/>
        </w:rPr>
        <w:t>AEVM</w:t>
      </w:r>
      <w:r w:rsidR="00252E84" w:rsidRPr="00E62A76">
        <w:rPr>
          <w:rFonts w:ascii="Calibri Light" w:hAnsi="Calibri Light" w:cs="Calibri Light"/>
          <w:sz w:val="16"/>
          <w:szCs w:val="16"/>
          <w:lang w:val="es-ES"/>
        </w:rPr>
        <w:t xml:space="preserve"> </w:t>
      </w:r>
    </w:p>
  </w:footnote>
  <w:footnote w:id="3">
    <w:p w14:paraId="1D28548E" w14:textId="242DC1C3" w:rsidR="00153BB2" w:rsidRPr="00E62A76" w:rsidRDefault="00E62A76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E62A76">
        <w:rPr>
          <w:rFonts w:ascii="Calibri Light" w:hAnsi="Calibri Light" w:cs="Calibri Light"/>
          <w:sz w:val="16"/>
          <w:szCs w:val="16"/>
          <w:lang w:val="es-ES"/>
        </w:rPr>
        <w:t xml:space="preserve"> El Grupo de partes interesadas </w:t>
      </w:r>
      <w:r w:rsidR="00034CEB">
        <w:rPr>
          <w:rFonts w:ascii="Calibri Light" w:hAnsi="Calibri Light" w:cs="Calibri Light"/>
          <w:sz w:val="16"/>
          <w:szCs w:val="16"/>
          <w:lang w:val="es-ES"/>
        </w:rPr>
        <w:t>de</w:t>
      </w:r>
      <w:r w:rsidR="00034CEB" w:rsidRPr="00E62A76">
        <w:rPr>
          <w:rFonts w:ascii="Calibri Light" w:hAnsi="Calibri Light" w:cs="Calibri Light"/>
          <w:sz w:val="16"/>
          <w:szCs w:val="16"/>
          <w:lang w:val="es-ES"/>
        </w:rPr>
        <w:t xml:space="preserve"> </w:t>
      </w:r>
      <w:r w:rsidRPr="00E62A76">
        <w:rPr>
          <w:rFonts w:ascii="Calibri Light" w:hAnsi="Calibri Light" w:cs="Calibri Light"/>
          <w:sz w:val="16"/>
          <w:szCs w:val="16"/>
          <w:lang w:val="es-ES"/>
        </w:rPr>
        <w:t>seguros y reaseguros.</w:t>
      </w:r>
    </w:p>
  </w:footnote>
  <w:footnote w:id="4">
    <w:p w14:paraId="1D28548F" w14:textId="635D3C39" w:rsidR="00153BB2" w:rsidRPr="00E62A76" w:rsidRDefault="00E62A76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E62A76">
        <w:rPr>
          <w:rFonts w:ascii="Calibri Light" w:hAnsi="Calibri Light" w:cs="Calibri Light"/>
          <w:sz w:val="16"/>
          <w:szCs w:val="16"/>
          <w:lang w:val="es-ES"/>
        </w:rPr>
        <w:t xml:space="preserve"> El Grupo </w:t>
      </w:r>
      <w:r w:rsidR="00034CEB">
        <w:rPr>
          <w:rFonts w:ascii="Calibri Light" w:hAnsi="Calibri Light" w:cs="Calibri Light"/>
          <w:sz w:val="16"/>
          <w:szCs w:val="16"/>
          <w:lang w:val="es-ES"/>
        </w:rPr>
        <w:t>de partes interesadas</w:t>
      </w:r>
      <w:r w:rsidRPr="00E62A76">
        <w:rPr>
          <w:rFonts w:ascii="Calibri Light" w:hAnsi="Calibri Light" w:cs="Calibri Light"/>
          <w:sz w:val="16"/>
          <w:szCs w:val="16"/>
          <w:lang w:val="es-ES"/>
        </w:rPr>
        <w:t xml:space="preserve"> </w:t>
      </w:r>
      <w:r w:rsidR="00034CEB">
        <w:rPr>
          <w:rFonts w:ascii="Calibri Light" w:hAnsi="Calibri Light" w:cs="Calibri Light"/>
          <w:sz w:val="16"/>
          <w:szCs w:val="16"/>
          <w:lang w:val="es-ES"/>
        </w:rPr>
        <w:t>de</w:t>
      </w:r>
      <w:r w:rsidR="00034CEB" w:rsidRPr="00E62A76">
        <w:rPr>
          <w:rFonts w:ascii="Calibri Light" w:hAnsi="Calibri Light" w:cs="Calibri Light"/>
          <w:sz w:val="16"/>
          <w:szCs w:val="16"/>
          <w:lang w:val="es-ES"/>
        </w:rPr>
        <w:t xml:space="preserve"> </w:t>
      </w:r>
      <w:r w:rsidRPr="00E62A76">
        <w:rPr>
          <w:rFonts w:ascii="Calibri Light" w:hAnsi="Calibri Light" w:cs="Calibri Light"/>
          <w:sz w:val="16"/>
          <w:szCs w:val="16"/>
          <w:lang w:val="es-ES"/>
        </w:rPr>
        <w:t>Pensiones Laborales.</w:t>
      </w:r>
    </w:p>
  </w:footnote>
  <w:footnote w:id="5">
    <w:p w14:paraId="1D285490" w14:textId="377CD711" w:rsidR="00153BB2" w:rsidRPr="00E62A76" w:rsidRDefault="00E62A76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E62A76">
        <w:rPr>
          <w:rFonts w:ascii="Calibri Light" w:hAnsi="Calibri Light" w:cs="Calibri Light"/>
          <w:sz w:val="16"/>
          <w:szCs w:val="16"/>
          <w:lang w:val="es-ES"/>
        </w:rPr>
        <w:t xml:space="preserve"> El Grupo </w:t>
      </w:r>
      <w:r w:rsidR="00034CEB" w:rsidRPr="00E62A76">
        <w:rPr>
          <w:rFonts w:ascii="Calibri Light" w:hAnsi="Calibri Light" w:cs="Calibri Light"/>
          <w:sz w:val="16"/>
          <w:szCs w:val="16"/>
          <w:lang w:val="es-ES"/>
        </w:rPr>
        <w:t>Bancario</w:t>
      </w:r>
      <w:r w:rsidR="00034CEB" w:rsidRPr="00E62A76" w:rsidDel="00034CEB">
        <w:rPr>
          <w:rFonts w:ascii="Calibri Light" w:hAnsi="Calibri Light" w:cs="Calibri Light"/>
          <w:sz w:val="16"/>
          <w:szCs w:val="16"/>
          <w:lang w:val="es-ES"/>
        </w:rPr>
        <w:t xml:space="preserve"> </w:t>
      </w:r>
      <w:r w:rsidR="00034CEB">
        <w:rPr>
          <w:rFonts w:ascii="Calibri Light" w:hAnsi="Calibri Light" w:cs="Calibri Light"/>
          <w:sz w:val="16"/>
          <w:szCs w:val="16"/>
          <w:lang w:val="es-ES"/>
        </w:rPr>
        <w:t>de partes interesadas</w:t>
      </w:r>
      <w:r w:rsidRPr="00E62A76">
        <w:rPr>
          <w:rFonts w:ascii="Calibri Light" w:hAnsi="Calibri Light" w:cs="Calibri Light"/>
          <w:sz w:val="16"/>
          <w:szCs w:val="16"/>
          <w:lang w:val="es-ES"/>
        </w:rPr>
        <w:t>.</w:t>
      </w:r>
    </w:p>
  </w:footnote>
  <w:footnote w:id="6">
    <w:p w14:paraId="1D285491" w14:textId="4B537061" w:rsidR="00153BB2" w:rsidRPr="00E62A76" w:rsidRDefault="00E62A76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E62A76">
        <w:rPr>
          <w:rFonts w:ascii="Calibri Light" w:hAnsi="Calibri Light" w:cs="Calibri Light"/>
          <w:sz w:val="16"/>
          <w:szCs w:val="16"/>
          <w:lang w:val="es-ES"/>
        </w:rPr>
        <w:t xml:space="preserve"> El Grupo de</w:t>
      </w:r>
      <w:r w:rsidR="00034CEB">
        <w:rPr>
          <w:rFonts w:ascii="Calibri Light" w:hAnsi="Calibri Light" w:cs="Calibri Light"/>
          <w:sz w:val="16"/>
          <w:szCs w:val="16"/>
          <w:lang w:val="es-ES"/>
        </w:rPr>
        <w:t xml:space="preserve"> Partes Interesadas</w:t>
      </w:r>
      <w:r w:rsidRPr="00E62A76">
        <w:rPr>
          <w:rFonts w:ascii="Calibri Light" w:hAnsi="Calibri Light" w:cs="Calibri Light"/>
          <w:sz w:val="16"/>
          <w:szCs w:val="16"/>
          <w:lang w:val="es-ES"/>
        </w:rPr>
        <w:t xml:space="preserve"> Interés </w:t>
      </w:r>
      <w:r w:rsidR="00034CEB">
        <w:rPr>
          <w:rFonts w:ascii="Calibri Light" w:hAnsi="Calibri Light" w:cs="Calibri Light"/>
          <w:sz w:val="16"/>
          <w:szCs w:val="16"/>
          <w:lang w:val="es-ES"/>
        </w:rPr>
        <w:t>de</w:t>
      </w:r>
      <w:r w:rsidRPr="00E62A76">
        <w:rPr>
          <w:rFonts w:ascii="Calibri Light" w:hAnsi="Calibri Light" w:cs="Calibri Light"/>
          <w:sz w:val="16"/>
          <w:szCs w:val="16"/>
          <w:lang w:val="es-ES"/>
        </w:rPr>
        <w:t xml:space="preserve"> Mercados </w:t>
      </w:r>
      <w:r w:rsidR="00856144">
        <w:fldChar w:fldCharType="begin"/>
      </w:r>
      <w:r w:rsidR="00856144" w:rsidRPr="00856144">
        <w:rPr>
          <w:lang w:val="es-ES"/>
        </w:rPr>
        <w:instrText xml:space="preserve"> HYPERLINK "https://www.esma.europa.eu/about-esma/governance/smsg" </w:instrText>
      </w:r>
      <w:r w:rsidR="00856144">
        <w:fldChar w:fldCharType="separate"/>
      </w:r>
      <w:r w:rsidRPr="00E62A76">
        <w:rPr>
          <w:rStyle w:val="Hipervnculo"/>
          <w:rFonts w:ascii="Calibri Light" w:hAnsi="Calibri Light" w:cs="Calibri Light"/>
          <w:sz w:val="16"/>
          <w:szCs w:val="16"/>
          <w:lang w:val="es-ES"/>
        </w:rPr>
        <w:t>y Valores</w:t>
      </w:r>
      <w:r w:rsidR="00856144">
        <w:rPr>
          <w:rStyle w:val="Hipervnculo"/>
          <w:rFonts w:ascii="Calibri Light" w:hAnsi="Calibri Light" w:cs="Calibri Light"/>
          <w:sz w:val="16"/>
          <w:szCs w:val="16"/>
          <w:lang w:val="es-ES"/>
        </w:rPr>
        <w:fldChar w:fldCharType="end"/>
      </w:r>
      <w:r w:rsidRPr="00E62A76">
        <w:rPr>
          <w:rFonts w:ascii="Calibri Light" w:hAnsi="Calibri Light" w:cs="Calibri Light"/>
          <w:sz w:val="16"/>
          <w:szCs w:val="16"/>
          <w:lang w:val="es-ES"/>
        </w:rPr>
        <w:t>.</w:t>
      </w:r>
    </w:p>
  </w:footnote>
  <w:footnote w:id="7">
    <w:p w14:paraId="1D285492" w14:textId="5B0B24D5" w:rsidR="00153BB2" w:rsidRPr="00E62A76" w:rsidRDefault="00E62A76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E62A76">
        <w:rPr>
          <w:rFonts w:ascii="Calibri Light" w:hAnsi="Calibri Light" w:cs="Calibri Light"/>
          <w:sz w:val="16"/>
          <w:szCs w:val="16"/>
          <w:lang w:val="es-ES"/>
        </w:rPr>
        <w:t xml:space="preserve"> </w:t>
      </w:r>
      <w:r w:rsidR="00F9118F" w:rsidRPr="00E62A76">
        <w:rPr>
          <w:rFonts w:ascii="Calibri Light" w:hAnsi="Calibri Light" w:cs="Calibri Light"/>
          <w:sz w:val="16"/>
          <w:szCs w:val="16"/>
          <w:lang w:val="es-ES"/>
        </w:rPr>
        <w:t>Ve</w:t>
      </w:r>
      <w:r w:rsidR="00F9118F">
        <w:rPr>
          <w:rFonts w:ascii="Calibri Light" w:hAnsi="Calibri Light" w:cs="Calibri Light"/>
          <w:sz w:val="16"/>
          <w:szCs w:val="16"/>
          <w:lang w:val="es-ES"/>
        </w:rPr>
        <w:t>r</w:t>
      </w:r>
      <w:r w:rsidR="00F9118F" w:rsidRPr="00E62A76">
        <w:rPr>
          <w:rFonts w:ascii="Calibri Light" w:hAnsi="Calibri Light" w:cs="Calibri Light"/>
          <w:sz w:val="16"/>
          <w:szCs w:val="16"/>
          <w:lang w:val="es-ES"/>
        </w:rPr>
        <w:t xml:space="preserve"> </w:t>
      </w:r>
      <w:r w:rsidRPr="00E62A76">
        <w:rPr>
          <w:rFonts w:ascii="Calibri Light" w:hAnsi="Calibri Light" w:cs="Calibri Light"/>
          <w:sz w:val="16"/>
          <w:szCs w:val="16"/>
          <w:lang w:val="es-ES"/>
        </w:rPr>
        <w:t xml:space="preserve">la posición de BETTER FINANCE aquí: </w:t>
      </w:r>
      <w:r w:rsidR="00856144">
        <w:fldChar w:fldCharType="begin"/>
      </w:r>
      <w:r w:rsidR="00856144" w:rsidRPr="00856144">
        <w:rPr>
          <w:lang w:val="es-ES"/>
        </w:rPr>
        <w:instrText xml:space="preserve"> HYPERLINK "https://betterfinance.eu/publication/alliance-letter-to-the-ep-ec-eu-council-on-the-reform-of-the-european-supervisory-authorities-and-financial-consumer-protection-factual-mistake-in-the-revision-of-the-eiopa-regulation-to-the-detr/" </w:instrText>
      </w:r>
      <w:r w:rsidR="00856144">
        <w:fldChar w:fldCharType="separate"/>
      </w:r>
      <w:r w:rsidRPr="00E62A76">
        <w:rPr>
          <w:rStyle w:val="Hipervnculo"/>
          <w:rFonts w:ascii="Calibri Light" w:hAnsi="Calibri Light" w:cs="Calibri Light"/>
          <w:sz w:val="16"/>
          <w:szCs w:val="16"/>
          <w:lang w:val="es-ES"/>
        </w:rPr>
        <w:t xml:space="preserve">Carta de la Alianza </w:t>
      </w:r>
      <w:r w:rsidR="00856144">
        <w:rPr>
          <w:rStyle w:val="Hipervnculo"/>
          <w:rFonts w:ascii="Calibri Light" w:hAnsi="Calibri Light" w:cs="Calibri Light"/>
          <w:sz w:val="16"/>
          <w:szCs w:val="16"/>
          <w:lang w:val="es-ES"/>
        </w:rPr>
        <w:fldChar w:fldCharType="end"/>
      </w:r>
      <w:r w:rsidRPr="00E62A76">
        <w:rPr>
          <w:rFonts w:ascii="Calibri Light" w:hAnsi="Calibri Light" w:cs="Calibri Light"/>
          <w:sz w:val="16"/>
          <w:szCs w:val="16"/>
          <w:lang w:val="es-ES"/>
        </w:rPr>
        <w:t>al Parlamento Europeo, la CE y el Consejo de la UE sobre la reforma de las Autoridades Europeas de Supervisión y la protección del consumidor financiero</w:t>
      </w:r>
    </w:p>
  </w:footnote>
  <w:footnote w:id="8">
    <w:p w14:paraId="1D285493" w14:textId="77777777" w:rsidR="00153BB2" w:rsidRPr="00E62A76" w:rsidRDefault="00E62A76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E62A76">
        <w:rPr>
          <w:rFonts w:ascii="Calibri Light" w:hAnsi="Calibri Light" w:cs="Calibri Light"/>
          <w:sz w:val="18"/>
          <w:szCs w:val="18"/>
          <w:lang w:val="es-ES"/>
        </w:rPr>
        <w:t xml:space="preserve"> </w:t>
      </w:r>
      <w:r w:rsidR="00856144">
        <w:fldChar w:fldCharType="begin"/>
      </w:r>
      <w:r w:rsidR="00856144" w:rsidRPr="00856144">
        <w:rPr>
          <w:lang w:val="es-ES"/>
        </w:rPr>
        <w:instrText xml:space="preserve"> HYPERLINK "https://ec.europa.eu/info/files/200610-cmu-high-level-forum-final-report_en" </w:instrText>
      </w:r>
      <w:r w:rsidR="00856144">
        <w:fldChar w:fldCharType="separate"/>
      </w:r>
      <w:r w:rsidRPr="00E62A76">
        <w:rPr>
          <w:rStyle w:val="Hipervnculo"/>
          <w:rFonts w:ascii="Calibri Light" w:hAnsi="Calibri Light" w:cs="Calibri Light"/>
          <w:sz w:val="18"/>
          <w:szCs w:val="18"/>
          <w:lang w:val="es-ES"/>
        </w:rPr>
        <w:t xml:space="preserve">Informe final del Foro de Alto </w:t>
      </w:r>
      <w:r w:rsidR="00856144">
        <w:rPr>
          <w:rStyle w:val="Hipervnculo"/>
          <w:rFonts w:ascii="Calibri Light" w:hAnsi="Calibri Light" w:cs="Calibri Light"/>
          <w:sz w:val="18"/>
          <w:szCs w:val="18"/>
          <w:lang w:val="es-ES"/>
        </w:rPr>
        <w:fldChar w:fldCharType="end"/>
      </w:r>
      <w:r w:rsidRPr="00E62A76">
        <w:rPr>
          <w:rFonts w:ascii="Calibri Light" w:hAnsi="Calibri Light" w:cs="Calibri Light"/>
          <w:sz w:val="18"/>
          <w:szCs w:val="18"/>
          <w:lang w:val="es-ES"/>
        </w:rPr>
        <w:t>Nivel sobre la Unión de Mercados de Capitales - Una nueva visión de los mercados de capitales de Europa, P. 119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85492" w14:textId="77777777" w:rsidR="005F41C6" w:rsidRDefault="00E62A76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58752" behindDoc="0" locked="0" layoutInCell="1" allowOverlap="1" wp14:anchorId="1D28548A" wp14:editId="1D28548B">
          <wp:simplePos x="0" y="0"/>
          <wp:positionH relativeFrom="margin">
            <wp:posOffset>2564133</wp:posOffset>
          </wp:positionH>
          <wp:positionV relativeFrom="paragraph">
            <wp:posOffset>-189225</wp:posOffset>
          </wp:positionV>
          <wp:extent cx="3138165" cy="645164"/>
          <wp:effectExtent l="0" t="0" r="5085" b="2536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8165" cy="64516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D285493" w14:textId="77777777" w:rsidR="005F41C6" w:rsidRDefault="00856144">
    <w:pPr>
      <w:pStyle w:val="Encabezado"/>
    </w:pPr>
  </w:p>
  <w:p w14:paraId="1D285494" w14:textId="77777777" w:rsidR="005F41C6" w:rsidRDefault="00856144">
    <w:pPr>
      <w:pStyle w:val="Encabezado"/>
      <w:rPr>
        <w:sz w:val="12"/>
        <w:szCs w:val="12"/>
      </w:rPr>
    </w:pPr>
  </w:p>
  <w:p w14:paraId="1D285495" w14:textId="77777777" w:rsidR="005F41C6" w:rsidRDefault="00856144">
    <w:pPr>
      <w:pStyle w:val="Encabezado"/>
      <w:rPr>
        <w:sz w:val="12"/>
        <w:szCs w:val="12"/>
      </w:rPr>
    </w:pPr>
  </w:p>
  <w:p w14:paraId="1D285496" w14:textId="77777777" w:rsidR="005F41C6" w:rsidRDefault="00856144">
    <w:pPr>
      <w:pStyle w:val="Encabezado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3BB2"/>
    <w:rsid w:val="00034CEB"/>
    <w:rsid w:val="00153BB2"/>
    <w:rsid w:val="00252E84"/>
    <w:rsid w:val="00265B3F"/>
    <w:rsid w:val="00441B7C"/>
    <w:rsid w:val="00856144"/>
    <w:rsid w:val="00E25B01"/>
    <w:rsid w:val="00E62A76"/>
    <w:rsid w:val="00F30BD4"/>
    <w:rsid w:val="00F9118F"/>
    <w:rsid w:val="00FB3FF0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5481"/>
  <w15:docId w15:val="{3C3983E0-BDBE-4993-8F6B-8D0F7CFD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mbria" w:eastAsia="SimSun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Cambria" w:eastAsia="SimSun" w:hAnsi="Cambria" w:cs="Times New Roman"/>
      <w:color w:val="365F9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Fuentedeprrafopredeter"/>
  </w:style>
  <w:style w:type="paragraph" w:styleId="Piedepgina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Fuentedeprrafopredeter"/>
  </w:style>
  <w:style w:type="paragraph" w:styleId="Textoindependiente">
    <w:name w:val="Body Text"/>
    <w:basedOn w:val="Normal"/>
    <w:pPr>
      <w:spacing w:line="240" w:lineRule="exact"/>
    </w:pPr>
    <w:rPr>
      <w:rFonts w:ascii="Tahoma" w:eastAsia="Times New Roman" w:hAnsi="Tahoma" w:cs="Times New Roman"/>
      <w:spacing w:val="10"/>
      <w:sz w:val="17"/>
      <w:szCs w:val="20"/>
      <w:lang w:val="en-US"/>
    </w:rPr>
  </w:style>
  <w:style w:type="character" w:customStyle="1" w:styleId="BodyTextChar">
    <w:name w:val="Body Text Char"/>
    <w:basedOn w:val="Fuentedeprrafopredeter"/>
    <w:rPr>
      <w:rFonts w:ascii="Tahoma" w:eastAsia="Times New Roman" w:hAnsi="Tahoma" w:cs="Times New Roman"/>
      <w:spacing w:val="10"/>
      <w:sz w:val="17"/>
      <w:szCs w:val="20"/>
      <w:lang w:val="en-US"/>
    </w:r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</w:pPr>
    <w:rPr>
      <w:rFonts w:ascii="Cambria" w:eastAsia="SimSun" w:hAnsi="Cambria" w:cs="Times New Roman"/>
      <w:spacing w:val="-10"/>
      <w:kern w:val="3"/>
      <w:sz w:val="56"/>
      <w:szCs w:val="56"/>
    </w:rPr>
  </w:style>
  <w:style w:type="character" w:customStyle="1" w:styleId="TitleChar">
    <w:name w:val="Title Char"/>
    <w:basedOn w:val="Fuentedeprrafopredeter"/>
    <w:rPr>
      <w:rFonts w:ascii="Cambria" w:eastAsia="SimSun" w:hAnsi="Cambria" w:cs="Times New Roman"/>
      <w:spacing w:val="-10"/>
      <w:kern w:val="3"/>
      <w:sz w:val="56"/>
      <w:szCs w:val="56"/>
    </w:rPr>
  </w:style>
  <w:style w:type="paragraph" w:styleId="Textodeglobo">
    <w:name w:val="Balloon Text"/>
    <w:basedOn w:val="Normal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Fuentedeprrafopredeter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comentario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Fuentedeprrafopredeter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Textonotapie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Fuentedeprrafopredeter"/>
    <w:rPr>
      <w:sz w:val="20"/>
      <w:szCs w:val="20"/>
    </w:rPr>
  </w:style>
  <w:style w:type="character" w:styleId="Refdenotaalpie">
    <w:name w:val="footnote reference"/>
    <w:basedOn w:val="Fuentedeprrafopredeter"/>
    <w:rPr>
      <w:position w:val="0"/>
      <w:vertAlign w:val="superscript"/>
    </w:rPr>
  </w:style>
  <w:style w:type="character" w:styleId="Textoennegrita">
    <w:name w:val="Strong"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customStyle="1" w:styleId="Heading2Char">
    <w:name w:val="Heading 2 Char"/>
    <w:basedOn w:val="Fuentedeprrafopredeter"/>
    <w:rPr>
      <w:rFonts w:ascii="Cambria" w:eastAsia="SimSun" w:hAnsi="Cambria" w:cs="Times New Roman"/>
      <w:color w:val="365F91"/>
      <w:sz w:val="26"/>
      <w:szCs w:val="26"/>
    </w:rPr>
  </w:style>
  <w:style w:type="paragraph" w:styleId="Prrafodelista">
    <w:name w:val="List Paragraph"/>
    <w:basedOn w:val="Normal"/>
    <w:pPr>
      <w:ind w:left="720"/>
    </w:pPr>
  </w:style>
  <w:style w:type="character" w:customStyle="1" w:styleId="Heading1Char">
    <w:name w:val="Heading 1 Char"/>
    <w:basedOn w:val="Fuentedeprrafopredeter"/>
    <w:rPr>
      <w:rFonts w:ascii="Cambria" w:eastAsia="SimSun" w:hAnsi="Cambria" w:cs="Times New Roman"/>
      <w:color w:val="365F91"/>
      <w:sz w:val="32"/>
      <w:szCs w:val="32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betterfinance.eu/wp-content/uploads/PR_-_EIOPA_IRSG___OPSG_-_1907201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etterfinance.eu/publication/alliance-letter-to-the-ep-ec-eu-council-on-the-reform-of-the-european-supervisory-authorities-and-financial-consumer-protection-factual-mistake-in-the-revision-of-the-eiopa-regulation-to-the-det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08A9776426D41840A8C2CCB15B3F3" ma:contentTypeVersion="12" ma:contentTypeDescription="Create a new document." ma:contentTypeScope="" ma:versionID="fad30e866c7e5bd87e01b4be7e13f445">
  <xsd:schema xmlns:xsd="http://www.w3.org/2001/XMLSchema" xmlns:xs="http://www.w3.org/2001/XMLSchema" xmlns:p="http://schemas.microsoft.com/office/2006/metadata/properties" xmlns:ns2="fd160c09-1844-45b0-b4f1-cf53e6c3c76a" xmlns:ns3="8e72f4a7-cae9-4e97-b541-2580a12d1989" targetNamespace="http://schemas.microsoft.com/office/2006/metadata/properties" ma:root="true" ma:fieldsID="3d251b770648fbf44b28e39a1ec2cbaa" ns2:_="" ns3:_="">
    <xsd:import namespace="fd160c09-1844-45b0-b4f1-cf53e6c3c76a"/>
    <xsd:import namespace="8e72f4a7-cae9-4e97-b541-2580a12d1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60c09-1844-45b0-b4f1-cf53e6c3c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2f4a7-cae9-4e97-b541-2580a12d1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F66FF1-F3F9-4D32-A40A-90B067EFE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60c09-1844-45b0-b4f1-cf53e6c3c76a"/>
    <ds:schemaRef ds:uri="8e72f4a7-cae9-4e97-b541-2580a12d1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34F92B-D737-4354-9CA8-F8460B659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AA136-1BC3-48C9-9C58-A08A151623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1097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Houdmont</dc:creator>
  <cp:lastModifiedBy>Usuario</cp:lastModifiedBy>
  <cp:revision>3</cp:revision>
  <cp:lastPrinted>2020-06-09T11:09:00Z</cp:lastPrinted>
  <dcterms:created xsi:type="dcterms:W3CDTF">2020-12-07T07:37:00Z</dcterms:created>
  <dcterms:modified xsi:type="dcterms:W3CDTF">2020-12-21T16:58:00Z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0x010100B5308A9776426D41840A8C2CCB15B3F3</vt:lpwstr>
  </property>
</Properties>
</file>