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D0A05" w14:textId="07EA970C" w:rsidR="008D4F79" w:rsidRPr="00977132" w:rsidRDefault="008D4F79">
      <w:pPr>
        <w:rPr>
          <w:lang w:val="es-ES"/>
        </w:rPr>
      </w:pPr>
    </w:p>
    <w:p w14:paraId="010D0A06" w14:textId="77777777" w:rsidR="008D4F79" w:rsidRPr="00977132" w:rsidRDefault="00CA1DA6">
      <w:pPr>
        <w:pStyle w:val="Textoindependiente"/>
        <w:spacing w:after="120" w:line="312" w:lineRule="auto"/>
        <w:jc w:val="both"/>
        <w:rPr>
          <w:lang w:val="es-ES"/>
        </w:rPr>
      </w:pPr>
      <w:bookmarkStart w:id="0" w:name="_Hlk4143464"/>
      <w:r w:rsidRPr="00977132">
        <w:rPr>
          <w:rStyle w:val="Textoennegrita"/>
          <w:rFonts w:ascii="Calibri Light" w:hAnsi="Calibri Light" w:cs="Calibri Light"/>
          <w:sz w:val="18"/>
          <w:lang w:val="es-ES"/>
        </w:rPr>
        <w:t xml:space="preserve">COMUNICADO DE PRENSA </w:t>
      </w:r>
    </w:p>
    <w:p w14:paraId="010D0A07" w14:textId="6D200D13" w:rsidR="008D4F79" w:rsidRPr="00977132" w:rsidRDefault="003E70F4">
      <w:pPr>
        <w:pBdr>
          <w:bottom w:val="single" w:sz="6" w:space="1" w:color="000000"/>
        </w:pBdr>
        <w:spacing w:before="120" w:after="120"/>
        <w:jc w:val="both"/>
        <w:rPr>
          <w:lang w:val="es-ES"/>
        </w:rPr>
      </w:pPr>
      <w:r w:rsidRPr="00977132">
        <w:rPr>
          <w:rFonts w:ascii="Calibri Light" w:hAnsi="Calibri Light" w:cs="Calibri Light"/>
          <w:b/>
          <w:color w:val="365F91"/>
          <w:spacing w:val="20"/>
          <w:kern w:val="3"/>
          <w:sz w:val="30"/>
          <w:szCs w:val="30"/>
          <w:lang w:val="es-ES"/>
        </w:rPr>
        <w:t>¿</w:t>
      </w:r>
      <w:r w:rsidR="00CA1DA6" w:rsidRPr="00977132">
        <w:rPr>
          <w:rFonts w:ascii="Calibri Light" w:hAnsi="Calibri Light" w:cs="Calibri Light"/>
          <w:b/>
          <w:color w:val="365F91"/>
          <w:spacing w:val="20"/>
          <w:kern w:val="3"/>
          <w:sz w:val="30"/>
          <w:szCs w:val="30"/>
          <w:lang w:val="es-ES"/>
        </w:rPr>
        <w:t xml:space="preserve">PENSIONES </w:t>
      </w:r>
      <w:r w:rsidR="0093791B" w:rsidRPr="00977132">
        <w:rPr>
          <w:rFonts w:ascii="Calibri Light" w:hAnsi="Calibri Light" w:cs="Calibri Light"/>
          <w:b/>
          <w:color w:val="365F91"/>
          <w:spacing w:val="20"/>
          <w:kern w:val="3"/>
          <w:sz w:val="30"/>
          <w:szCs w:val="30"/>
          <w:lang w:val="es-ES"/>
        </w:rPr>
        <w:t>AFECTADAS POR</w:t>
      </w:r>
      <w:r w:rsidRPr="00977132">
        <w:rPr>
          <w:rFonts w:ascii="Calibri Light" w:hAnsi="Calibri Light" w:cs="Calibri Light"/>
          <w:b/>
          <w:color w:val="365F91"/>
          <w:spacing w:val="20"/>
          <w:kern w:val="3"/>
          <w:sz w:val="30"/>
          <w:szCs w:val="30"/>
          <w:lang w:val="es-ES"/>
        </w:rPr>
        <w:t xml:space="preserve"> EL CORONAVIRUS</w:t>
      </w:r>
      <w:r w:rsidR="00CA1DA6" w:rsidRPr="00977132">
        <w:rPr>
          <w:rFonts w:ascii="Calibri Light" w:hAnsi="Calibri Light" w:cs="Calibri Light"/>
          <w:b/>
          <w:color w:val="365F91"/>
          <w:spacing w:val="20"/>
          <w:kern w:val="3"/>
          <w:sz w:val="30"/>
          <w:szCs w:val="30"/>
          <w:lang w:val="es-ES"/>
        </w:rPr>
        <w:t xml:space="preserve">? AGE Europa, BETTER FINANCE y el Instituto CFA piden medidas para proteger las </w:t>
      </w:r>
      <w:r w:rsidRPr="00977132">
        <w:rPr>
          <w:rFonts w:ascii="Calibri Light" w:hAnsi="Calibri Light" w:cs="Calibri Light"/>
          <w:b/>
          <w:color w:val="365F91"/>
          <w:spacing w:val="20"/>
          <w:kern w:val="3"/>
          <w:sz w:val="30"/>
          <w:szCs w:val="30"/>
          <w:lang w:val="es-ES"/>
        </w:rPr>
        <w:t>cotizaciones al régimen de pensiones</w:t>
      </w:r>
      <w:r w:rsidR="00CA1DA6" w:rsidRPr="00977132">
        <w:rPr>
          <w:rFonts w:ascii="Calibri Light" w:hAnsi="Calibri Light" w:cs="Calibri Light"/>
          <w:b/>
          <w:color w:val="365F91"/>
          <w:spacing w:val="20"/>
          <w:kern w:val="3"/>
          <w:sz w:val="30"/>
          <w:szCs w:val="30"/>
          <w:lang w:val="es-ES"/>
        </w:rPr>
        <w:t xml:space="preserve">, los ahorros </w:t>
      </w:r>
      <w:r w:rsidR="0093791B" w:rsidRPr="00977132">
        <w:rPr>
          <w:rFonts w:ascii="Calibri Light" w:hAnsi="Calibri Light" w:cs="Calibri Light"/>
          <w:b/>
          <w:color w:val="365F91"/>
          <w:spacing w:val="20"/>
          <w:kern w:val="3"/>
          <w:sz w:val="30"/>
          <w:szCs w:val="30"/>
          <w:lang w:val="es-ES"/>
        </w:rPr>
        <w:t xml:space="preserve">para las pensiones y </w:t>
      </w:r>
      <w:r w:rsidR="00CA1DA6" w:rsidRPr="00977132">
        <w:rPr>
          <w:rFonts w:ascii="Calibri Light" w:hAnsi="Calibri Light" w:cs="Calibri Light"/>
          <w:b/>
          <w:color w:val="365F91"/>
          <w:spacing w:val="20"/>
          <w:kern w:val="3"/>
          <w:sz w:val="30"/>
          <w:szCs w:val="30"/>
          <w:lang w:val="es-ES"/>
        </w:rPr>
        <w:t>los pagos</w:t>
      </w:r>
      <w:bookmarkEnd w:id="0"/>
      <w:r w:rsidR="00CA1DA6" w:rsidRPr="00977132">
        <w:rPr>
          <w:rFonts w:ascii="Calibri Light" w:hAnsi="Calibri Light" w:cs="Calibri Light"/>
          <w:b/>
          <w:color w:val="365F91"/>
          <w:spacing w:val="20"/>
          <w:kern w:val="3"/>
          <w:sz w:val="30"/>
          <w:szCs w:val="30"/>
          <w:lang w:val="es-ES"/>
        </w:rPr>
        <w:t xml:space="preserve">. </w:t>
      </w:r>
    </w:p>
    <w:p w14:paraId="010D0A08" w14:textId="353551C6" w:rsidR="008D4F79" w:rsidRPr="00977132" w:rsidRDefault="00CA1DA6">
      <w:pPr>
        <w:jc w:val="both"/>
        <w:rPr>
          <w:lang w:val="es-ES"/>
        </w:rPr>
      </w:pPr>
      <w:r w:rsidRPr="00977132">
        <w:rPr>
          <w:rFonts w:ascii="Calibri Light" w:hAnsi="Calibri Light" w:cs="Calibri Light"/>
          <w:b/>
          <w:bCs/>
          <w:lang w:val="es-ES"/>
        </w:rPr>
        <w:t xml:space="preserve">Bruselas, 23 de abril de 2020 </w:t>
      </w:r>
      <w:r w:rsidRPr="00977132">
        <w:rPr>
          <w:rFonts w:ascii="Calibri Light" w:hAnsi="Calibri Light" w:cs="Calibri Light"/>
          <w:lang w:val="es-ES"/>
        </w:rPr>
        <w:t>- Las necesarias medidas sanitarias, de cuarentena y de distanciamiento social adoptadas para luchar contra la actual pandemia de Covid-19</w:t>
      </w:r>
      <w:r w:rsidR="003E70F4" w:rsidRPr="00977132">
        <w:rPr>
          <w:rFonts w:ascii="Calibri Light" w:hAnsi="Calibri Light" w:cs="Calibri Light"/>
          <w:lang w:val="es-ES"/>
        </w:rPr>
        <w:t>,</w:t>
      </w:r>
      <w:r w:rsidRPr="00977132">
        <w:rPr>
          <w:rFonts w:ascii="Calibri Light" w:hAnsi="Calibri Light" w:cs="Calibri Light"/>
          <w:lang w:val="es-ES"/>
        </w:rPr>
        <w:t xml:space="preserve"> están pasando factura a las economías de todo el mundo. Esta estrategia, crucial para la lucha, </w:t>
      </w:r>
      <w:r w:rsidR="003E70F4" w:rsidRPr="00977132">
        <w:rPr>
          <w:rFonts w:ascii="Calibri Light" w:hAnsi="Calibri Light" w:cs="Calibri Light"/>
          <w:lang w:val="es-ES"/>
        </w:rPr>
        <w:t>acompañada de</w:t>
      </w:r>
      <w:r w:rsidRPr="00977132">
        <w:rPr>
          <w:rFonts w:ascii="Calibri Light" w:hAnsi="Calibri Light" w:cs="Calibri Light"/>
          <w:lang w:val="es-ES"/>
        </w:rPr>
        <w:t xml:space="preserve"> expansiones monetarias y presupuestarias de </w:t>
      </w:r>
      <w:r w:rsidR="003E70F4" w:rsidRPr="00977132">
        <w:rPr>
          <w:rFonts w:ascii="Calibri Light" w:hAnsi="Calibri Light" w:cs="Calibri Light"/>
          <w:lang w:val="es-ES"/>
        </w:rPr>
        <w:t xml:space="preserve">una </w:t>
      </w:r>
      <w:r w:rsidRPr="00977132">
        <w:rPr>
          <w:rFonts w:ascii="Calibri Light" w:hAnsi="Calibri Light" w:cs="Calibri Light"/>
          <w:lang w:val="es-ES"/>
        </w:rPr>
        <w:t xml:space="preserve">magnitud nunca vista, tendrá consecuencias económicas duraderas y perjudiciales debido </w:t>
      </w:r>
      <w:r w:rsidR="003E70F4" w:rsidRPr="00977132">
        <w:rPr>
          <w:rFonts w:ascii="Calibri Light" w:hAnsi="Calibri Light" w:cs="Calibri Light"/>
          <w:lang w:val="es-ES"/>
        </w:rPr>
        <w:t>a la</w:t>
      </w:r>
      <w:r w:rsidRPr="00977132">
        <w:rPr>
          <w:rFonts w:ascii="Calibri Light" w:hAnsi="Calibri Light" w:cs="Calibri Light"/>
          <w:lang w:val="es-ES"/>
        </w:rPr>
        <w:t xml:space="preserve"> </w:t>
      </w:r>
      <w:r w:rsidR="003E70F4" w:rsidRPr="00977132">
        <w:rPr>
          <w:rFonts w:ascii="Calibri Light" w:hAnsi="Calibri Light" w:cs="Calibri Light"/>
          <w:lang w:val="es-ES"/>
        </w:rPr>
        <w:t xml:space="preserve">repentina </w:t>
      </w:r>
      <w:r w:rsidRPr="00977132">
        <w:rPr>
          <w:rFonts w:ascii="Calibri Light" w:hAnsi="Calibri Light" w:cs="Calibri Light"/>
          <w:lang w:val="es-ES"/>
        </w:rPr>
        <w:t xml:space="preserve">y legalmente </w:t>
      </w:r>
      <w:r w:rsidR="003E70F4" w:rsidRPr="00977132">
        <w:rPr>
          <w:rFonts w:ascii="Calibri Light" w:hAnsi="Calibri Light" w:cs="Calibri Light"/>
          <w:lang w:val="es-ES"/>
        </w:rPr>
        <w:t xml:space="preserve">impuesta paralización </w:t>
      </w:r>
      <w:r w:rsidRPr="00977132">
        <w:rPr>
          <w:rFonts w:ascii="Calibri Light" w:hAnsi="Calibri Light" w:cs="Calibri Light"/>
          <w:lang w:val="es-ES"/>
        </w:rPr>
        <w:t xml:space="preserve">de nuestras economías. </w:t>
      </w:r>
    </w:p>
    <w:p w14:paraId="010D0A09" w14:textId="00783AAF" w:rsidR="008D4F79" w:rsidRPr="00977132" w:rsidRDefault="00CA1DA6">
      <w:pPr>
        <w:jc w:val="both"/>
        <w:rPr>
          <w:lang w:val="es-ES"/>
        </w:rPr>
      </w:pPr>
      <w:r w:rsidRPr="00977132">
        <w:rPr>
          <w:rFonts w:ascii="Calibri Light" w:hAnsi="Calibri Light" w:cs="Calibri Light"/>
          <w:lang w:val="es-ES"/>
        </w:rPr>
        <w:t xml:space="preserve">Tras la crisis financiera, los gobiernos, en un intento por reavivar el crecimiento, asumieron nuevas deudas. Los bancos centrales </w:t>
      </w:r>
      <w:r w:rsidR="003E70F4" w:rsidRPr="00977132">
        <w:rPr>
          <w:rFonts w:ascii="Calibri Light" w:hAnsi="Calibri Light" w:cs="Calibri Light"/>
          <w:lang w:val="es-ES"/>
        </w:rPr>
        <w:t>imprimieron</w:t>
      </w:r>
      <w:r w:rsidRPr="00977132">
        <w:rPr>
          <w:rFonts w:ascii="Calibri Light" w:hAnsi="Calibri Light" w:cs="Calibri Light"/>
          <w:lang w:val="es-ES"/>
        </w:rPr>
        <w:t xml:space="preserve"> dinero como nunca antes</w:t>
      </w:r>
      <w:r w:rsidR="003E70F4" w:rsidRPr="00977132">
        <w:rPr>
          <w:rFonts w:ascii="Calibri Light" w:hAnsi="Calibri Light" w:cs="Calibri Light"/>
          <w:lang w:val="es-ES"/>
        </w:rPr>
        <w:t xml:space="preserve"> lo habían hecho</w:t>
      </w:r>
      <w:r w:rsidRPr="00977132">
        <w:rPr>
          <w:rFonts w:ascii="Calibri Light" w:hAnsi="Calibri Light" w:cs="Calibri Light"/>
          <w:lang w:val="es-ES"/>
        </w:rPr>
        <w:t>, con sus balances inflándose en los últimos años</w:t>
      </w:r>
      <w:r w:rsidRPr="00977132">
        <w:rPr>
          <w:rStyle w:val="Refdenotaalpie"/>
          <w:rFonts w:ascii="Calibri Light" w:hAnsi="Calibri Light" w:cs="Calibri Light"/>
          <w:lang w:val="es-ES"/>
        </w:rPr>
        <w:footnoteReference w:id="1"/>
      </w:r>
      <w:r w:rsidRPr="00977132">
        <w:rPr>
          <w:rFonts w:ascii="Calibri Light" w:hAnsi="Calibri Light" w:cs="Calibri Light"/>
          <w:lang w:val="es-ES"/>
        </w:rPr>
        <w:t xml:space="preserve"> bajo las e</w:t>
      </w:r>
      <w:bookmarkStart w:id="1" w:name="_GoBack"/>
      <w:bookmarkEnd w:id="1"/>
      <w:r w:rsidRPr="00977132">
        <w:rPr>
          <w:rFonts w:ascii="Calibri Light" w:hAnsi="Calibri Light" w:cs="Calibri Light"/>
          <w:lang w:val="es-ES"/>
        </w:rPr>
        <w:t xml:space="preserve">tiquetas de "flexibilización cuantitativa" o "política monetaria no convencional". Los ciudadanos </w:t>
      </w:r>
      <w:r w:rsidR="00C274AB" w:rsidRPr="00977132">
        <w:rPr>
          <w:rFonts w:ascii="Calibri Light" w:hAnsi="Calibri Light" w:cs="Calibri Light"/>
          <w:lang w:val="es-ES"/>
        </w:rPr>
        <w:t>de a pie</w:t>
      </w:r>
      <w:r w:rsidRPr="00977132">
        <w:rPr>
          <w:rFonts w:ascii="Calibri Light" w:hAnsi="Calibri Light" w:cs="Calibri Light"/>
          <w:lang w:val="es-ES"/>
        </w:rPr>
        <w:t xml:space="preserve">, los inversores </w:t>
      </w:r>
      <w:r w:rsidR="00C274AB" w:rsidRPr="00977132">
        <w:rPr>
          <w:rFonts w:ascii="Calibri Light" w:hAnsi="Calibri Light" w:cs="Calibri Light"/>
          <w:lang w:val="es-ES"/>
        </w:rPr>
        <w:t xml:space="preserve">privados </w:t>
      </w:r>
      <w:r w:rsidRPr="00977132">
        <w:rPr>
          <w:rFonts w:ascii="Calibri Light" w:hAnsi="Calibri Light" w:cs="Calibri Light"/>
          <w:lang w:val="es-ES"/>
        </w:rPr>
        <w:t xml:space="preserve">y los ahorradores </w:t>
      </w:r>
      <w:r w:rsidR="00C274AB" w:rsidRPr="00977132">
        <w:rPr>
          <w:rFonts w:ascii="Calibri Light" w:hAnsi="Calibri Light" w:cs="Calibri Light"/>
          <w:lang w:val="es-ES"/>
        </w:rPr>
        <w:t>con miras a su futura pensión</w:t>
      </w:r>
      <w:r w:rsidRPr="00977132">
        <w:rPr>
          <w:rFonts w:ascii="Calibri Light" w:hAnsi="Calibri Light" w:cs="Calibri Light"/>
          <w:lang w:val="es-ES"/>
        </w:rPr>
        <w:t>, terminaron pagando la cuenta, y es probable que lo hagan de nuevo.</w:t>
      </w:r>
    </w:p>
    <w:p w14:paraId="010D0A0A" w14:textId="5FE542DD" w:rsidR="008D4F79" w:rsidRPr="00977132" w:rsidRDefault="00CA1DA6">
      <w:pPr>
        <w:jc w:val="both"/>
        <w:rPr>
          <w:lang w:val="es-ES"/>
        </w:rPr>
      </w:pPr>
      <w:r w:rsidRPr="00977132">
        <w:rPr>
          <w:rFonts w:ascii="Calibri Light" w:hAnsi="Calibri Light" w:cs="Calibri Light"/>
          <w:lang w:val="es-ES"/>
        </w:rPr>
        <w:t xml:space="preserve">Los gobiernos nacionales, las instituciones europeas y los bancos centrales han intervenido ahora para tratar de mitigar las consecuencias económicas </w:t>
      </w:r>
      <w:r w:rsidR="00C274AB" w:rsidRPr="00977132">
        <w:rPr>
          <w:rFonts w:ascii="Calibri Light" w:hAnsi="Calibri Light" w:cs="Calibri Light"/>
          <w:lang w:val="es-ES"/>
        </w:rPr>
        <w:t xml:space="preserve">de la </w:t>
      </w:r>
      <w:r w:rsidRPr="00977132">
        <w:rPr>
          <w:rFonts w:ascii="Calibri Light" w:hAnsi="Calibri Light" w:cs="Calibri Light"/>
          <w:lang w:val="es-ES"/>
        </w:rPr>
        <w:t>Covid-19 con paquetes y medidas de estímulo fiscal y monetario aún más ambiciosos y de mayor alcance.</w:t>
      </w:r>
      <w:r w:rsidRPr="00977132">
        <w:rPr>
          <w:rStyle w:val="Refdenotaalpie"/>
          <w:rFonts w:ascii="Calibri Light" w:hAnsi="Calibri Light" w:cs="Calibri Light"/>
          <w:lang w:val="es-ES"/>
        </w:rPr>
        <w:footnoteReference w:id="2"/>
      </w:r>
      <w:r w:rsidRPr="00977132">
        <w:rPr>
          <w:rFonts w:ascii="Calibri Light" w:hAnsi="Calibri Light" w:cs="Calibri Light"/>
          <w:lang w:val="es-ES"/>
        </w:rPr>
        <w:t>El 19 de marzo de 2020, el Banco Central Europeo (BCE) anunció un Programa</w:t>
      </w:r>
      <w:r w:rsidRPr="00977132">
        <w:rPr>
          <w:rStyle w:val="Refdenotaalpie"/>
          <w:rFonts w:ascii="Calibri Light" w:hAnsi="Calibri Light" w:cs="Calibri Light"/>
          <w:lang w:val="es-ES"/>
        </w:rPr>
        <w:footnoteReference w:id="3"/>
      </w:r>
      <w:r w:rsidRPr="00977132">
        <w:rPr>
          <w:rFonts w:ascii="Calibri Light" w:hAnsi="Calibri Light" w:cs="Calibri Light"/>
          <w:lang w:val="es-ES"/>
        </w:rPr>
        <w:t xml:space="preserve"> de Compras de Emergencia </w:t>
      </w:r>
      <w:r w:rsidR="00C274AB" w:rsidRPr="00977132">
        <w:rPr>
          <w:rFonts w:ascii="Calibri Light" w:hAnsi="Calibri Light" w:cs="Calibri Light"/>
          <w:lang w:val="es-ES"/>
        </w:rPr>
        <w:t>Pandémica</w:t>
      </w:r>
      <w:r w:rsidRPr="00977132">
        <w:rPr>
          <w:rFonts w:ascii="Calibri Light" w:hAnsi="Calibri Light" w:cs="Calibri Light"/>
          <w:lang w:val="es-ES"/>
        </w:rPr>
        <w:t xml:space="preserve"> por valor de 750.000 millones de euros (además de los 120.000 millones de euros decididos el</w:t>
      </w:r>
      <w:r w:rsidR="00C274AB" w:rsidRPr="00977132">
        <w:rPr>
          <w:rFonts w:ascii="Calibri Light" w:hAnsi="Calibri Light" w:cs="Calibri Light"/>
          <w:lang w:val="es-ES"/>
        </w:rPr>
        <w:t xml:space="preserve"> 12</w:t>
      </w:r>
      <w:r w:rsidRPr="00977132">
        <w:rPr>
          <w:rFonts w:ascii="Calibri Light" w:hAnsi="Calibri Light" w:cs="Calibri Light"/>
          <w:lang w:val="es-ES"/>
        </w:rPr>
        <w:t xml:space="preserve"> de marzo</w:t>
      </w:r>
      <w:r w:rsidR="00C274AB" w:rsidRPr="00977132">
        <w:rPr>
          <w:rFonts w:ascii="Calibri Light" w:hAnsi="Calibri Light" w:cs="Calibri Light"/>
          <w:lang w:val="es-ES"/>
        </w:rPr>
        <w:t xml:space="preserve"> anterior</w:t>
      </w:r>
      <w:r w:rsidRPr="00977132">
        <w:rPr>
          <w:rStyle w:val="Refdenotaalpie"/>
          <w:rFonts w:ascii="Calibri Light" w:hAnsi="Calibri Light" w:cs="Calibri Light"/>
          <w:lang w:val="es-ES"/>
        </w:rPr>
        <w:footnoteReference w:id="4"/>
      </w:r>
      <w:r w:rsidRPr="00977132">
        <w:rPr>
          <w:rFonts w:ascii="Calibri Light" w:hAnsi="Calibri Light" w:cs="Calibri Light"/>
          <w:lang w:val="es-ES"/>
        </w:rPr>
        <w:t xml:space="preserve">) que contribuirá a reforzar las numerosas iniciativas puestas en marcha a nivel nacional de los Estados miembros de la UE. </w:t>
      </w:r>
      <w:r w:rsidR="00C274AB" w:rsidRPr="00977132">
        <w:rPr>
          <w:rFonts w:ascii="Calibri Light" w:hAnsi="Calibri Light" w:cs="Calibri Light"/>
          <w:lang w:val="es-ES"/>
        </w:rPr>
        <w:t>Sin incluir</w:t>
      </w:r>
      <w:r w:rsidRPr="00977132">
        <w:rPr>
          <w:rFonts w:ascii="Calibri Light" w:hAnsi="Calibri Light" w:cs="Calibri Light"/>
          <w:lang w:val="es-ES"/>
        </w:rPr>
        <w:t xml:space="preserve"> unos 3 billones de euros en operaciones de refinanciación del BCE </w:t>
      </w:r>
      <w:r w:rsidR="00C274AB" w:rsidRPr="00977132">
        <w:rPr>
          <w:rFonts w:ascii="Calibri Light" w:hAnsi="Calibri Light" w:cs="Calibri Light"/>
          <w:lang w:val="es-ES"/>
        </w:rPr>
        <w:t>al tipo</w:t>
      </w:r>
      <w:r w:rsidRPr="00977132">
        <w:rPr>
          <w:rFonts w:ascii="Calibri Light" w:hAnsi="Calibri Light" w:cs="Calibri Light"/>
          <w:lang w:val="es-ES"/>
        </w:rPr>
        <w:t xml:space="preserve"> de interés más baj</w:t>
      </w:r>
      <w:r w:rsidR="00C274AB" w:rsidRPr="00977132">
        <w:rPr>
          <w:rFonts w:ascii="Calibri Light" w:hAnsi="Calibri Light" w:cs="Calibri Light"/>
          <w:lang w:val="es-ES"/>
        </w:rPr>
        <w:t>o</w:t>
      </w:r>
      <w:r w:rsidRPr="00977132">
        <w:rPr>
          <w:rFonts w:ascii="Calibri Light" w:hAnsi="Calibri Light" w:cs="Calibri Light"/>
          <w:lang w:val="es-ES"/>
        </w:rPr>
        <w:t xml:space="preserve"> de la historia, -0,75</w:t>
      </w:r>
      <w:r w:rsidR="00C274AB" w:rsidRPr="00977132">
        <w:rPr>
          <w:rFonts w:ascii="Calibri Light" w:hAnsi="Calibri Light" w:cs="Calibri Light"/>
          <w:lang w:val="es-ES"/>
        </w:rPr>
        <w:t xml:space="preserve"> </w:t>
      </w:r>
      <w:r w:rsidRPr="00977132">
        <w:rPr>
          <w:rFonts w:ascii="Calibri Light" w:hAnsi="Calibri Light" w:cs="Calibri Light"/>
          <w:lang w:val="es-ES"/>
        </w:rPr>
        <w:t xml:space="preserve">%. Esto equivale a una </w:t>
      </w:r>
      <w:r w:rsidR="00C274AB" w:rsidRPr="00977132">
        <w:rPr>
          <w:rFonts w:ascii="Calibri Light" w:hAnsi="Calibri Light" w:cs="Calibri Light"/>
          <w:lang w:val="es-ES"/>
        </w:rPr>
        <w:t xml:space="preserve">inconmensurable </w:t>
      </w:r>
      <w:r w:rsidRPr="00977132">
        <w:rPr>
          <w:rFonts w:ascii="Calibri Light" w:hAnsi="Calibri Light" w:cs="Calibri Light"/>
          <w:lang w:val="es-ES"/>
        </w:rPr>
        <w:t xml:space="preserve">subvención </w:t>
      </w:r>
      <w:r w:rsidR="00C274AB" w:rsidRPr="00977132">
        <w:rPr>
          <w:rFonts w:ascii="Calibri Light" w:hAnsi="Calibri Light" w:cs="Calibri Light"/>
          <w:lang w:val="es-ES"/>
        </w:rPr>
        <w:t xml:space="preserve">encubierta </w:t>
      </w:r>
      <w:r w:rsidRPr="00977132">
        <w:rPr>
          <w:rFonts w:ascii="Calibri Light" w:hAnsi="Calibri Light" w:cs="Calibri Light"/>
          <w:lang w:val="es-ES"/>
        </w:rPr>
        <w:t xml:space="preserve">pero directa del BCE a los bancos europeos, ya que en realidad pagará a los bancos para </w:t>
      </w:r>
      <w:r w:rsidR="00C274AB" w:rsidRPr="00977132">
        <w:rPr>
          <w:rFonts w:ascii="Calibri Light" w:hAnsi="Calibri Light" w:cs="Calibri Light"/>
          <w:lang w:val="es-ES"/>
        </w:rPr>
        <w:t>prestarles</w:t>
      </w:r>
      <w:r w:rsidRPr="00977132">
        <w:rPr>
          <w:rFonts w:ascii="Calibri Light" w:hAnsi="Calibri Light" w:cs="Calibri Light"/>
          <w:lang w:val="es-ES"/>
        </w:rPr>
        <w:t xml:space="preserve"> dinero a un ritmo de miles de millones de euros al año.</w:t>
      </w:r>
    </w:p>
    <w:p w14:paraId="010D0A0B" w14:textId="2AB42917" w:rsidR="008D4F79" w:rsidRPr="00977132" w:rsidRDefault="00CA1DA6">
      <w:pPr>
        <w:jc w:val="both"/>
        <w:rPr>
          <w:rFonts w:ascii="Calibri Light" w:hAnsi="Calibri Light" w:cs="Calibri Light"/>
          <w:lang w:val="es-ES"/>
        </w:rPr>
      </w:pPr>
      <w:r w:rsidRPr="00977132">
        <w:rPr>
          <w:rFonts w:ascii="Calibri Light" w:hAnsi="Calibri Light" w:cs="Calibri Light"/>
          <w:lang w:val="es-ES"/>
        </w:rPr>
        <w:t xml:space="preserve">Desgraciadamente, al igual que con la crisis financiera, es probable que los ciudadanos europeos ahorradores e inversores (es decir, la clase media) vuelvan a pagar </w:t>
      </w:r>
      <w:r w:rsidR="00C274AB" w:rsidRPr="00977132">
        <w:rPr>
          <w:rFonts w:ascii="Calibri Light" w:hAnsi="Calibri Light" w:cs="Calibri Light"/>
          <w:lang w:val="es-ES"/>
        </w:rPr>
        <w:t xml:space="preserve">un </w:t>
      </w:r>
      <w:r w:rsidRPr="00977132">
        <w:rPr>
          <w:rFonts w:ascii="Calibri Light" w:hAnsi="Calibri Light" w:cs="Calibri Light"/>
          <w:lang w:val="es-ES"/>
        </w:rPr>
        <w:t>precio desproporcionad</w:t>
      </w:r>
      <w:r w:rsidR="00C274AB" w:rsidRPr="00977132">
        <w:rPr>
          <w:rFonts w:ascii="Calibri Light" w:hAnsi="Calibri Light" w:cs="Calibri Light"/>
          <w:lang w:val="es-ES"/>
        </w:rPr>
        <w:t>o</w:t>
      </w:r>
      <w:r w:rsidRPr="00977132">
        <w:rPr>
          <w:rFonts w:ascii="Calibri Light" w:hAnsi="Calibri Light" w:cs="Calibri Light"/>
          <w:lang w:val="es-ES"/>
        </w:rPr>
        <w:t xml:space="preserve">. </w:t>
      </w:r>
    </w:p>
    <w:p w14:paraId="010D0A0C" w14:textId="24883C62" w:rsidR="008D4F79" w:rsidRPr="00977132" w:rsidRDefault="00CA1DA6">
      <w:pPr>
        <w:jc w:val="both"/>
        <w:rPr>
          <w:lang w:val="es-ES"/>
        </w:rPr>
      </w:pPr>
      <w:r w:rsidRPr="00977132">
        <w:rPr>
          <w:rFonts w:ascii="Calibri Light" w:hAnsi="Calibri Light" w:cs="Calibri Light"/>
          <w:lang w:val="es-ES"/>
        </w:rPr>
        <w:t>Esto nos lleva al concepto económico de "</w:t>
      </w:r>
      <w:r w:rsidRPr="00977132">
        <w:rPr>
          <w:rFonts w:ascii="Calibri Light" w:hAnsi="Calibri Light" w:cs="Calibri Light"/>
          <w:i/>
          <w:iCs/>
          <w:lang w:val="es-ES"/>
        </w:rPr>
        <w:t>represión financiera</w:t>
      </w:r>
      <w:r w:rsidRPr="00977132">
        <w:rPr>
          <w:rFonts w:ascii="Calibri Light" w:hAnsi="Calibri Light" w:cs="Calibri Light"/>
          <w:lang w:val="es-ES"/>
        </w:rPr>
        <w:t xml:space="preserve">", </w:t>
      </w:r>
      <w:r w:rsidR="003E1DE4" w:rsidRPr="00977132">
        <w:rPr>
          <w:rFonts w:ascii="Calibri Light" w:hAnsi="Calibri Light" w:cs="Calibri Light"/>
          <w:lang w:val="es-ES"/>
        </w:rPr>
        <w:t xml:space="preserve">como </w:t>
      </w:r>
      <w:r w:rsidRPr="00977132">
        <w:rPr>
          <w:rFonts w:ascii="Calibri Light" w:hAnsi="Calibri Light" w:cs="Calibri Light"/>
          <w:lang w:val="es-ES"/>
        </w:rPr>
        <w:t xml:space="preserve">resultado de las políticas aplicadas por los gobiernos y los bancos centrales durante la última crisis y que es muy probable que </w:t>
      </w:r>
      <w:r w:rsidRPr="00977132">
        <w:rPr>
          <w:rFonts w:ascii="Calibri Light" w:hAnsi="Calibri Light" w:cs="Calibri Light"/>
          <w:lang w:val="es-ES"/>
        </w:rPr>
        <w:lastRenderedPageBreak/>
        <w:t xml:space="preserve">se aplique para hacer frente a la nueva crisis económica inducida por </w:t>
      </w:r>
      <w:r w:rsidR="003E1DE4" w:rsidRPr="00977132">
        <w:rPr>
          <w:rFonts w:ascii="Calibri Light" w:hAnsi="Calibri Light" w:cs="Calibri Light"/>
          <w:lang w:val="es-ES"/>
        </w:rPr>
        <w:t xml:space="preserve">la </w:t>
      </w:r>
      <w:r w:rsidRPr="00977132">
        <w:rPr>
          <w:rFonts w:ascii="Calibri Light" w:hAnsi="Calibri Light" w:cs="Calibri Light"/>
          <w:lang w:val="es-ES"/>
        </w:rPr>
        <w:t xml:space="preserve">Covid-19 a la que nos enfrentamos. Los gobiernos estarán aún más desesperados por encontrar inversores que compren bonos con un tipo de interés negativo o muy bajo. El método de represión financiera menos </w:t>
      </w:r>
      <w:r w:rsidR="003E1DE4" w:rsidRPr="00977132">
        <w:rPr>
          <w:rFonts w:ascii="Calibri Light" w:hAnsi="Calibri Light" w:cs="Calibri Light"/>
          <w:lang w:val="es-ES"/>
        </w:rPr>
        <w:t xml:space="preserve">llamativo </w:t>
      </w:r>
      <w:r w:rsidRPr="00977132">
        <w:rPr>
          <w:rFonts w:ascii="Calibri Light" w:hAnsi="Calibri Light" w:cs="Calibri Light"/>
          <w:lang w:val="es-ES"/>
        </w:rPr>
        <w:t xml:space="preserve">para lograrlo es conseguir que los bancos centrales compren masivamente bonos soberanos en los mercados secundarios mediante las campañas de flexibilización cuantitativa </w:t>
      </w:r>
      <w:r w:rsidR="003E1DE4" w:rsidRPr="00977132">
        <w:rPr>
          <w:rFonts w:ascii="Calibri Light" w:hAnsi="Calibri Light" w:cs="Calibri Light"/>
          <w:lang w:val="es-ES"/>
        </w:rPr>
        <w:t>con las que ya estamos familiarizados</w:t>
      </w:r>
      <w:r w:rsidRPr="00977132">
        <w:rPr>
          <w:rFonts w:ascii="Calibri Light" w:hAnsi="Calibri Light" w:cs="Calibri Light"/>
          <w:lang w:val="es-ES"/>
        </w:rPr>
        <w:t xml:space="preserve">. Las actuales normas prudenciales para bancos y aseguradoras pueden empujarlos de facto a comprar valores de rendimiento negativo. </w:t>
      </w:r>
    </w:p>
    <w:p w14:paraId="010D0A0D" w14:textId="198137EC" w:rsidR="008D4F79" w:rsidRPr="00977132" w:rsidRDefault="00CA1DA6">
      <w:pPr>
        <w:jc w:val="both"/>
        <w:rPr>
          <w:rFonts w:ascii="Calibri Light" w:hAnsi="Calibri Light" w:cs="Calibri Light"/>
          <w:lang w:val="es-ES"/>
        </w:rPr>
      </w:pPr>
      <w:r w:rsidRPr="00977132">
        <w:rPr>
          <w:rFonts w:ascii="Calibri Light" w:hAnsi="Calibri Light" w:cs="Calibri Light"/>
          <w:lang w:val="es-ES"/>
        </w:rPr>
        <w:t xml:space="preserve">Cuatro cuestiones </w:t>
      </w:r>
      <w:r w:rsidR="00F43BA3" w:rsidRPr="00977132">
        <w:rPr>
          <w:rFonts w:ascii="Calibri Light" w:hAnsi="Calibri Light" w:cs="Calibri Light"/>
          <w:lang w:val="es-ES"/>
        </w:rPr>
        <w:t>sobre</w:t>
      </w:r>
      <w:r w:rsidRPr="00977132">
        <w:rPr>
          <w:rFonts w:ascii="Calibri Light" w:hAnsi="Calibri Light" w:cs="Calibri Light"/>
          <w:lang w:val="es-ES"/>
        </w:rPr>
        <w:t xml:space="preserve"> las pensiones:</w:t>
      </w:r>
    </w:p>
    <w:p w14:paraId="010D0A0E" w14:textId="0D4B14AE" w:rsidR="008D4F79" w:rsidRPr="00977132" w:rsidRDefault="00CA1DA6">
      <w:pPr>
        <w:pStyle w:val="Prrafodelista"/>
        <w:numPr>
          <w:ilvl w:val="0"/>
          <w:numId w:val="1"/>
        </w:numPr>
        <w:spacing w:after="160" w:line="256" w:lineRule="auto"/>
        <w:jc w:val="both"/>
        <w:rPr>
          <w:lang w:val="es-ES"/>
        </w:rPr>
      </w:pPr>
      <w:r w:rsidRPr="00977132">
        <w:rPr>
          <w:rFonts w:ascii="Calibri Light" w:hAnsi="Calibri Light" w:cs="Calibri Light"/>
          <w:b/>
          <w:bCs/>
          <w:lang w:val="es-ES"/>
        </w:rPr>
        <w:t xml:space="preserve">Los sistemas de pensiones públicas </w:t>
      </w:r>
      <w:r w:rsidRPr="00977132">
        <w:rPr>
          <w:rFonts w:ascii="Calibri Light" w:hAnsi="Calibri Light" w:cs="Calibri Light"/>
          <w:bCs/>
          <w:lang w:val="es-ES"/>
        </w:rPr>
        <w:t>obligatorias</w:t>
      </w:r>
      <w:r w:rsidRPr="00977132">
        <w:rPr>
          <w:rFonts w:ascii="Calibri Light" w:hAnsi="Calibri Light" w:cs="Calibri Light"/>
          <w:b/>
          <w:bCs/>
          <w:lang w:val="es-ES"/>
        </w:rPr>
        <w:t xml:space="preserve"> ("de </w:t>
      </w:r>
      <w:r w:rsidR="00F43BA3" w:rsidRPr="00977132">
        <w:rPr>
          <w:rFonts w:ascii="Calibri Light" w:hAnsi="Calibri Light" w:cs="Calibri Light"/>
          <w:b/>
          <w:bCs/>
          <w:lang w:val="es-ES"/>
        </w:rPr>
        <w:t>prepago</w:t>
      </w:r>
      <w:r w:rsidRPr="00977132">
        <w:rPr>
          <w:rFonts w:ascii="Calibri Light" w:hAnsi="Calibri Light" w:cs="Calibri Light"/>
          <w:b/>
          <w:bCs/>
          <w:lang w:val="es-ES"/>
        </w:rPr>
        <w:t xml:space="preserve">") se verán sometidos a una mayor presión </w:t>
      </w:r>
      <w:r w:rsidRPr="00977132">
        <w:rPr>
          <w:rFonts w:ascii="Calibri Light" w:hAnsi="Calibri Light" w:cs="Calibri Light"/>
          <w:bCs/>
          <w:lang w:val="es-ES"/>
        </w:rPr>
        <w:t>debido al</w:t>
      </w:r>
      <w:r w:rsidRPr="00977132">
        <w:rPr>
          <w:rFonts w:ascii="Calibri Light" w:hAnsi="Calibri Light" w:cs="Calibri Light"/>
          <w:b/>
          <w:bCs/>
          <w:lang w:val="es-ES"/>
        </w:rPr>
        <w:t xml:space="preserve"> </w:t>
      </w:r>
      <w:r w:rsidRPr="00977132">
        <w:rPr>
          <w:rFonts w:ascii="Calibri Light" w:hAnsi="Calibri Light" w:cs="Calibri Light"/>
          <w:lang w:val="es-ES"/>
        </w:rPr>
        <w:t xml:space="preserve">riesgo de un aumento sin precedentes del desempleo y a la mayor carga presupuestaria a la que se enfrentan los Estados miembros de la Unión Europea. Su función esencial de garantizar unos ingresos adecuados para todos en la vejez debería protegerse, </w:t>
      </w:r>
      <w:r w:rsidR="00F43BA3" w:rsidRPr="00977132">
        <w:rPr>
          <w:rFonts w:ascii="Calibri Light" w:hAnsi="Calibri Light" w:cs="Calibri Light"/>
          <w:lang w:val="es-ES"/>
        </w:rPr>
        <w:t xml:space="preserve">tal </w:t>
      </w:r>
      <w:r w:rsidRPr="00977132">
        <w:rPr>
          <w:rFonts w:ascii="Calibri Light" w:hAnsi="Calibri Light" w:cs="Calibri Light"/>
          <w:lang w:val="es-ES"/>
        </w:rPr>
        <w:t xml:space="preserve">como recomendó el Grupo de Alto Nivel sobre Pensiones de la UE </w:t>
      </w:r>
      <w:r w:rsidRPr="00977132">
        <w:rPr>
          <w:rStyle w:val="Refdenotaalpie"/>
          <w:rFonts w:ascii="Calibri Light" w:hAnsi="Calibri Light" w:cs="Calibri Light"/>
          <w:lang w:val="es-ES"/>
        </w:rPr>
        <w:footnoteReference w:id="5"/>
      </w:r>
    </w:p>
    <w:p w14:paraId="010D0A0F" w14:textId="47600F91" w:rsidR="008D4F79" w:rsidRPr="00977132" w:rsidRDefault="00CA1DA6">
      <w:pPr>
        <w:pStyle w:val="Prrafodelista"/>
        <w:numPr>
          <w:ilvl w:val="0"/>
          <w:numId w:val="1"/>
        </w:numPr>
        <w:spacing w:after="160" w:line="256" w:lineRule="auto"/>
        <w:jc w:val="both"/>
        <w:rPr>
          <w:lang w:val="es-ES"/>
        </w:rPr>
      </w:pPr>
      <w:r w:rsidRPr="00977132">
        <w:rPr>
          <w:rFonts w:ascii="Calibri Light" w:hAnsi="Calibri Light" w:cs="Calibri Light"/>
          <w:b/>
          <w:bCs/>
          <w:lang w:val="es-ES"/>
        </w:rPr>
        <w:t xml:space="preserve">Los mercados de valores mundiales y europeos se han hundido </w:t>
      </w:r>
      <w:r w:rsidRPr="00977132">
        <w:rPr>
          <w:rFonts w:ascii="Calibri Light" w:hAnsi="Calibri Light" w:cs="Calibri Light"/>
          <w:lang w:val="es-ES"/>
        </w:rPr>
        <w:t>(</w:t>
      </w:r>
      <w:r w:rsidR="00F43BA3" w:rsidRPr="00977132">
        <w:rPr>
          <w:rFonts w:ascii="Calibri Light" w:hAnsi="Calibri Light" w:cs="Calibri Light"/>
          <w:lang w:val="es-ES"/>
        </w:rPr>
        <w:t xml:space="preserve">a fecha del </w:t>
      </w:r>
      <w:r w:rsidRPr="00977132">
        <w:rPr>
          <w:rFonts w:ascii="Calibri Light" w:hAnsi="Calibri Light" w:cs="Calibri Light"/>
          <w:lang w:val="es-ES"/>
        </w:rPr>
        <w:t>14/04/2020, el</w:t>
      </w:r>
      <w:r w:rsidR="00F43BA3" w:rsidRPr="00977132">
        <w:rPr>
          <w:rFonts w:ascii="Calibri Light" w:hAnsi="Calibri Light" w:cs="Calibri Light"/>
          <w:lang w:val="es-ES"/>
        </w:rPr>
        <w:t xml:space="preserve"> índice</w:t>
      </w:r>
      <w:r w:rsidRPr="00977132">
        <w:rPr>
          <w:rFonts w:ascii="Calibri Light" w:hAnsi="Calibri Light" w:cs="Calibri Light"/>
          <w:lang w:val="es-ES"/>
        </w:rPr>
        <w:t xml:space="preserve"> MSCI World y el STOXX All Europe bajaron un 18</w:t>
      </w:r>
      <w:r w:rsidR="00F43BA3" w:rsidRPr="00977132">
        <w:rPr>
          <w:rFonts w:ascii="Calibri Light" w:hAnsi="Calibri Light" w:cs="Calibri Light"/>
          <w:lang w:val="es-ES"/>
        </w:rPr>
        <w:t xml:space="preserve"> </w:t>
      </w:r>
      <w:r w:rsidRPr="00977132">
        <w:rPr>
          <w:rFonts w:ascii="Calibri Light" w:hAnsi="Calibri Light" w:cs="Calibri Light"/>
          <w:lang w:val="es-ES"/>
        </w:rPr>
        <w:t>% y un 22</w:t>
      </w:r>
      <w:r w:rsidR="00F43BA3" w:rsidRPr="00977132">
        <w:rPr>
          <w:rFonts w:ascii="Calibri Light" w:hAnsi="Calibri Light" w:cs="Calibri Light"/>
          <w:lang w:val="es-ES"/>
        </w:rPr>
        <w:t xml:space="preserve"> </w:t>
      </w:r>
      <w:r w:rsidRPr="00977132">
        <w:rPr>
          <w:rFonts w:ascii="Calibri Light" w:hAnsi="Calibri Light" w:cs="Calibri Light"/>
          <w:lang w:val="es-ES"/>
        </w:rPr>
        <w:t>% en comparación con el 14 de febrero) y probablemente tardarán bastante tiempo en recuperarse. Esto tiene un impacto inmediato y directo en casi todos los productos de pensiones. Para agravar</w:t>
      </w:r>
      <w:r w:rsidR="00F43BA3" w:rsidRPr="00977132">
        <w:rPr>
          <w:rFonts w:ascii="Calibri Light" w:hAnsi="Calibri Light" w:cs="Calibri Light"/>
          <w:lang w:val="es-ES"/>
        </w:rPr>
        <w:t>lo</w:t>
      </w:r>
      <w:r w:rsidRPr="00977132">
        <w:rPr>
          <w:rFonts w:ascii="Calibri Light" w:hAnsi="Calibri Light" w:cs="Calibri Light"/>
          <w:lang w:val="es-ES"/>
        </w:rPr>
        <w:t xml:space="preserve"> aún más, los gobiernos nacionales y el BCE piden ahora la supresión de los dividendos, así como permitir que los emisores de acciones cotizadas celebren este año</w:t>
      </w:r>
      <w:r w:rsidR="00F43BA3" w:rsidRPr="00977132">
        <w:rPr>
          <w:rFonts w:ascii="Calibri Light" w:hAnsi="Calibri Light" w:cs="Calibri Light"/>
          <w:lang w:val="es-ES"/>
        </w:rPr>
        <w:t xml:space="preserve"> sus</w:t>
      </w:r>
      <w:r w:rsidRPr="00977132">
        <w:rPr>
          <w:rFonts w:ascii="Calibri Light" w:hAnsi="Calibri Light" w:cs="Calibri Light"/>
          <w:lang w:val="es-ES"/>
        </w:rPr>
        <w:t xml:space="preserve"> juntas generales a puerta cerrada, privando así a los accionistas de varios derechos fundamentales. </w:t>
      </w:r>
      <w:r w:rsidR="00F0305D" w:rsidRPr="00977132">
        <w:rPr>
          <w:rFonts w:ascii="Calibri Light" w:hAnsi="Calibri Light" w:cs="Calibri Light"/>
          <w:lang w:val="es-ES"/>
        </w:rPr>
        <w:t xml:space="preserve">¡Esa </w:t>
      </w:r>
      <w:r w:rsidR="0069501F" w:rsidRPr="00977132">
        <w:rPr>
          <w:rFonts w:ascii="Calibri Light" w:hAnsi="Calibri Light" w:cs="Calibri Light"/>
          <w:lang w:val="es-ES"/>
        </w:rPr>
        <w:t>ha sido</w:t>
      </w:r>
      <w:r w:rsidR="00F0305D" w:rsidRPr="00977132">
        <w:rPr>
          <w:rFonts w:ascii="Calibri Light" w:hAnsi="Calibri Light" w:cs="Calibri Light"/>
          <w:lang w:val="es-ES"/>
        </w:rPr>
        <w:t xml:space="preserve"> toda la negociación</w:t>
      </w:r>
      <w:r w:rsidRPr="00977132">
        <w:rPr>
          <w:rFonts w:ascii="Calibri Light" w:hAnsi="Calibri Light" w:cs="Calibri Light"/>
          <w:lang w:val="es-ES"/>
        </w:rPr>
        <w:t xml:space="preserve"> política sobre el compromiso de los accionistas y la gobernanza empresarial! </w:t>
      </w:r>
    </w:p>
    <w:p w14:paraId="010D0A10" w14:textId="43DA9CC4" w:rsidR="008D4F79" w:rsidRPr="00977132" w:rsidRDefault="00CA1DA6">
      <w:pPr>
        <w:pStyle w:val="Prrafodelista"/>
        <w:numPr>
          <w:ilvl w:val="0"/>
          <w:numId w:val="1"/>
        </w:numPr>
        <w:spacing w:after="160" w:line="256" w:lineRule="auto"/>
        <w:jc w:val="both"/>
        <w:rPr>
          <w:lang w:val="es-ES"/>
        </w:rPr>
      </w:pPr>
      <w:r w:rsidRPr="00977132">
        <w:rPr>
          <w:rFonts w:ascii="Calibri Light" w:hAnsi="Calibri Light" w:cs="Calibri Light"/>
          <w:lang w:val="es-ES"/>
        </w:rPr>
        <w:t xml:space="preserve">Con los tipos de interés </w:t>
      </w:r>
      <w:r w:rsidR="00F0305D" w:rsidRPr="00977132">
        <w:rPr>
          <w:rFonts w:ascii="Calibri Light" w:hAnsi="Calibri Light" w:cs="Calibri Light"/>
          <w:lang w:val="es-ES"/>
        </w:rPr>
        <w:t xml:space="preserve">a unos </w:t>
      </w:r>
      <w:r w:rsidRPr="00977132">
        <w:rPr>
          <w:rFonts w:ascii="Calibri Light" w:hAnsi="Calibri Light" w:cs="Calibri Light"/>
          <w:lang w:val="es-ES"/>
        </w:rPr>
        <w:t xml:space="preserve">mínimos históricos (a veces incluso negativos), los </w:t>
      </w:r>
      <w:r w:rsidR="00F0305D" w:rsidRPr="00977132">
        <w:rPr>
          <w:rFonts w:ascii="Calibri Light" w:hAnsi="Calibri Light" w:cs="Calibri Light"/>
          <w:lang w:val="es-ES"/>
        </w:rPr>
        <w:t xml:space="preserve">inconmensurables </w:t>
      </w:r>
      <w:r w:rsidRPr="00977132">
        <w:rPr>
          <w:rFonts w:ascii="Calibri Light" w:hAnsi="Calibri Light" w:cs="Calibri Light"/>
          <w:lang w:val="es-ES"/>
        </w:rPr>
        <w:t xml:space="preserve">paquetes de estímulo fiscal y monetario inducidos por </w:t>
      </w:r>
      <w:r w:rsidR="00F0305D" w:rsidRPr="00977132">
        <w:rPr>
          <w:rFonts w:ascii="Calibri Light" w:hAnsi="Calibri Light" w:cs="Calibri Light"/>
          <w:lang w:val="es-ES"/>
        </w:rPr>
        <w:t>el Coronavirus</w:t>
      </w:r>
      <w:r w:rsidRPr="00977132">
        <w:rPr>
          <w:rFonts w:ascii="Calibri Light" w:hAnsi="Calibri Light" w:cs="Calibri Light"/>
          <w:lang w:val="es-ES"/>
        </w:rPr>
        <w:t xml:space="preserve"> ya no dejan lugar a dudas de que la </w:t>
      </w:r>
      <w:r w:rsidRPr="00977132">
        <w:rPr>
          <w:rFonts w:ascii="Calibri Light" w:hAnsi="Calibri Light" w:cs="Calibri Light"/>
          <w:b/>
          <w:bCs/>
          <w:lang w:val="es-ES"/>
        </w:rPr>
        <w:t xml:space="preserve">represión financiera </w:t>
      </w:r>
      <w:r w:rsidR="00F0305D" w:rsidRPr="00977132">
        <w:rPr>
          <w:rFonts w:ascii="Calibri Light" w:hAnsi="Calibri Light" w:cs="Calibri Light"/>
          <w:b/>
          <w:bCs/>
          <w:lang w:val="es-ES"/>
        </w:rPr>
        <w:t xml:space="preserve">ha llegado </w:t>
      </w:r>
      <w:r w:rsidRPr="00977132">
        <w:rPr>
          <w:rFonts w:ascii="Calibri Light" w:hAnsi="Calibri Light" w:cs="Calibri Light"/>
          <w:b/>
          <w:bCs/>
          <w:lang w:val="es-ES"/>
        </w:rPr>
        <w:t xml:space="preserve">para quedarse y se </w:t>
      </w:r>
      <w:r w:rsidR="00F0305D" w:rsidRPr="00977132">
        <w:rPr>
          <w:rFonts w:ascii="Calibri Light" w:hAnsi="Calibri Light" w:cs="Calibri Light"/>
          <w:b/>
          <w:bCs/>
          <w:lang w:val="es-ES"/>
        </w:rPr>
        <w:t>intensificará aún más</w:t>
      </w:r>
      <w:r w:rsidRPr="00977132">
        <w:rPr>
          <w:rFonts w:ascii="Calibri Light" w:hAnsi="Calibri Light" w:cs="Calibri Light"/>
          <w:b/>
          <w:bCs/>
          <w:lang w:val="es-ES"/>
        </w:rPr>
        <w:t xml:space="preserve"> con unos tipos de interés reales negativos o cercanos a cero que se convertirán en la norma durante muchos años</w:t>
      </w:r>
      <w:r w:rsidRPr="00977132">
        <w:rPr>
          <w:rFonts w:ascii="Calibri Light" w:hAnsi="Calibri Light" w:cs="Calibri Light"/>
          <w:lang w:val="es-ES"/>
        </w:rPr>
        <w:t>.</w:t>
      </w:r>
    </w:p>
    <w:p w14:paraId="010D0A11" w14:textId="1CAF9B5C" w:rsidR="008D4F79" w:rsidRPr="00977132" w:rsidRDefault="00CA1DA6">
      <w:pPr>
        <w:pStyle w:val="Prrafodelista"/>
        <w:numPr>
          <w:ilvl w:val="0"/>
          <w:numId w:val="1"/>
        </w:numPr>
        <w:spacing w:after="160" w:line="256" w:lineRule="auto"/>
        <w:jc w:val="both"/>
        <w:rPr>
          <w:lang w:val="es-ES"/>
        </w:rPr>
      </w:pPr>
      <w:r w:rsidRPr="00977132">
        <w:rPr>
          <w:rFonts w:ascii="Calibri Light" w:hAnsi="Calibri Light" w:cs="Calibri Light"/>
          <w:b/>
          <w:bCs/>
          <w:lang w:val="es-ES"/>
        </w:rPr>
        <w:t xml:space="preserve">Es probable que </w:t>
      </w:r>
      <w:r w:rsidRPr="00977132">
        <w:rPr>
          <w:rFonts w:ascii="Calibri Light" w:hAnsi="Calibri Light" w:cs="Calibri Light"/>
          <w:lang w:val="es-ES"/>
        </w:rPr>
        <w:t xml:space="preserve">esta creación de dinero sin precedentes, combinada con las tensiones en las cadenas logísticas que se están </w:t>
      </w:r>
      <w:r w:rsidR="00F0305D" w:rsidRPr="00977132">
        <w:rPr>
          <w:rFonts w:ascii="Calibri Light" w:hAnsi="Calibri Light" w:cs="Calibri Light"/>
          <w:lang w:val="es-ES"/>
        </w:rPr>
        <w:t xml:space="preserve">produciendo </w:t>
      </w:r>
      <w:r w:rsidRPr="00977132">
        <w:rPr>
          <w:rFonts w:ascii="Calibri Light" w:hAnsi="Calibri Light" w:cs="Calibri Light"/>
          <w:lang w:val="es-ES"/>
        </w:rPr>
        <w:t xml:space="preserve">en estos momentos, genere </w:t>
      </w:r>
      <w:r w:rsidRPr="00977132">
        <w:rPr>
          <w:rFonts w:ascii="Calibri Light" w:hAnsi="Calibri Light" w:cs="Calibri Light"/>
          <w:b/>
          <w:bCs/>
          <w:lang w:val="es-ES"/>
        </w:rPr>
        <w:t xml:space="preserve">un aumento significativo de la inflación, </w:t>
      </w:r>
      <w:r w:rsidR="00F0305D" w:rsidRPr="00977132">
        <w:rPr>
          <w:rFonts w:ascii="Calibri Light" w:hAnsi="Calibri Light" w:cs="Calibri Light"/>
          <w:b/>
          <w:bCs/>
          <w:lang w:val="es-ES"/>
        </w:rPr>
        <w:t xml:space="preserve">lo que erosionará </w:t>
      </w:r>
      <w:r w:rsidRPr="00977132">
        <w:rPr>
          <w:rFonts w:ascii="Calibri Light" w:hAnsi="Calibri Light" w:cs="Calibri Light"/>
          <w:b/>
          <w:bCs/>
          <w:lang w:val="es-ES"/>
        </w:rPr>
        <w:t xml:space="preserve">aún más el poder adquisitivo de los ahorros </w:t>
      </w:r>
      <w:r w:rsidR="00F0305D" w:rsidRPr="00977132">
        <w:rPr>
          <w:rFonts w:ascii="Calibri Light" w:hAnsi="Calibri Light" w:cs="Calibri Light"/>
          <w:b/>
          <w:bCs/>
          <w:lang w:val="es-ES"/>
        </w:rPr>
        <w:t>para</w:t>
      </w:r>
      <w:r w:rsidRPr="00977132">
        <w:rPr>
          <w:rFonts w:ascii="Calibri Light" w:hAnsi="Calibri Light" w:cs="Calibri Light"/>
          <w:b/>
          <w:bCs/>
          <w:lang w:val="es-ES"/>
        </w:rPr>
        <w:t xml:space="preserve"> pensiones</w:t>
      </w:r>
      <w:r w:rsidR="00F0305D" w:rsidRPr="00977132">
        <w:rPr>
          <w:rFonts w:ascii="Calibri Light" w:hAnsi="Calibri Light" w:cs="Calibri Light"/>
          <w:b/>
          <w:bCs/>
          <w:lang w:val="es-ES"/>
        </w:rPr>
        <w:t xml:space="preserve"> y de los ingresos</w:t>
      </w:r>
      <w:r w:rsidRPr="00977132">
        <w:rPr>
          <w:rFonts w:ascii="Calibri Light" w:hAnsi="Calibri Light" w:cs="Calibri Light"/>
          <w:lang w:val="es-ES"/>
        </w:rPr>
        <w:t>.</w:t>
      </w:r>
    </w:p>
    <w:p w14:paraId="010D0A12" w14:textId="445325AB" w:rsidR="008D4F79" w:rsidRPr="00977132" w:rsidRDefault="00CA1DA6">
      <w:pPr>
        <w:jc w:val="both"/>
        <w:rPr>
          <w:lang w:val="es-ES"/>
        </w:rPr>
      </w:pPr>
      <w:r w:rsidRPr="00977132">
        <w:rPr>
          <w:rFonts w:ascii="Calibri Light" w:hAnsi="Calibri Light" w:cs="Calibri Light"/>
          <w:lang w:val="es-ES"/>
        </w:rPr>
        <w:t xml:space="preserve">La bomba de relojería de las pensiones ya está en marcha en Europa, y los estudios de BETTER FINANCE y la OCDE demuestran que los </w:t>
      </w:r>
      <w:r w:rsidR="00F0305D" w:rsidRPr="00977132">
        <w:rPr>
          <w:rFonts w:ascii="Calibri Light" w:hAnsi="Calibri Light" w:cs="Calibri Light"/>
          <w:lang w:val="es-ES"/>
        </w:rPr>
        <w:t xml:space="preserve">últimos </w:t>
      </w:r>
      <w:r w:rsidRPr="00977132">
        <w:rPr>
          <w:rFonts w:ascii="Calibri Light" w:hAnsi="Calibri Light" w:cs="Calibri Light"/>
          <w:lang w:val="es-ES"/>
        </w:rPr>
        <w:t xml:space="preserve">rendimientos reales de las inversiones a largo plazo ya eran con </w:t>
      </w:r>
      <w:r w:rsidR="00F0305D" w:rsidRPr="00977132">
        <w:rPr>
          <w:rFonts w:ascii="Calibri Light" w:hAnsi="Calibri Light" w:cs="Calibri Light"/>
          <w:lang w:val="es-ES"/>
        </w:rPr>
        <w:t>generalmente</w:t>
      </w:r>
      <w:r w:rsidRPr="00977132">
        <w:rPr>
          <w:rFonts w:ascii="Calibri Light" w:hAnsi="Calibri Light" w:cs="Calibri Light"/>
          <w:lang w:val="es-ES"/>
        </w:rPr>
        <w:t xml:space="preserve"> negativos e insuficientes para </w:t>
      </w:r>
      <w:r w:rsidR="00F0305D" w:rsidRPr="00977132">
        <w:rPr>
          <w:rFonts w:ascii="Calibri Light" w:hAnsi="Calibri Light" w:cs="Calibri Light"/>
          <w:lang w:val="es-ES"/>
        </w:rPr>
        <w:t xml:space="preserve">una sustitución </w:t>
      </w:r>
      <w:r w:rsidR="0069501F" w:rsidRPr="00977132">
        <w:rPr>
          <w:rFonts w:ascii="Calibri Light" w:hAnsi="Calibri Light" w:cs="Calibri Light"/>
          <w:lang w:val="es-ES"/>
        </w:rPr>
        <w:t xml:space="preserve">adecuada </w:t>
      </w:r>
      <w:r w:rsidR="00F0305D" w:rsidRPr="00977132">
        <w:rPr>
          <w:rFonts w:ascii="Calibri Light" w:hAnsi="Calibri Light" w:cs="Calibri Light"/>
          <w:lang w:val="es-ES"/>
        </w:rPr>
        <w:t>de los ingresos</w:t>
      </w:r>
      <w:r w:rsidRPr="00977132">
        <w:rPr>
          <w:rFonts w:ascii="Calibri Light" w:hAnsi="Calibri Light" w:cs="Calibri Light"/>
          <w:lang w:val="es-ES"/>
        </w:rPr>
        <w:t xml:space="preserve"> </w:t>
      </w:r>
      <w:r w:rsidR="00F0305D" w:rsidRPr="00977132">
        <w:rPr>
          <w:rFonts w:ascii="Calibri Light" w:hAnsi="Calibri Light" w:cs="Calibri Light"/>
          <w:lang w:val="es-ES"/>
        </w:rPr>
        <w:t xml:space="preserve"> </w:t>
      </w:r>
      <w:r w:rsidRPr="00977132">
        <w:rPr>
          <w:rFonts w:ascii="Calibri Light" w:hAnsi="Calibri Light" w:cs="Calibri Light"/>
          <w:lang w:val="es-ES"/>
        </w:rPr>
        <w:t>en el momento de la jubilación.</w:t>
      </w:r>
      <w:r w:rsidRPr="00977132">
        <w:rPr>
          <w:rStyle w:val="Refdenotaalpie"/>
          <w:rFonts w:ascii="Calibri Light" w:hAnsi="Calibri Light" w:cs="Calibri Light"/>
          <w:lang w:val="es-ES"/>
        </w:rPr>
        <w:footnoteReference w:id="6"/>
      </w:r>
      <w:r w:rsidRPr="00977132">
        <w:rPr>
          <w:rFonts w:ascii="Calibri Light" w:hAnsi="Calibri Light" w:cs="Calibri Light"/>
          <w:lang w:val="es-ES"/>
        </w:rPr>
        <w:t xml:space="preserve"> </w:t>
      </w:r>
      <w:r w:rsidRPr="00977132">
        <w:rPr>
          <w:rFonts w:ascii="Calibri Light" w:hAnsi="Calibri Light" w:cs="Calibri Light"/>
          <w:b/>
          <w:lang w:val="es-ES"/>
        </w:rPr>
        <w:t>Los rendimientos</w:t>
      </w:r>
      <w:r w:rsidRPr="00977132">
        <w:rPr>
          <w:rFonts w:ascii="Calibri Light" w:hAnsi="Calibri Light" w:cs="Calibri Light"/>
          <w:lang w:val="es-ES"/>
        </w:rPr>
        <w:t xml:space="preserve"> </w:t>
      </w:r>
      <w:r w:rsidRPr="00977132">
        <w:rPr>
          <w:rFonts w:ascii="Calibri Light" w:hAnsi="Calibri Light" w:cs="Calibri Light"/>
          <w:b/>
          <w:bCs/>
          <w:lang w:val="es-ES"/>
        </w:rPr>
        <w:t>reales</w:t>
      </w:r>
      <w:r w:rsidR="00F0305D" w:rsidRPr="00977132">
        <w:rPr>
          <w:rFonts w:ascii="Calibri Light" w:hAnsi="Calibri Light" w:cs="Calibri Light"/>
          <w:b/>
          <w:bCs/>
          <w:lang w:val="es-ES"/>
        </w:rPr>
        <w:t xml:space="preserve"> de las pensiones</w:t>
      </w:r>
      <w:r w:rsidRPr="00977132">
        <w:rPr>
          <w:rFonts w:ascii="Calibri Light" w:hAnsi="Calibri Light" w:cs="Calibri Light"/>
          <w:b/>
          <w:bCs/>
          <w:lang w:val="es-ES"/>
        </w:rPr>
        <w:t xml:space="preserve"> (después de la inflación) se derrumbarán este año, </w:t>
      </w:r>
      <w:r w:rsidRPr="00977132">
        <w:rPr>
          <w:rFonts w:ascii="Calibri Light" w:hAnsi="Calibri Light" w:cs="Calibri Light"/>
          <w:bCs/>
          <w:lang w:val="es-ES"/>
        </w:rPr>
        <w:t xml:space="preserve">principalmente debido </w:t>
      </w:r>
      <w:r w:rsidRPr="00977132">
        <w:rPr>
          <w:rFonts w:ascii="Calibri Light" w:hAnsi="Calibri Light" w:cs="Calibri Light"/>
          <w:lang w:val="es-ES"/>
        </w:rPr>
        <w:t xml:space="preserve">a la tensión de los mercados de valores pero también al bajo interés de los bonos del Estado, y tendrán dificultades en </w:t>
      </w:r>
      <w:r w:rsidR="0069501F" w:rsidRPr="00977132">
        <w:rPr>
          <w:rFonts w:ascii="Calibri Light" w:hAnsi="Calibri Light" w:cs="Calibri Light"/>
          <w:lang w:val="es-ES"/>
        </w:rPr>
        <w:t xml:space="preserve">un </w:t>
      </w:r>
      <w:r w:rsidRPr="00977132">
        <w:rPr>
          <w:rFonts w:ascii="Calibri Light" w:hAnsi="Calibri Light" w:cs="Calibri Light"/>
          <w:lang w:val="es-ES"/>
        </w:rPr>
        <w:t xml:space="preserve">futuro </w:t>
      </w:r>
      <w:r w:rsidR="00C4492A" w:rsidRPr="00977132">
        <w:rPr>
          <w:rFonts w:ascii="Calibri Light" w:hAnsi="Calibri Light" w:cs="Calibri Light"/>
          <w:lang w:val="es-ES"/>
        </w:rPr>
        <w:t xml:space="preserve">inmediato </w:t>
      </w:r>
      <w:r w:rsidRPr="00977132">
        <w:rPr>
          <w:rFonts w:ascii="Calibri Light" w:hAnsi="Calibri Light" w:cs="Calibri Light"/>
          <w:lang w:val="es-ES"/>
        </w:rPr>
        <w:t xml:space="preserve">debido a la represión financiera, </w:t>
      </w:r>
      <w:r w:rsidR="00C4492A" w:rsidRPr="00977132">
        <w:rPr>
          <w:rFonts w:ascii="Calibri Light" w:hAnsi="Calibri Light" w:cs="Calibri Light"/>
          <w:lang w:val="es-ES"/>
        </w:rPr>
        <w:t xml:space="preserve">que posiblemente se </w:t>
      </w:r>
      <w:r w:rsidR="0069501F" w:rsidRPr="00977132">
        <w:rPr>
          <w:rFonts w:ascii="Calibri Light" w:hAnsi="Calibri Light" w:cs="Calibri Light"/>
          <w:lang w:val="es-ES"/>
        </w:rPr>
        <w:t>agravarán</w:t>
      </w:r>
      <w:r w:rsidRPr="00977132">
        <w:rPr>
          <w:rFonts w:ascii="Calibri Light" w:hAnsi="Calibri Light" w:cs="Calibri Light"/>
          <w:lang w:val="es-ES"/>
        </w:rPr>
        <w:t xml:space="preserve"> si se combina con el resurgimiento de la inflación.</w:t>
      </w:r>
    </w:p>
    <w:p w14:paraId="010D0A13" w14:textId="52A07B2F" w:rsidR="008D4F79" w:rsidRPr="00977132" w:rsidRDefault="00CA1DA6">
      <w:pPr>
        <w:jc w:val="both"/>
        <w:rPr>
          <w:rFonts w:ascii="Calibri Light" w:hAnsi="Calibri Light" w:cs="Calibri Light"/>
          <w:lang w:val="es-ES"/>
        </w:rPr>
      </w:pPr>
      <w:r w:rsidRPr="00977132">
        <w:rPr>
          <w:rFonts w:ascii="Calibri Light" w:hAnsi="Calibri Light" w:cs="Calibri Light"/>
          <w:lang w:val="es-ES"/>
        </w:rPr>
        <w:lastRenderedPageBreak/>
        <w:t xml:space="preserve">BETTER FINANCE ya había abogado por </w:t>
      </w:r>
      <w:r w:rsidR="00C4492A" w:rsidRPr="00977132">
        <w:rPr>
          <w:rFonts w:ascii="Calibri Light" w:hAnsi="Calibri Light" w:cs="Calibri Light"/>
          <w:lang w:val="es-ES"/>
        </w:rPr>
        <w:t xml:space="preserve">la adopción de </w:t>
      </w:r>
      <w:r w:rsidRPr="00977132">
        <w:rPr>
          <w:rFonts w:ascii="Calibri Light" w:hAnsi="Calibri Light" w:cs="Calibri Light"/>
          <w:lang w:val="es-ES"/>
        </w:rPr>
        <w:t xml:space="preserve">varias medidas para hacer frente a los </w:t>
      </w:r>
      <w:r w:rsidR="00C4492A" w:rsidRPr="00977132">
        <w:rPr>
          <w:rFonts w:ascii="Calibri Light" w:hAnsi="Calibri Light" w:cs="Calibri Light"/>
          <w:lang w:val="es-ES"/>
        </w:rPr>
        <w:t xml:space="preserve">escasos </w:t>
      </w:r>
      <w:r w:rsidRPr="00977132">
        <w:rPr>
          <w:rFonts w:ascii="Calibri Light" w:hAnsi="Calibri Light" w:cs="Calibri Light"/>
          <w:lang w:val="es-ES"/>
        </w:rPr>
        <w:t>rendimientos reales a largo plazo de los ahorros para pensiones en la UE - incluso a través de la iniciativa de la Unión de Mercados de Capitales de la UE - y vale la pena recordar</w:t>
      </w:r>
      <w:r w:rsidR="0069501F" w:rsidRPr="00977132">
        <w:rPr>
          <w:rFonts w:ascii="Calibri Light" w:hAnsi="Calibri Light" w:cs="Calibri Light"/>
          <w:lang w:val="es-ES"/>
        </w:rPr>
        <w:t xml:space="preserve"> la necesidad de</w:t>
      </w:r>
      <w:r w:rsidRPr="00977132">
        <w:rPr>
          <w:rFonts w:ascii="Calibri Light" w:hAnsi="Calibri Light" w:cs="Calibri Light"/>
          <w:lang w:val="es-ES"/>
        </w:rPr>
        <w:t>:</w:t>
      </w:r>
    </w:p>
    <w:p w14:paraId="010D0A14" w14:textId="5630A456" w:rsidR="008D4F79" w:rsidRPr="00977132" w:rsidRDefault="00CA1DA6">
      <w:pPr>
        <w:pStyle w:val="Prrafodelista"/>
        <w:numPr>
          <w:ilvl w:val="0"/>
          <w:numId w:val="2"/>
        </w:numPr>
        <w:spacing w:after="160" w:line="256" w:lineRule="auto"/>
        <w:jc w:val="both"/>
        <w:rPr>
          <w:lang w:val="es-ES"/>
        </w:rPr>
      </w:pPr>
      <w:r w:rsidRPr="00977132">
        <w:rPr>
          <w:rFonts w:ascii="Calibri Light" w:hAnsi="Calibri Light" w:cs="Calibri Light"/>
          <w:b/>
          <w:lang w:val="es-ES"/>
        </w:rPr>
        <w:t xml:space="preserve">Asegurarse de </w:t>
      </w:r>
      <w:r w:rsidRPr="00977132">
        <w:rPr>
          <w:rFonts w:ascii="Calibri Light" w:hAnsi="Calibri Light" w:cs="Calibri Light"/>
          <w:b/>
          <w:bCs/>
          <w:lang w:val="es-ES"/>
        </w:rPr>
        <w:t>que todos los usuarios financieros tengan acceso a todos los mercados, incluidos los mercados de capital</w:t>
      </w:r>
      <w:r w:rsidRPr="00977132">
        <w:rPr>
          <w:rFonts w:ascii="Calibri Light" w:hAnsi="Calibri Light" w:cs="Calibri Light"/>
          <w:lang w:val="es-ES"/>
        </w:rPr>
        <w:t xml:space="preserve">. El Instituto CFA publicó recientemente un estudio de investigación en el que se analiza la </w:t>
      </w:r>
      <w:r w:rsidR="00C4492A" w:rsidRPr="00977132">
        <w:rPr>
          <w:rFonts w:ascii="Calibri Light" w:hAnsi="Calibri Light" w:cs="Calibri Light"/>
          <w:lang w:val="es-ES"/>
        </w:rPr>
        <w:t>presión a la que están sometidos</w:t>
      </w:r>
      <w:r w:rsidRPr="00977132">
        <w:rPr>
          <w:rFonts w:ascii="Calibri Light" w:hAnsi="Calibri Light" w:cs="Calibri Light"/>
          <w:lang w:val="es-ES"/>
        </w:rPr>
        <w:t xml:space="preserve"> los planes de contribución definidos para </w:t>
      </w:r>
      <w:r w:rsidR="00C4492A" w:rsidRPr="00977132">
        <w:rPr>
          <w:rFonts w:ascii="Calibri Light" w:hAnsi="Calibri Light" w:cs="Calibri Light"/>
          <w:lang w:val="es-ES"/>
        </w:rPr>
        <w:t>buscar</w:t>
      </w:r>
      <w:r w:rsidRPr="00977132">
        <w:rPr>
          <w:rFonts w:ascii="Calibri Light" w:hAnsi="Calibri Light" w:cs="Calibri Light"/>
          <w:lang w:val="es-ES"/>
        </w:rPr>
        <w:t xml:space="preserve"> rendimiento en las inversiones privadas, con </w:t>
      </w:r>
      <w:r w:rsidR="00C4492A" w:rsidRPr="00977132">
        <w:rPr>
          <w:rFonts w:ascii="Calibri Light" w:hAnsi="Calibri Light" w:cs="Calibri Light"/>
          <w:lang w:val="es-ES"/>
        </w:rPr>
        <w:t xml:space="preserve">un </w:t>
      </w:r>
      <w:r w:rsidRPr="00977132">
        <w:rPr>
          <w:rFonts w:ascii="Calibri Light" w:hAnsi="Calibri Light" w:cs="Calibri Light"/>
          <w:lang w:val="es-ES"/>
        </w:rPr>
        <w:t xml:space="preserve">riesgo potencial en términos de desequilibrio de </w:t>
      </w:r>
      <w:r w:rsidR="00C4492A" w:rsidRPr="00977132">
        <w:rPr>
          <w:rFonts w:ascii="Calibri Light" w:hAnsi="Calibri Light" w:cs="Calibri Light"/>
          <w:lang w:val="es-ES"/>
        </w:rPr>
        <w:t xml:space="preserve">la </w:t>
      </w:r>
      <w:r w:rsidRPr="00977132">
        <w:rPr>
          <w:rFonts w:ascii="Calibri Light" w:hAnsi="Calibri Light" w:cs="Calibri Light"/>
          <w:lang w:val="es-ES"/>
        </w:rPr>
        <w:t xml:space="preserve">liquidez y </w:t>
      </w:r>
      <w:r w:rsidR="00C4492A" w:rsidRPr="00977132">
        <w:rPr>
          <w:rFonts w:ascii="Calibri Light" w:hAnsi="Calibri Light" w:cs="Calibri Light"/>
          <w:lang w:val="es-ES"/>
        </w:rPr>
        <w:t xml:space="preserve">de </w:t>
      </w:r>
      <w:r w:rsidRPr="00977132">
        <w:rPr>
          <w:rFonts w:ascii="Calibri Light" w:hAnsi="Calibri Light" w:cs="Calibri Light"/>
          <w:lang w:val="es-ES"/>
        </w:rPr>
        <w:t>expectativas de rendimiento.</w:t>
      </w:r>
      <w:r w:rsidRPr="00977132">
        <w:rPr>
          <w:rStyle w:val="Refdenotaalpie"/>
          <w:rFonts w:ascii="Calibri Light" w:hAnsi="Calibri Light" w:cs="Calibri Light"/>
          <w:lang w:val="es-ES"/>
        </w:rPr>
        <w:footnoteReference w:id="7"/>
      </w:r>
      <w:r w:rsidRPr="00977132">
        <w:rPr>
          <w:rFonts w:ascii="Calibri Light" w:hAnsi="Calibri Light" w:cs="Calibri Light"/>
          <w:lang w:val="es-ES"/>
        </w:rPr>
        <w:t xml:space="preserve"> Esto requiere un rendimiento del capital invertido en forma de pagos de dividendos o </w:t>
      </w:r>
      <w:r w:rsidR="00C4492A" w:rsidRPr="00977132">
        <w:rPr>
          <w:rFonts w:ascii="Calibri Light" w:hAnsi="Calibri Light" w:cs="Calibri Light"/>
          <w:lang w:val="es-ES"/>
        </w:rPr>
        <w:t xml:space="preserve">de </w:t>
      </w:r>
      <w:r w:rsidRPr="00977132">
        <w:rPr>
          <w:rFonts w:ascii="Calibri Light" w:hAnsi="Calibri Light" w:cs="Calibri Light"/>
          <w:lang w:val="es-ES"/>
        </w:rPr>
        <w:t>aumentos del precio de las acciones. Los dividendos son esenciales para el sustento de la mayoría de los planes de pensiones; por lo tanto, el Estado no debe</w:t>
      </w:r>
      <w:r w:rsidR="00C4492A" w:rsidRPr="00977132">
        <w:rPr>
          <w:rFonts w:ascii="Calibri Light" w:hAnsi="Calibri Light" w:cs="Calibri Light"/>
          <w:lang w:val="es-ES"/>
        </w:rPr>
        <w:t>ría</w:t>
      </w:r>
      <w:r w:rsidRPr="00977132">
        <w:rPr>
          <w:rFonts w:ascii="Calibri Light" w:hAnsi="Calibri Light" w:cs="Calibri Light"/>
          <w:lang w:val="es-ES"/>
        </w:rPr>
        <w:t xml:space="preserve"> prohibir esos pagos a menos que la empresa se vea gravemente afectada por la crisis </w:t>
      </w:r>
      <w:r w:rsidR="00C4492A" w:rsidRPr="00977132">
        <w:rPr>
          <w:rFonts w:ascii="Calibri Light" w:hAnsi="Calibri Light" w:cs="Calibri Light"/>
          <w:lang w:val="es-ES"/>
        </w:rPr>
        <w:t>del Coronavirus</w:t>
      </w:r>
      <w:r w:rsidRPr="00977132">
        <w:rPr>
          <w:rFonts w:ascii="Calibri Light" w:hAnsi="Calibri Light" w:cs="Calibri Light"/>
          <w:lang w:val="es-ES"/>
        </w:rPr>
        <w:t xml:space="preserve"> y tenga problemas de liquidez o </w:t>
      </w:r>
      <w:r w:rsidRPr="00977132">
        <w:rPr>
          <w:rFonts w:ascii="Calibri Light" w:eastAsia="Times New Roman" w:hAnsi="Calibri Light" w:cs="Calibri Light"/>
          <w:lang w:val="es-ES"/>
        </w:rPr>
        <w:t xml:space="preserve">haya recibido </w:t>
      </w:r>
      <w:r w:rsidR="00C4492A" w:rsidRPr="00977132">
        <w:rPr>
          <w:rFonts w:ascii="Calibri Light" w:eastAsia="Times New Roman" w:hAnsi="Calibri Light" w:cs="Calibri Light"/>
          <w:lang w:val="es-ES"/>
        </w:rPr>
        <w:t>fondos públicos</w:t>
      </w:r>
      <w:r w:rsidRPr="00977132">
        <w:rPr>
          <w:rFonts w:ascii="Calibri Light" w:eastAsia="Times New Roman" w:hAnsi="Calibri Light" w:cs="Calibri Light"/>
          <w:lang w:val="es-ES"/>
        </w:rPr>
        <w:t xml:space="preserve"> de </w:t>
      </w:r>
      <w:r w:rsidR="00C4492A" w:rsidRPr="00977132">
        <w:rPr>
          <w:rFonts w:ascii="Calibri Light" w:eastAsia="Times New Roman" w:hAnsi="Calibri Light" w:cs="Calibri Light"/>
          <w:lang w:val="es-ES"/>
        </w:rPr>
        <w:t>ayuda</w:t>
      </w:r>
      <w:r w:rsidRPr="00977132">
        <w:rPr>
          <w:rFonts w:ascii="Calibri Light" w:eastAsia="Times New Roman" w:hAnsi="Calibri Light" w:cs="Calibri Light"/>
          <w:lang w:val="es-ES"/>
        </w:rPr>
        <w:t>.</w:t>
      </w:r>
    </w:p>
    <w:p w14:paraId="010D0A15" w14:textId="0046A4A7" w:rsidR="008D4F79" w:rsidRPr="00977132" w:rsidRDefault="00CA1DA6">
      <w:pPr>
        <w:pStyle w:val="Prrafodelista"/>
        <w:numPr>
          <w:ilvl w:val="0"/>
          <w:numId w:val="2"/>
        </w:numPr>
        <w:spacing w:after="160" w:line="256" w:lineRule="auto"/>
        <w:jc w:val="both"/>
        <w:rPr>
          <w:lang w:val="es-ES"/>
        </w:rPr>
      </w:pPr>
      <w:r w:rsidRPr="00977132">
        <w:rPr>
          <w:rFonts w:ascii="Calibri Light" w:hAnsi="Calibri Light" w:cs="Calibri Light"/>
          <w:b/>
          <w:bCs/>
          <w:lang w:val="es-ES"/>
        </w:rPr>
        <w:t xml:space="preserve">Habilitar programas de </w:t>
      </w:r>
      <w:r w:rsidR="00C4492A" w:rsidRPr="00977132">
        <w:rPr>
          <w:rFonts w:ascii="Calibri Light" w:hAnsi="Calibri Light" w:cs="Calibri Light"/>
          <w:b/>
          <w:bCs/>
          <w:lang w:val="es-ES"/>
        </w:rPr>
        <w:t>participación accionaria</w:t>
      </w:r>
      <w:r w:rsidRPr="00977132">
        <w:rPr>
          <w:rFonts w:ascii="Calibri Light" w:hAnsi="Calibri Light" w:cs="Calibri Light"/>
          <w:b/>
          <w:bCs/>
          <w:lang w:val="es-ES"/>
        </w:rPr>
        <w:t xml:space="preserve"> </w:t>
      </w:r>
      <w:r w:rsidR="00C4492A" w:rsidRPr="00977132">
        <w:rPr>
          <w:rFonts w:ascii="Calibri Light" w:hAnsi="Calibri Light" w:cs="Calibri Light"/>
          <w:b/>
          <w:bCs/>
          <w:lang w:val="es-ES"/>
        </w:rPr>
        <w:t xml:space="preserve">de los </w:t>
      </w:r>
      <w:r w:rsidRPr="00977132">
        <w:rPr>
          <w:rFonts w:ascii="Calibri Light" w:hAnsi="Calibri Light" w:cs="Calibri Light"/>
          <w:b/>
          <w:bCs/>
          <w:lang w:val="es-ES"/>
        </w:rPr>
        <w:t xml:space="preserve">empleados </w:t>
      </w:r>
      <w:r w:rsidRPr="00977132">
        <w:rPr>
          <w:rFonts w:ascii="Calibri Light" w:hAnsi="Calibri Light" w:cs="Calibri Light"/>
          <w:lang w:val="es-ES"/>
        </w:rPr>
        <w:t xml:space="preserve">en los próximos 24 meses, </w:t>
      </w:r>
      <w:r w:rsidR="00C4492A" w:rsidRPr="00977132">
        <w:rPr>
          <w:rFonts w:ascii="Calibri Light" w:hAnsi="Calibri Light" w:cs="Calibri Light"/>
          <w:lang w:val="es-ES"/>
        </w:rPr>
        <w:t xml:space="preserve">que incluyan </w:t>
      </w:r>
      <w:r w:rsidRPr="00977132">
        <w:rPr>
          <w:rFonts w:ascii="Calibri Light" w:hAnsi="Calibri Light" w:cs="Calibri Light"/>
          <w:lang w:val="es-ES"/>
        </w:rPr>
        <w:t xml:space="preserve">reducciones </w:t>
      </w:r>
      <w:r w:rsidR="00C4492A" w:rsidRPr="00977132">
        <w:rPr>
          <w:rFonts w:ascii="Calibri Light" w:hAnsi="Calibri Light" w:cs="Calibri Light"/>
          <w:lang w:val="es-ES"/>
        </w:rPr>
        <w:t>fiscales</w:t>
      </w:r>
      <w:r w:rsidRPr="00977132">
        <w:rPr>
          <w:rFonts w:ascii="Calibri Light" w:hAnsi="Calibri Light" w:cs="Calibri Light"/>
          <w:lang w:val="es-ES"/>
        </w:rPr>
        <w:t xml:space="preserve">. Actualmente los gastos relacionados con el personal son la principal </w:t>
      </w:r>
      <w:r w:rsidR="006536CC" w:rsidRPr="00977132">
        <w:rPr>
          <w:rFonts w:ascii="Calibri Light" w:hAnsi="Calibri Light" w:cs="Calibri Light"/>
          <w:lang w:val="es-ES"/>
        </w:rPr>
        <w:t xml:space="preserve">razón </w:t>
      </w:r>
      <w:r w:rsidRPr="00977132">
        <w:rPr>
          <w:rFonts w:ascii="Calibri Light" w:hAnsi="Calibri Light" w:cs="Calibri Light"/>
          <w:lang w:val="es-ES"/>
        </w:rPr>
        <w:t xml:space="preserve">de la reducción de la liquidez de las empresas. Si </w:t>
      </w:r>
      <w:r w:rsidR="006536CC" w:rsidRPr="00977132">
        <w:rPr>
          <w:rFonts w:ascii="Calibri Light" w:hAnsi="Calibri Light" w:cs="Calibri Light"/>
          <w:lang w:val="es-ES"/>
        </w:rPr>
        <w:t xml:space="preserve">dichos </w:t>
      </w:r>
      <w:r w:rsidRPr="00977132">
        <w:rPr>
          <w:rFonts w:ascii="Calibri Light" w:hAnsi="Calibri Light" w:cs="Calibri Light"/>
          <w:lang w:val="es-ES"/>
        </w:rPr>
        <w:t xml:space="preserve">programas se introdujeran inmediatamente, una parte de los salarios podría </w:t>
      </w:r>
      <w:r w:rsidR="006536CC" w:rsidRPr="00977132">
        <w:rPr>
          <w:rFonts w:ascii="Calibri Light" w:hAnsi="Calibri Light" w:cs="Calibri Light"/>
          <w:lang w:val="es-ES"/>
        </w:rPr>
        <w:t xml:space="preserve">quedarse </w:t>
      </w:r>
      <w:r w:rsidRPr="00977132">
        <w:rPr>
          <w:rFonts w:ascii="Calibri Light" w:hAnsi="Calibri Light" w:cs="Calibri Light"/>
          <w:lang w:val="es-ES"/>
        </w:rPr>
        <w:t xml:space="preserve">en las empresas como </w:t>
      </w:r>
      <w:r w:rsidR="006536CC" w:rsidRPr="00977132">
        <w:rPr>
          <w:rFonts w:ascii="Calibri Light" w:hAnsi="Calibri Light" w:cs="Calibri Light"/>
          <w:lang w:val="es-ES"/>
        </w:rPr>
        <w:t xml:space="preserve">aportación </w:t>
      </w:r>
      <w:r w:rsidRPr="00977132">
        <w:rPr>
          <w:rFonts w:ascii="Calibri Light" w:hAnsi="Calibri Light" w:cs="Calibri Light"/>
          <w:lang w:val="es-ES"/>
        </w:rPr>
        <w:t xml:space="preserve">de capital de los empleados. Esto podría funcionar bien si </w:t>
      </w:r>
      <w:r w:rsidR="006536CC" w:rsidRPr="00977132">
        <w:rPr>
          <w:rFonts w:ascii="Calibri Light" w:hAnsi="Calibri Light" w:cs="Calibri Light"/>
          <w:lang w:val="es-ES"/>
        </w:rPr>
        <w:t>redunda en</w:t>
      </w:r>
      <w:r w:rsidRPr="00977132">
        <w:rPr>
          <w:rFonts w:ascii="Calibri Light" w:hAnsi="Calibri Light" w:cs="Calibri Light"/>
          <w:lang w:val="es-ES"/>
        </w:rPr>
        <w:t xml:space="preserve"> ventajas fiscales.</w:t>
      </w:r>
    </w:p>
    <w:p w14:paraId="010D0A16" w14:textId="134A9986" w:rsidR="008D4F79" w:rsidRPr="00977132" w:rsidRDefault="00CA1DA6">
      <w:pPr>
        <w:pStyle w:val="Prrafodelista"/>
        <w:numPr>
          <w:ilvl w:val="0"/>
          <w:numId w:val="2"/>
        </w:numPr>
        <w:spacing w:after="160" w:line="256" w:lineRule="auto"/>
        <w:jc w:val="both"/>
        <w:rPr>
          <w:lang w:val="es-ES"/>
        </w:rPr>
      </w:pPr>
      <w:r w:rsidRPr="00977132">
        <w:rPr>
          <w:rFonts w:ascii="Calibri Light" w:hAnsi="Calibri Light" w:cs="Calibri Light"/>
          <w:b/>
          <w:bCs/>
          <w:lang w:val="es-ES"/>
        </w:rPr>
        <w:t xml:space="preserve">Poner fin al asesoramiento sesgado en la distribución "minorista" y frenar enérgicamente los "incentivos" </w:t>
      </w:r>
      <w:r w:rsidRPr="00977132">
        <w:rPr>
          <w:rFonts w:ascii="Calibri Light" w:hAnsi="Calibri Light" w:cs="Calibri Light"/>
          <w:lang w:val="es-ES"/>
        </w:rPr>
        <w:t xml:space="preserve">en la MiFID 2 y en los productos de inversión regulados por la IDD. Asegurarse de que los profesionales financieros asuman su responsabilidad </w:t>
      </w:r>
      <w:r w:rsidR="006536CC" w:rsidRPr="00977132">
        <w:rPr>
          <w:rFonts w:ascii="Calibri Light" w:hAnsi="Calibri Light" w:cs="Calibri Light"/>
          <w:lang w:val="es-ES"/>
        </w:rPr>
        <w:t>en el ofrecimiento de</w:t>
      </w:r>
      <w:r w:rsidRPr="00977132">
        <w:rPr>
          <w:rFonts w:ascii="Calibri Light" w:hAnsi="Calibri Light" w:cs="Calibri Light"/>
          <w:lang w:val="es-ES"/>
        </w:rPr>
        <w:t xml:space="preserve"> </w:t>
      </w:r>
      <w:r w:rsidR="006536CC" w:rsidRPr="00977132">
        <w:rPr>
          <w:rFonts w:ascii="Calibri Light" w:hAnsi="Calibri Light" w:cs="Calibri Light"/>
          <w:lang w:val="es-ES"/>
        </w:rPr>
        <w:t xml:space="preserve">unas </w:t>
      </w:r>
      <w:r w:rsidRPr="00977132">
        <w:rPr>
          <w:rFonts w:ascii="Calibri Light" w:hAnsi="Calibri Light" w:cs="Calibri Light"/>
          <w:lang w:val="es-ES"/>
        </w:rPr>
        <w:t xml:space="preserve">soluciones de inversión adecuadas para los inversores </w:t>
      </w:r>
      <w:r w:rsidR="006536CC" w:rsidRPr="00977132">
        <w:rPr>
          <w:rFonts w:ascii="Calibri Light" w:hAnsi="Calibri Light" w:cs="Calibri Light"/>
          <w:lang w:val="es-ES"/>
        </w:rPr>
        <w:t>privados</w:t>
      </w:r>
      <w:r w:rsidRPr="00977132">
        <w:rPr>
          <w:rFonts w:ascii="Calibri Light" w:hAnsi="Calibri Light" w:cs="Calibri Light"/>
          <w:lang w:val="es-ES"/>
        </w:rPr>
        <w:t xml:space="preserve">, basándose en </w:t>
      </w:r>
      <w:r w:rsidR="006536CC" w:rsidRPr="00977132">
        <w:rPr>
          <w:rFonts w:ascii="Calibri Light" w:hAnsi="Calibri Light" w:cs="Calibri Light"/>
          <w:lang w:val="es-ES"/>
        </w:rPr>
        <w:t xml:space="preserve">su </w:t>
      </w:r>
      <w:r w:rsidRPr="00977132">
        <w:rPr>
          <w:rFonts w:ascii="Calibri Light" w:hAnsi="Calibri Light" w:cs="Calibri Light"/>
          <w:lang w:val="es-ES"/>
        </w:rPr>
        <w:t xml:space="preserve">deber de </w:t>
      </w:r>
      <w:r w:rsidR="006536CC" w:rsidRPr="00977132">
        <w:rPr>
          <w:rFonts w:ascii="Calibri Light" w:hAnsi="Calibri Light" w:cs="Calibri Light"/>
          <w:lang w:val="es-ES"/>
        </w:rPr>
        <w:t>cuidar de</w:t>
      </w:r>
      <w:r w:rsidRPr="00977132">
        <w:rPr>
          <w:rFonts w:ascii="Calibri Light" w:hAnsi="Calibri Light" w:cs="Calibri Light"/>
          <w:lang w:val="es-ES"/>
        </w:rPr>
        <w:t xml:space="preserve"> sus clientes</w:t>
      </w:r>
      <w:r w:rsidR="0069501F" w:rsidRPr="00977132">
        <w:rPr>
          <w:rFonts w:ascii="Calibri Light" w:hAnsi="Calibri Light" w:cs="Calibri Light"/>
          <w:lang w:val="es-ES"/>
        </w:rPr>
        <w:t xml:space="preserve"> </w:t>
      </w:r>
      <w:r w:rsidR="006536CC" w:rsidRPr="00977132">
        <w:rPr>
          <w:rFonts w:ascii="Calibri Light" w:hAnsi="Calibri Light" w:cs="Calibri Light"/>
          <w:lang w:val="es-ES"/>
        </w:rPr>
        <w:t>y actuar</w:t>
      </w:r>
      <w:r w:rsidRPr="00977132">
        <w:rPr>
          <w:rFonts w:ascii="Calibri Light" w:hAnsi="Calibri Light" w:cs="Calibri Light"/>
          <w:lang w:val="es-ES"/>
        </w:rPr>
        <w:t xml:space="preserve"> siempre en su mejor interés.</w:t>
      </w:r>
    </w:p>
    <w:p w14:paraId="010D0A17" w14:textId="23DA939E" w:rsidR="008D4F79" w:rsidRPr="00977132" w:rsidRDefault="006536CC">
      <w:pPr>
        <w:pStyle w:val="Prrafodelista"/>
        <w:numPr>
          <w:ilvl w:val="0"/>
          <w:numId w:val="2"/>
        </w:numPr>
        <w:spacing w:after="160" w:line="256" w:lineRule="auto"/>
        <w:jc w:val="both"/>
        <w:rPr>
          <w:lang w:val="es-ES"/>
        </w:rPr>
      </w:pPr>
      <w:r w:rsidRPr="00977132">
        <w:rPr>
          <w:rFonts w:ascii="Calibri Light" w:hAnsi="Calibri Light" w:cs="Calibri Light"/>
          <w:b/>
          <w:bCs/>
          <w:lang w:val="es-ES"/>
        </w:rPr>
        <w:t>Aumentar la educación</w:t>
      </w:r>
      <w:r w:rsidR="00CA1DA6" w:rsidRPr="00977132">
        <w:rPr>
          <w:rFonts w:ascii="Calibri Light" w:hAnsi="Calibri Light" w:cs="Calibri Light"/>
          <w:b/>
          <w:bCs/>
          <w:lang w:val="es-ES"/>
        </w:rPr>
        <w:t xml:space="preserve"> </w:t>
      </w:r>
      <w:r w:rsidRPr="00977132">
        <w:rPr>
          <w:rFonts w:ascii="Calibri Light" w:hAnsi="Calibri Light" w:cs="Calibri Light"/>
          <w:b/>
          <w:bCs/>
          <w:lang w:val="es-ES"/>
        </w:rPr>
        <w:t>financiera</w:t>
      </w:r>
      <w:r w:rsidR="00CA1DA6" w:rsidRPr="00977132">
        <w:rPr>
          <w:rFonts w:ascii="Calibri Light" w:hAnsi="Calibri Light" w:cs="Calibri Light"/>
          <w:lang w:val="es-ES"/>
        </w:rPr>
        <w:t xml:space="preserve">, no para que los inversores </w:t>
      </w:r>
      <w:r w:rsidRPr="00977132">
        <w:rPr>
          <w:rFonts w:ascii="Calibri Light" w:hAnsi="Calibri Light" w:cs="Calibri Light"/>
          <w:lang w:val="es-ES"/>
        </w:rPr>
        <w:t xml:space="preserve">privados decidan </w:t>
      </w:r>
      <w:r w:rsidR="00CA1DA6" w:rsidRPr="00977132">
        <w:rPr>
          <w:rFonts w:ascii="Calibri Light" w:hAnsi="Calibri Light" w:cs="Calibri Light"/>
          <w:lang w:val="es-ES"/>
        </w:rPr>
        <w:t xml:space="preserve">los mejores productos para ellos, sino para asegurarse de que pueden elegir el nivel de asesoramiento adecuado para ellos. Los inversores </w:t>
      </w:r>
      <w:r w:rsidRPr="00977132">
        <w:rPr>
          <w:rFonts w:ascii="Calibri Light" w:hAnsi="Calibri Light" w:cs="Calibri Light"/>
          <w:lang w:val="es-ES"/>
        </w:rPr>
        <w:t xml:space="preserve">privados </w:t>
      </w:r>
      <w:r w:rsidR="00CA1DA6" w:rsidRPr="00977132">
        <w:rPr>
          <w:rFonts w:ascii="Calibri Light" w:hAnsi="Calibri Light" w:cs="Calibri Light"/>
          <w:lang w:val="es-ES"/>
        </w:rPr>
        <w:t xml:space="preserve">carecen de los conocimientos, la educación financiera y el tiempo necesario para comprender plenamente los productos financieros sumamente complejos que se les ofrecen. </w:t>
      </w:r>
      <w:r w:rsidRPr="00977132">
        <w:rPr>
          <w:rFonts w:ascii="Calibri Light" w:hAnsi="Calibri Light" w:cs="Calibri Light"/>
          <w:lang w:val="es-ES"/>
        </w:rPr>
        <w:t>Ni falta que les hace</w:t>
      </w:r>
      <w:r w:rsidR="00CA1DA6" w:rsidRPr="00977132">
        <w:rPr>
          <w:rFonts w:ascii="Calibri Light" w:hAnsi="Calibri Light" w:cs="Calibri Light"/>
          <w:lang w:val="es-ES"/>
        </w:rPr>
        <w:t>.</w:t>
      </w:r>
    </w:p>
    <w:p w14:paraId="010D0A18" w14:textId="77777777" w:rsidR="008D4F79" w:rsidRPr="00977132" w:rsidRDefault="00CA1DA6">
      <w:pPr>
        <w:pStyle w:val="Prrafodelista"/>
        <w:numPr>
          <w:ilvl w:val="0"/>
          <w:numId w:val="2"/>
        </w:numPr>
        <w:spacing w:after="160" w:line="256" w:lineRule="auto"/>
        <w:jc w:val="both"/>
        <w:rPr>
          <w:lang w:val="es-ES"/>
        </w:rPr>
      </w:pPr>
      <w:r w:rsidRPr="00977132">
        <w:rPr>
          <w:rFonts w:ascii="Calibri Light" w:hAnsi="Calibri Light" w:cs="Calibri Light"/>
          <w:lang w:val="es-ES"/>
        </w:rPr>
        <w:t xml:space="preserve">Luchar contra el </w:t>
      </w:r>
      <w:r w:rsidRPr="00977132">
        <w:rPr>
          <w:rFonts w:ascii="Calibri Light" w:hAnsi="Calibri Light" w:cs="Calibri Light"/>
          <w:b/>
          <w:bCs/>
          <w:lang w:val="es-ES"/>
        </w:rPr>
        <w:t xml:space="preserve">"lavado verde" </w:t>
      </w:r>
      <w:r w:rsidRPr="00977132">
        <w:rPr>
          <w:rFonts w:ascii="Calibri Light" w:hAnsi="Calibri Light" w:cs="Calibri Light"/>
          <w:lang w:val="es-ES"/>
        </w:rPr>
        <w:t xml:space="preserve">en el diseño y la promoción de los productos de inversión ESG. </w:t>
      </w:r>
    </w:p>
    <w:p w14:paraId="010D0A19" w14:textId="092FAAAE" w:rsidR="008D4F79" w:rsidRPr="00977132" w:rsidRDefault="00CA1DA6">
      <w:pPr>
        <w:pStyle w:val="Prrafodelista"/>
        <w:numPr>
          <w:ilvl w:val="0"/>
          <w:numId w:val="2"/>
        </w:numPr>
        <w:spacing w:after="160" w:line="256" w:lineRule="auto"/>
        <w:jc w:val="both"/>
        <w:rPr>
          <w:lang w:val="es-ES"/>
        </w:rPr>
      </w:pPr>
      <w:r w:rsidRPr="00977132">
        <w:rPr>
          <w:rFonts w:ascii="Calibri Light" w:hAnsi="Calibri Light" w:cs="Calibri Light"/>
          <w:b/>
          <w:bCs/>
          <w:lang w:val="es-ES"/>
        </w:rPr>
        <w:t xml:space="preserve">Dejar de penalizar las inversiones en acciones a largo plazo </w:t>
      </w:r>
      <w:r w:rsidRPr="00977132">
        <w:rPr>
          <w:rFonts w:ascii="Calibri Light" w:hAnsi="Calibri Light" w:cs="Calibri Light"/>
          <w:bCs/>
          <w:lang w:val="es-ES"/>
        </w:rPr>
        <w:t>frente a los bonos soberanos</w:t>
      </w:r>
      <w:r w:rsidRPr="00977132">
        <w:rPr>
          <w:rFonts w:ascii="Calibri Light" w:hAnsi="Calibri Light" w:cs="Calibri Light"/>
          <w:b/>
          <w:bCs/>
          <w:lang w:val="es-ES"/>
        </w:rPr>
        <w:t xml:space="preserve"> </w:t>
      </w:r>
      <w:r w:rsidRPr="00977132">
        <w:rPr>
          <w:rFonts w:ascii="Calibri Light" w:hAnsi="Calibri Light" w:cs="Calibri Light"/>
          <w:lang w:val="es-ES"/>
        </w:rPr>
        <w:t xml:space="preserve">en </w:t>
      </w:r>
      <w:r w:rsidR="006536CC" w:rsidRPr="00977132">
        <w:rPr>
          <w:rFonts w:ascii="Calibri Light" w:hAnsi="Calibri Light" w:cs="Calibri Light"/>
          <w:lang w:val="es-ES"/>
        </w:rPr>
        <w:t xml:space="preserve">las </w:t>
      </w:r>
      <w:r w:rsidRPr="00977132">
        <w:rPr>
          <w:rFonts w:ascii="Calibri Light" w:hAnsi="Calibri Light" w:cs="Calibri Light"/>
          <w:lang w:val="es-ES"/>
        </w:rPr>
        <w:t>normas prudenciales.</w:t>
      </w:r>
    </w:p>
    <w:p w14:paraId="010D0A1A" w14:textId="1D973B0A" w:rsidR="008D4F79" w:rsidRPr="00977132" w:rsidRDefault="00455B93">
      <w:pPr>
        <w:pStyle w:val="Prrafodelista"/>
        <w:numPr>
          <w:ilvl w:val="0"/>
          <w:numId w:val="2"/>
        </w:numPr>
        <w:spacing w:after="160" w:line="256" w:lineRule="auto"/>
        <w:jc w:val="both"/>
        <w:rPr>
          <w:rFonts w:ascii="Calibri Light" w:hAnsi="Calibri Light" w:cs="Calibri Light"/>
          <w:lang w:val="es-ES"/>
        </w:rPr>
      </w:pPr>
      <w:r>
        <w:rPr>
          <w:rFonts w:ascii="Calibri Light" w:hAnsi="Calibri Light" w:cs="Calibri Light"/>
          <w:lang w:val="es-ES"/>
        </w:rPr>
        <w:t xml:space="preserve">Las </w:t>
      </w:r>
      <w:r w:rsidRPr="00977132">
        <w:rPr>
          <w:rFonts w:ascii="Calibri Light" w:hAnsi="Calibri Light" w:cs="Calibri Light"/>
          <w:lang w:val="es-ES"/>
        </w:rPr>
        <w:t>AE</w:t>
      </w:r>
      <w:r>
        <w:rPr>
          <w:rFonts w:ascii="Calibri Light" w:hAnsi="Calibri Light" w:cs="Calibri Light"/>
          <w:lang w:val="es-ES"/>
        </w:rPr>
        <w:t>S</w:t>
      </w:r>
      <w:r w:rsidRPr="00977132">
        <w:rPr>
          <w:rFonts w:ascii="Calibri Light" w:hAnsi="Calibri Light" w:cs="Calibri Light"/>
          <w:lang w:val="es-ES"/>
        </w:rPr>
        <w:t xml:space="preserve"> </w:t>
      </w:r>
      <w:r>
        <w:rPr>
          <w:rFonts w:ascii="Calibri Light" w:hAnsi="Calibri Light" w:cs="Calibri Light"/>
          <w:lang w:val="es-ES"/>
        </w:rPr>
        <w:t>deberán</w:t>
      </w:r>
      <w:r w:rsidRPr="00977132">
        <w:rPr>
          <w:rFonts w:ascii="Calibri Light" w:hAnsi="Calibri Light" w:cs="Calibri Light"/>
          <w:lang w:val="es-ES"/>
        </w:rPr>
        <w:t xml:space="preserve"> </w:t>
      </w:r>
      <w:r w:rsidR="00375A2F" w:rsidRPr="00977132">
        <w:rPr>
          <w:rFonts w:ascii="Calibri Light" w:hAnsi="Calibri Light" w:cs="Calibri Light"/>
          <w:lang w:val="es-ES"/>
        </w:rPr>
        <w:t xml:space="preserve">hacer </w:t>
      </w:r>
      <w:r w:rsidR="00CA1DA6" w:rsidRPr="00977132">
        <w:rPr>
          <w:rFonts w:ascii="Calibri Light" w:hAnsi="Calibri Light" w:cs="Calibri Light"/>
          <w:lang w:val="es-ES"/>
        </w:rPr>
        <w:t xml:space="preserve">cumplir la legislación de la UE </w:t>
      </w:r>
      <w:r w:rsidR="00375A2F" w:rsidRPr="00977132">
        <w:rPr>
          <w:rFonts w:ascii="Calibri Light" w:hAnsi="Calibri Light" w:cs="Calibri Light"/>
          <w:lang w:val="es-ES"/>
        </w:rPr>
        <w:t>y garantizar el pleno acceso de</w:t>
      </w:r>
      <w:r w:rsidR="00CA1DA6" w:rsidRPr="00977132">
        <w:rPr>
          <w:rFonts w:ascii="Calibri Light" w:hAnsi="Calibri Light" w:cs="Calibri Light"/>
          <w:lang w:val="es-ES"/>
        </w:rPr>
        <w:t xml:space="preserve"> los inversores </w:t>
      </w:r>
      <w:r w:rsidR="00375A2F" w:rsidRPr="00977132">
        <w:rPr>
          <w:rFonts w:ascii="Calibri Light" w:hAnsi="Calibri Light" w:cs="Calibri Light"/>
          <w:lang w:val="es-ES"/>
        </w:rPr>
        <w:t xml:space="preserve">privados </w:t>
      </w:r>
      <w:r w:rsidR="00CA1DA6" w:rsidRPr="00977132">
        <w:rPr>
          <w:rFonts w:ascii="Calibri Light" w:hAnsi="Calibri Light" w:cs="Calibri Light"/>
          <w:lang w:val="es-ES"/>
        </w:rPr>
        <w:t xml:space="preserve">de la UE a productos de inversión </w:t>
      </w:r>
      <w:r w:rsidR="00375A2F" w:rsidRPr="00977132">
        <w:rPr>
          <w:rFonts w:ascii="Calibri Light" w:hAnsi="Calibri Light" w:cs="Calibri Light"/>
          <w:lang w:val="es-ES"/>
        </w:rPr>
        <w:t>con una baja</w:t>
      </w:r>
      <w:r w:rsidR="00CA1DA6" w:rsidRPr="00977132">
        <w:rPr>
          <w:rFonts w:ascii="Calibri Light" w:hAnsi="Calibri Light" w:cs="Calibri Light"/>
          <w:lang w:val="es-ES"/>
        </w:rPr>
        <w:t xml:space="preserve"> comisión como acciones, bonos y </w:t>
      </w:r>
      <w:r w:rsidR="00375A2F" w:rsidRPr="00977132">
        <w:rPr>
          <w:rFonts w:ascii="Calibri Light" w:hAnsi="Calibri Light" w:cs="Calibri Light"/>
          <w:lang w:val="es-ES"/>
        </w:rPr>
        <w:t>fondos índice cotizados o ETFs</w:t>
      </w:r>
      <w:r w:rsidR="00CA1DA6" w:rsidRPr="00977132">
        <w:rPr>
          <w:rFonts w:ascii="Calibri Light" w:hAnsi="Calibri Light" w:cs="Calibri Light"/>
          <w:lang w:val="es-ES"/>
        </w:rPr>
        <w:t>.</w:t>
      </w:r>
    </w:p>
    <w:p w14:paraId="010D0A1B" w14:textId="389FA5BB" w:rsidR="008D4F79" w:rsidRPr="00977132" w:rsidRDefault="00CA1DA6">
      <w:pPr>
        <w:pStyle w:val="Prrafodelista"/>
        <w:numPr>
          <w:ilvl w:val="0"/>
          <w:numId w:val="2"/>
        </w:numPr>
        <w:spacing w:after="160" w:line="256" w:lineRule="auto"/>
        <w:jc w:val="both"/>
        <w:rPr>
          <w:lang w:val="es-ES"/>
        </w:rPr>
      </w:pPr>
      <w:r w:rsidRPr="00977132">
        <w:rPr>
          <w:rFonts w:ascii="Calibri Light" w:hAnsi="Calibri Light" w:cs="Calibri Light"/>
          <w:b/>
          <w:lang w:val="es-ES"/>
        </w:rPr>
        <w:lastRenderedPageBreak/>
        <w:t>Restablecer</w:t>
      </w:r>
      <w:r w:rsidRPr="00977132">
        <w:rPr>
          <w:rFonts w:ascii="Calibri Light" w:hAnsi="Calibri Light" w:cs="Calibri Light"/>
          <w:lang w:val="es-ES"/>
        </w:rPr>
        <w:t xml:space="preserve"> </w:t>
      </w:r>
      <w:r w:rsidRPr="00977132">
        <w:rPr>
          <w:rFonts w:ascii="Calibri Light" w:hAnsi="Calibri Light" w:cs="Calibri Light"/>
          <w:b/>
          <w:bCs/>
          <w:lang w:val="es-ES"/>
        </w:rPr>
        <w:t xml:space="preserve">la divulgación estandarizada de los resultados </w:t>
      </w:r>
      <w:r w:rsidR="00375A2F" w:rsidRPr="00977132">
        <w:rPr>
          <w:rFonts w:ascii="Calibri Light" w:hAnsi="Calibri Light" w:cs="Calibri Light"/>
          <w:b/>
          <w:bCs/>
          <w:lang w:val="es-ES"/>
        </w:rPr>
        <w:t xml:space="preserve">anteriores </w:t>
      </w:r>
      <w:r w:rsidRPr="00977132">
        <w:rPr>
          <w:rFonts w:ascii="Calibri Light" w:hAnsi="Calibri Light" w:cs="Calibri Light"/>
          <w:lang w:val="es-ES"/>
        </w:rPr>
        <w:t xml:space="preserve">(en relación con los </w:t>
      </w:r>
      <w:r w:rsidR="00375A2F" w:rsidRPr="00977132">
        <w:rPr>
          <w:rFonts w:ascii="Calibri Light" w:hAnsi="Calibri Light" w:cs="Calibri Light"/>
          <w:lang w:val="es-ES"/>
        </w:rPr>
        <w:t xml:space="preserve">valores </w:t>
      </w:r>
      <w:r w:rsidRPr="00977132">
        <w:rPr>
          <w:rFonts w:ascii="Calibri Light" w:hAnsi="Calibri Light" w:cs="Calibri Light"/>
          <w:lang w:val="es-ES"/>
        </w:rPr>
        <w:t xml:space="preserve">de referencia de los gestores) y los </w:t>
      </w:r>
      <w:r w:rsidR="00375A2F" w:rsidRPr="00977132">
        <w:rPr>
          <w:rFonts w:ascii="Calibri Light" w:hAnsi="Calibri Light" w:cs="Calibri Light"/>
          <w:lang w:val="es-ES"/>
        </w:rPr>
        <w:t xml:space="preserve">costes </w:t>
      </w:r>
      <w:r w:rsidRPr="00977132">
        <w:rPr>
          <w:rFonts w:ascii="Calibri Light" w:hAnsi="Calibri Light" w:cs="Calibri Light"/>
          <w:lang w:val="es-ES"/>
        </w:rPr>
        <w:t>de todos los productos de inversión minoristas.</w:t>
      </w:r>
    </w:p>
    <w:p w14:paraId="010D0A1C" w14:textId="75FC7C79" w:rsidR="008D4F79" w:rsidRPr="00977132" w:rsidRDefault="00CA1DA6">
      <w:pPr>
        <w:pStyle w:val="Prrafodelista"/>
        <w:numPr>
          <w:ilvl w:val="0"/>
          <w:numId w:val="2"/>
        </w:numPr>
        <w:spacing w:after="160" w:line="256" w:lineRule="auto"/>
        <w:jc w:val="both"/>
        <w:rPr>
          <w:rFonts w:ascii="Calibri Light" w:hAnsi="Calibri Light" w:cs="Calibri Light"/>
          <w:lang w:val="es-ES"/>
        </w:rPr>
      </w:pPr>
      <w:r w:rsidRPr="00977132">
        <w:rPr>
          <w:rFonts w:ascii="Calibri Light" w:hAnsi="Calibri Light" w:cs="Calibri Light"/>
          <w:lang w:val="es-ES"/>
        </w:rPr>
        <w:t xml:space="preserve">Asegurarse de que el futuro PEPP, el producto propuesto de Pensión Personal Paneuropea, sea realmente </w:t>
      </w:r>
      <w:r w:rsidR="00375A2F" w:rsidRPr="00977132">
        <w:rPr>
          <w:rFonts w:ascii="Calibri Light" w:hAnsi="Calibri Light" w:cs="Calibri Light"/>
          <w:lang w:val="es-ES"/>
        </w:rPr>
        <w:t>sencillo</w:t>
      </w:r>
      <w:r w:rsidRPr="00977132">
        <w:rPr>
          <w:rFonts w:ascii="Calibri Light" w:hAnsi="Calibri Light" w:cs="Calibri Light"/>
          <w:lang w:val="es-ES"/>
        </w:rPr>
        <w:t xml:space="preserve">, seguro y eficiente. Esto también requiere que los Estados miembros de la Unión Europea garanticen </w:t>
      </w:r>
      <w:r w:rsidR="00375A2F" w:rsidRPr="00977132">
        <w:rPr>
          <w:rFonts w:ascii="Calibri Light" w:hAnsi="Calibri Light" w:cs="Calibri Light"/>
          <w:lang w:val="es-ES"/>
        </w:rPr>
        <w:t xml:space="preserve">una </w:t>
      </w:r>
      <w:r w:rsidRPr="00977132">
        <w:rPr>
          <w:rFonts w:ascii="Calibri Light" w:hAnsi="Calibri Light" w:cs="Calibri Light"/>
          <w:lang w:val="es-ES"/>
        </w:rPr>
        <w:t>igualdad de condiciones en materia fiscal, en la medida en que esto sea posible.</w:t>
      </w:r>
    </w:p>
    <w:p w14:paraId="010D0A1D" w14:textId="034859B1" w:rsidR="008D4F79" w:rsidRPr="00977132" w:rsidRDefault="00455B93">
      <w:pPr>
        <w:pStyle w:val="Prrafodelista"/>
        <w:numPr>
          <w:ilvl w:val="0"/>
          <w:numId w:val="2"/>
        </w:numPr>
        <w:spacing w:after="160" w:line="256" w:lineRule="auto"/>
        <w:jc w:val="both"/>
        <w:rPr>
          <w:rFonts w:ascii="Calibri Light" w:hAnsi="Calibri Light" w:cs="Calibri Light"/>
          <w:lang w:val="es-ES"/>
        </w:rPr>
      </w:pPr>
      <w:r>
        <w:rPr>
          <w:rFonts w:ascii="Calibri Light" w:hAnsi="Calibri Light" w:cs="Calibri Light"/>
          <w:lang w:val="es-ES"/>
        </w:rPr>
        <w:t>Las AES</w:t>
      </w:r>
      <w:r w:rsidRPr="00977132">
        <w:rPr>
          <w:rFonts w:ascii="Calibri Light" w:hAnsi="Calibri Light" w:cs="Calibri Light"/>
          <w:lang w:val="es-ES"/>
        </w:rPr>
        <w:t xml:space="preserve"> </w:t>
      </w:r>
      <w:r>
        <w:rPr>
          <w:rFonts w:ascii="Calibri Light" w:hAnsi="Calibri Light" w:cs="Calibri Light"/>
          <w:lang w:val="es-ES"/>
        </w:rPr>
        <w:t>deberán</w:t>
      </w:r>
      <w:r w:rsidRPr="00977132">
        <w:rPr>
          <w:rFonts w:ascii="Calibri Light" w:hAnsi="Calibri Light" w:cs="Calibri Light"/>
          <w:lang w:val="es-ES"/>
        </w:rPr>
        <w:t xml:space="preserve"> </w:t>
      </w:r>
      <w:r w:rsidR="00CA1DA6" w:rsidRPr="00977132">
        <w:rPr>
          <w:rFonts w:ascii="Calibri Light" w:hAnsi="Calibri Light" w:cs="Calibri Light"/>
          <w:lang w:val="es-ES"/>
        </w:rPr>
        <w:t xml:space="preserve">mejorar y seguir informando sobre los </w:t>
      </w:r>
      <w:r w:rsidR="00375A2F" w:rsidRPr="00977132">
        <w:rPr>
          <w:rFonts w:ascii="Calibri Light" w:hAnsi="Calibri Light" w:cs="Calibri Light"/>
          <w:lang w:val="es-ES"/>
        </w:rPr>
        <w:t xml:space="preserve">costes </w:t>
      </w:r>
      <w:r w:rsidR="00CA1DA6" w:rsidRPr="00977132">
        <w:rPr>
          <w:rFonts w:ascii="Calibri Light" w:hAnsi="Calibri Light" w:cs="Calibri Light"/>
          <w:lang w:val="es-ES"/>
        </w:rPr>
        <w:t xml:space="preserve">y el rendimiento anterior de los productos de inversión </w:t>
      </w:r>
      <w:r w:rsidR="0093791B" w:rsidRPr="00977132">
        <w:rPr>
          <w:rFonts w:ascii="Calibri Light" w:hAnsi="Calibri Light" w:cs="Calibri Light"/>
          <w:lang w:val="es-ES"/>
        </w:rPr>
        <w:t>minoristas</w:t>
      </w:r>
      <w:r w:rsidR="00CA1DA6" w:rsidRPr="00977132">
        <w:rPr>
          <w:rFonts w:ascii="Calibri Light" w:hAnsi="Calibri Light" w:cs="Calibri Light"/>
          <w:lang w:val="es-ES"/>
        </w:rPr>
        <w:t>.</w:t>
      </w:r>
    </w:p>
    <w:p w14:paraId="010D0A1E" w14:textId="6A043A36" w:rsidR="008D4F79" w:rsidRPr="00977132" w:rsidRDefault="00455B93">
      <w:pPr>
        <w:pStyle w:val="Prrafodelista"/>
        <w:numPr>
          <w:ilvl w:val="0"/>
          <w:numId w:val="2"/>
        </w:numPr>
        <w:spacing w:after="160" w:line="256" w:lineRule="auto"/>
        <w:jc w:val="both"/>
        <w:rPr>
          <w:rFonts w:ascii="Calibri Light" w:hAnsi="Calibri Light" w:cs="Calibri Light"/>
          <w:lang w:val="es-ES"/>
        </w:rPr>
      </w:pPr>
      <w:r>
        <w:rPr>
          <w:rFonts w:ascii="Calibri Light" w:hAnsi="Calibri Light" w:cs="Calibri Light"/>
          <w:lang w:val="es-ES"/>
        </w:rPr>
        <w:t>Las AES deberán</w:t>
      </w:r>
      <w:r w:rsidR="00CA1DA6" w:rsidRPr="00977132">
        <w:rPr>
          <w:rFonts w:ascii="Calibri Light" w:hAnsi="Calibri Light" w:cs="Calibri Light"/>
          <w:lang w:val="es-ES"/>
        </w:rPr>
        <w:t xml:space="preserve"> crear una base de datos de </w:t>
      </w:r>
      <w:r w:rsidR="0093791B" w:rsidRPr="00977132">
        <w:rPr>
          <w:rFonts w:ascii="Calibri Light" w:hAnsi="Calibri Light" w:cs="Calibri Light"/>
          <w:lang w:val="es-ES"/>
        </w:rPr>
        <w:t xml:space="preserve">dominio </w:t>
      </w:r>
      <w:r w:rsidR="00CA1DA6" w:rsidRPr="00977132">
        <w:rPr>
          <w:rFonts w:ascii="Calibri Light" w:hAnsi="Calibri Light" w:cs="Calibri Light"/>
          <w:lang w:val="es-ES"/>
        </w:rPr>
        <w:t>público en la que se puedan comparar los productos de las pensiones.</w:t>
      </w:r>
    </w:p>
    <w:p w14:paraId="010D0A1F" w14:textId="5B65A27F" w:rsidR="008D4F79" w:rsidRPr="00977132" w:rsidRDefault="00CA1DA6">
      <w:pPr>
        <w:jc w:val="both"/>
        <w:rPr>
          <w:rFonts w:ascii="Calibri Light" w:hAnsi="Calibri Light" w:cs="Calibri Light"/>
          <w:lang w:val="es-ES"/>
        </w:rPr>
      </w:pPr>
      <w:r w:rsidRPr="00977132">
        <w:rPr>
          <w:rFonts w:ascii="Calibri Light" w:hAnsi="Calibri Light" w:cs="Calibri Light"/>
          <w:lang w:val="es-ES"/>
        </w:rPr>
        <w:t xml:space="preserve">Suponiendo que estas medidas se tengan en cuenta, serán esenciales, </w:t>
      </w:r>
      <w:r w:rsidR="0093791B" w:rsidRPr="00977132">
        <w:rPr>
          <w:rFonts w:ascii="Calibri Light" w:hAnsi="Calibri Light" w:cs="Calibri Light"/>
          <w:lang w:val="es-ES"/>
        </w:rPr>
        <w:t xml:space="preserve">aunque </w:t>
      </w:r>
      <w:r w:rsidRPr="00977132">
        <w:rPr>
          <w:rFonts w:ascii="Calibri Light" w:hAnsi="Calibri Light" w:cs="Calibri Light"/>
          <w:lang w:val="es-ES"/>
        </w:rPr>
        <w:t xml:space="preserve">insuficientes, para hacer frente a esta crisis sin precedentes. Los responsables políticos y otras partes interesadas en el ámbito de los servicios de pensiones, empezando por los ciudadanos como ahorradores </w:t>
      </w:r>
      <w:r w:rsidR="0093791B" w:rsidRPr="00977132">
        <w:rPr>
          <w:rFonts w:ascii="Calibri Light" w:hAnsi="Calibri Light" w:cs="Calibri Light"/>
          <w:lang w:val="es-ES"/>
        </w:rPr>
        <w:t xml:space="preserve">para las </w:t>
      </w:r>
      <w:r w:rsidRPr="00977132">
        <w:rPr>
          <w:rFonts w:ascii="Calibri Light" w:hAnsi="Calibri Light" w:cs="Calibri Light"/>
          <w:lang w:val="es-ES"/>
        </w:rPr>
        <w:t xml:space="preserve">pensiones, deben diseñar </w:t>
      </w:r>
      <w:r w:rsidR="0093791B" w:rsidRPr="00977132">
        <w:rPr>
          <w:rFonts w:ascii="Calibri Light" w:hAnsi="Calibri Light" w:cs="Calibri Light"/>
          <w:lang w:val="es-ES"/>
        </w:rPr>
        <w:t xml:space="preserve">unas </w:t>
      </w:r>
      <w:r w:rsidRPr="00977132">
        <w:rPr>
          <w:rFonts w:ascii="Calibri Light" w:hAnsi="Calibri Light" w:cs="Calibri Light"/>
          <w:lang w:val="es-ES"/>
        </w:rPr>
        <w:t xml:space="preserve">medidas de protección excepcionales para garantizar unos ingresos de pensiones decentes a los ciudadanos de la UE, ahora y en un futuro próximo. BETTER FINANCE está </w:t>
      </w:r>
      <w:r w:rsidR="0093791B" w:rsidRPr="00977132">
        <w:rPr>
          <w:rFonts w:ascii="Calibri Light" w:hAnsi="Calibri Light" w:cs="Calibri Light"/>
          <w:lang w:val="es-ES"/>
        </w:rPr>
        <w:t xml:space="preserve">dispuesto </w:t>
      </w:r>
      <w:r w:rsidRPr="00977132">
        <w:rPr>
          <w:rFonts w:ascii="Calibri Light" w:hAnsi="Calibri Light" w:cs="Calibri Light"/>
          <w:lang w:val="es-ES"/>
        </w:rPr>
        <w:t xml:space="preserve">a participar activamente en este proceso necesario y </w:t>
      </w:r>
      <w:r w:rsidR="0093791B" w:rsidRPr="00977132">
        <w:rPr>
          <w:rFonts w:ascii="Calibri Light" w:hAnsi="Calibri Light" w:cs="Calibri Light"/>
          <w:lang w:val="es-ES"/>
        </w:rPr>
        <w:t xml:space="preserve">a la vez </w:t>
      </w:r>
      <w:r w:rsidRPr="00977132">
        <w:rPr>
          <w:rFonts w:ascii="Calibri Light" w:hAnsi="Calibri Light" w:cs="Calibri Light"/>
          <w:lang w:val="es-ES"/>
        </w:rPr>
        <w:t xml:space="preserve">urgente y a aportar ideas y pruebas de su </w:t>
      </w:r>
      <w:r w:rsidR="0093791B" w:rsidRPr="00977132">
        <w:rPr>
          <w:rFonts w:ascii="Calibri Light" w:hAnsi="Calibri Light" w:cs="Calibri Light"/>
          <w:lang w:val="es-ES"/>
        </w:rPr>
        <w:t xml:space="preserve">constante </w:t>
      </w:r>
      <w:r w:rsidRPr="00977132">
        <w:rPr>
          <w:rFonts w:ascii="Calibri Light" w:hAnsi="Calibri Light" w:cs="Calibri Light"/>
          <w:lang w:val="es-ES"/>
        </w:rPr>
        <w:t>investigación.</w:t>
      </w:r>
    </w:p>
    <w:p w14:paraId="010D0A20" w14:textId="59E3DF61" w:rsidR="008D4F79" w:rsidRPr="00977132" w:rsidRDefault="00CA1DA6">
      <w:pPr>
        <w:jc w:val="both"/>
        <w:rPr>
          <w:rFonts w:ascii="Calibri Light" w:hAnsi="Calibri Light" w:cs="Calibri Light"/>
          <w:lang w:val="es-ES"/>
        </w:rPr>
      </w:pPr>
      <w:r w:rsidRPr="00977132">
        <w:rPr>
          <w:rFonts w:ascii="Calibri Light" w:hAnsi="Calibri Light" w:cs="Calibri Light"/>
          <w:lang w:val="es-ES"/>
        </w:rPr>
        <w:t>Por ejemplo, en el pasado, algunos Estados Miembros garantizaban un aumento anual mínimo de las rentas vitalicias que ofrecían los productos de las pensiones</w:t>
      </w:r>
      <w:r w:rsidR="0093791B" w:rsidRPr="00977132">
        <w:rPr>
          <w:rFonts w:ascii="Calibri Light" w:hAnsi="Calibri Light" w:cs="Calibri Light"/>
          <w:lang w:val="es-ES"/>
        </w:rPr>
        <w:t xml:space="preserve"> con el</w:t>
      </w:r>
      <w:r w:rsidRPr="00977132">
        <w:rPr>
          <w:rFonts w:ascii="Calibri Light" w:hAnsi="Calibri Light" w:cs="Calibri Light"/>
          <w:lang w:val="es-ES"/>
        </w:rPr>
        <w:t xml:space="preserve"> fin de proteger a los pensionistas de los </w:t>
      </w:r>
      <w:r w:rsidR="0093791B" w:rsidRPr="00977132">
        <w:rPr>
          <w:rFonts w:ascii="Calibri Light" w:hAnsi="Calibri Light" w:cs="Calibri Light"/>
          <w:lang w:val="es-ES"/>
        </w:rPr>
        <w:t xml:space="preserve">devastadores </w:t>
      </w:r>
      <w:r w:rsidRPr="00977132">
        <w:rPr>
          <w:rFonts w:ascii="Calibri Light" w:hAnsi="Calibri Light" w:cs="Calibri Light"/>
          <w:lang w:val="es-ES"/>
        </w:rPr>
        <w:t>efectos de la inflación en el poder adquisitivo de los ingresos de las pensiones.</w:t>
      </w:r>
    </w:p>
    <w:p w14:paraId="010D0A21" w14:textId="710694C7" w:rsidR="008D4F79" w:rsidRPr="00977132" w:rsidRDefault="00CA1DA6">
      <w:pPr>
        <w:jc w:val="both"/>
        <w:rPr>
          <w:lang w:val="es-ES"/>
        </w:rPr>
      </w:pPr>
      <w:r w:rsidRPr="00977132">
        <w:rPr>
          <w:rFonts w:ascii="Calibri Light" w:hAnsi="Calibri Light" w:cs="Calibri Light"/>
          <w:lang w:val="es-ES"/>
        </w:rPr>
        <w:t xml:space="preserve">Hoy en día, es aún más importante </w:t>
      </w:r>
      <w:r w:rsidR="0093791B" w:rsidRPr="00977132">
        <w:rPr>
          <w:rFonts w:ascii="Calibri Light" w:hAnsi="Calibri Light" w:cs="Calibri Light"/>
          <w:lang w:val="es-ES"/>
        </w:rPr>
        <w:t xml:space="preserve">si cabe </w:t>
      </w:r>
      <w:r w:rsidRPr="00977132">
        <w:rPr>
          <w:rFonts w:ascii="Calibri Light" w:hAnsi="Calibri Light" w:cs="Calibri Light"/>
          <w:lang w:val="es-ES"/>
        </w:rPr>
        <w:t xml:space="preserve">que BETTER FINANCE reitere sus llamamientos y peticiones para mejorar el rendimiento de los ahorros a largo plazo (es decir, al menos la protección del poder adquisitivo de estos ahorros de toda la vida en el momento de la jubilación). Después de todo, en palabras de la Comisión Europea, </w:t>
      </w:r>
      <w:r w:rsidRPr="00977132">
        <w:rPr>
          <w:rFonts w:ascii="Calibri Light" w:hAnsi="Calibri Light" w:cs="Calibri Light"/>
          <w:b/>
          <w:bCs/>
          <w:lang w:val="es-ES"/>
        </w:rPr>
        <w:t xml:space="preserve">la prioridad es una economía, y por lo tanto </w:t>
      </w:r>
      <w:r w:rsidR="0093791B" w:rsidRPr="00977132">
        <w:rPr>
          <w:rFonts w:ascii="Calibri Light" w:hAnsi="Calibri Light" w:cs="Calibri Light"/>
          <w:b/>
          <w:bCs/>
          <w:lang w:val="es-ES"/>
        </w:rPr>
        <w:t xml:space="preserve">unos </w:t>
      </w:r>
      <w:r w:rsidRPr="00977132">
        <w:rPr>
          <w:rFonts w:ascii="Calibri Light" w:hAnsi="Calibri Light" w:cs="Calibri Light"/>
          <w:b/>
          <w:bCs/>
          <w:lang w:val="es-ES"/>
        </w:rPr>
        <w:t>mercados de capital, que trabajen para las personas</w:t>
      </w:r>
      <w:r w:rsidRPr="00977132">
        <w:rPr>
          <w:rFonts w:ascii="Calibri Light" w:hAnsi="Calibri Light" w:cs="Calibri Light"/>
          <w:lang w:val="es-ES"/>
        </w:rPr>
        <w:t>.</w:t>
      </w:r>
    </w:p>
    <w:p w14:paraId="010D0A22" w14:textId="77777777" w:rsidR="008D4F79" w:rsidRPr="00977132" w:rsidRDefault="00CA1DA6">
      <w:pPr>
        <w:spacing w:after="0" w:line="264" w:lineRule="auto"/>
        <w:jc w:val="center"/>
        <w:rPr>
          <w:rFonts w:ascii="Calibri Light" w:hAnsi="Calibri Light" w:cs="Calibri Light"/>
          <w:lang w:val="es-ES"/>
        </w:rPr>
      </w:pPr>
      <w:r w:rsidRPr="00977132">
        <w:rPr>
          <w:rFonts w:ascii="Calibri Light" w:hAnsi="Calibri Light" w:cs="Calibri Light"/>
          <w:lang w:val="es-ES"/>
        </w:rPr>
        <w:t>***</w:t>
      </w:r>
    </w:p>
    <w:p w14:paraId="010D0A23" w14:textId="0D430A4B" w:rsidR="008D4F79" w:rsidRPr="00977132" w:rsidRDefault="00CA1DA6">
      <w:pPr>
        <w:spacing w:after="0" w:line="264" w:lineRule="auto"/>
        <w:jc w:val="center"/>
        <w:rPr>
          <w:lang w:val="es-ES"/>
        </w:rPr>
      </w:pPr>
      <w:r w:rsidRPr="00977132">
        <w:rPr>
          <w:rFonts w:ascii="Calibri Light" w:hAnsi="Calibri Light" w:cs="Calibri Light"/>
          <w:sz w:val="18"/>
          <w:szCs w:val="18"/>
          <w:u w:val="single"/>
          <w:lang w:val="es-ES"/>
        </w:rPr>
        <w:t>Contacto</w:t>
      </w:r>
      <w:r w:rsidRPr="00977132">
        <w:rPr>
          <w:rFonts w:ascii="Calibri Light" w:hAnsi="Calibri Light" w:cs="Calibri Light"/>
          <w:sz w:val="18"/>
          <w:szCs w:val="18"/>
          <w:lang w:val="es-ES"/>
        </w:rPr>
        <w:t xml:space="preserve">: </w:t>
      </w:r>
      <w:r w:rsidR="0093791B" w:rsidRPr="00977132">
        <w:rPr>
          <w:rFonts w:ascii="Calibri Light" w:hAnsi="Calibri Light" w:cs="Calibri Light"/>
          <w:sz w:val="18"/>
          <w:szCs w:val="18"/>
          <w:lang w:val="es-ES"/>
        </w:rPr>
        <w:t>Director de Comunicación</w:t>
      </w:r>
      <w:r w:rsidRPr="00977132">
        <w:rPr>
          <w:rFonts w:ascii="Calibri Light" w:hAnsi="Calibri Light" w:cs="Calibri Light"/>
          <w:sz w:val="18"/>
          <w:szCs w:val="18"/>
          <w:lang w:val="es-ES"/>
        </w:rPr>
        <w:t xml:space="preserve"> ǀ Arnaud Houdmont ǀ +32 (0)2 514 37 77 ǀ </w:t>
      </w:r>
      <w:hyperlink r:id="rId10" w:history="1">
        <w:r w:rsidRPr="00977132">
          <w:rPr>
            <w:rStyle w:val="Hipervnculo"/>
            <w:rFonts w:ascii="Calibri Light" w:hAnsi="Calibri Light" w:cs="Calibri Light"/>
            <w:sz w:val="18"/>
            <w:szCs w:val="18"/>
            <w:lang w:val="es-ES"/>
          </w:rPr>
          <w:t>houdmont@betterfinance.eu</w:t>
        </w:r>
      </w:hyperlink>
    </w:p>
    <w:sectPr w:rsidR="008D4F79" w:rsidRPr="00977132">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7C33" w14:textId="77777777" w:rsidR="00677D3E" w:rsidRDefault="00677D3E">
      <w:pPr>
        <w:spacing w:after="0" w:line="240" w:lineRule="auto"/>
      </w:pPr>
      <w:r>
        <w:separator/>
      </w:r>
    </w:p>
  </w:endnote>
  <w:endnote w:type="continuationSeparator" w:id="0">
    <w:p w14:paraId="19B7F505" w14:textId="77777777" w:rsidR="00677D3E" w:rsidRDefault="0067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0A18" w14:textId="77777777" w:rsidR="00E90617" w:rsidRPr="00CA1DA6" w:rsidRDefault="00CA1DA6">
    <w:pPr>
      <w:spacing w:before="120" w:after="0" w:line="240" w:lineRule="auto"/>
      <w:ind w:left="-567"/>
      <w:jc w:val="center"/>
      <w:rPr>
        <w:b/>
        <w:color w:val="006FB4"/>
        <w:sz w:val="16"/>
        <w:szCs w:val="16"/>
        <w:lang w:val="es-ES"/>
      </w:rPr>
    </w:pPr>
    <w:r w:rsidRPr="00CA1DA6">
      <w:rPr>
        <w:b/>
        <w:color w:val="006FB4"/>
        <w:sz w:val="16"/>
        <w:szCs w:val="16"/>
        <w:lang w:val="es-ES"/>
      </w:rPr>
      <w:t>La Federación Europea de Inversores y Usuarios de Servicios Financieros</w:t>
    </w:r>
  </w:p>
  <w:p w14:paraId="010D0A19" w14:textId="77777777" w:rsidR="00E90617" w:rsidRDefault="00CA1DA6">
    <w:pPr>
      <w:spacing w:after="0" w:line="240" w:lineRule="auto"/>
      <w:ind w:left="-567"/>
      <w:jc w:val="center"/>
      <w:rPr>
        <w:color w:val="006FB4"/>
        <w:sz w:val="16"/>
        <w:szCs w:val="16"/>
        <w:lang w:val="de-DE"/>
      </w:rPr>
    </w:pPr>
    <w:r>
      <w:rPr>
        <w:color w:val="006FB4"/>
        <w:sz w:val="16"/>
        <w:szCs w:val="16"/>
        <w:lang w:val="de-DE"/>
      </w:rPr>
      <w:t>44, Rue d'Arenberg, 1000 Bruselas - Bélgica</w:t>
    </w:r>
  </w:p>
  <w:p w14:paraId="010D0A1A" w14:textId="77777777" w:rsidR="00E90617" w:rsidRPr="00CA1DA6" w:rsidRDefault="00CA1DA6">
    <w:pPr>
      <w:spacing w:after="0" w:line="240" w:lineRule="auto"/>
      <w:ind w:left="-567"/>
      <w:jc w:val="center"/>
      <w:rPr>
        <w:lang w:val="es-ES"/>
      </w:rPr>
    </w:pPr>
    <w:r>
      <w:rPr>
        <w:color w:val="006FB4"/>
        <w:sz w:val="16"/>
        <w:szCs w:val="16"/>
        <w:lang w:val="de-DE"/>
      </w:rPr>
      <w:t xml:space="preserve">Tel. (+32) 02 514 37 77 - Fax. </w:t>
    </w:r>
    <w:r>
      <w:rPr>
        <w:color w:val="006FB4"/>
        <w:sz w:val="16"/>
        <w:szCs w:val="16"/>
        <w:lang w:val="pt-PT"/>
      </w:rPr>
      <w:t>(+32) 02 514 36 66</w:t>
    </w:r>
  </w:p>
  <w:p w14:paraId="010D0A1B" w14:textId="77777777" w:rsidR="00E90617" w:rsidRPr="00CA1DA6" w:rsidRDefault="00B829F0">
    <w:pPr>
      <w:spacing w:after="0" w:line="240" w:lineRule="auto"/>
      <w:ind w:left="-567"/>
      <w:jc w:val="center"/>
      <w:rPr>
        <w:lang w:val="es-ES"/>
      </w:rPr>
    </w:pPr>
    <w:hyperlink r:id="rId1" w:history="1">
      <w:r w:rsidR="00CA1DA6">
        <w:rPr>
          <w:color w:val="006FB4"/>
          <w:sz w:val="16"/>
          <w:szCs w:val="16"/>
          <w:u w:val="single"/>
          <w:lang w:val="it-IT"/>
        </w:rPr>
        <w:t>Correo electrónico</w:t>
      </w:r>
    </w:hyperlink>
    <w:r w:rsidR="00CA1DA6">
      <w:rPr>
        <w:color w:val="006FB4"/>
        <w:sz w:val="16"/>
        <w:szCs w:val="16"/>
        <w:lang w:val="pt-PT"/>
      </w:rPr>
      <w:t xml:space="preserve">: info@betterfinance.eu - </w:t>
    </w:r>
    <w:bookmarkStart w:id="2" w:name="_Hlk944867"/>
    <w:r w:rsidR="00CA1DA6">
      <w:fldChar w:fldCharType="begin"/>
    </w:r>
    <w:r w:rsidR="00CA1DA6" w:rsidRPr="00CA1DA6">
      <w:rPr>
        <w:lang w:val="es-ES"/>
      </w:rPr>
      <w:instrText xml:space="preserve"> HYPERLINK  "http://www.eurofinuse.org" </w:instrText>
    </w:r>
    <w:r w:rsidR="00CA1DA6">
      <w:fldChar w:fldCharType="separate"/>
    </w:r>
    <w:r w:rsidR="00CA1DA6">
      <w:rPr>
        <w:color w:val="006FB4"/>
        <w:sz w:val="16"/>
        <w:szCs w:val="16"/>
        <w:u w:val="single"/>
        <w:lang w:val="it-IT"/>
      </w:rPr>
      <w:t xml:space="preserve">http://www.betterfinance.eu </w:t>
    </w:r>
    <w:r w:rsidR="00CA1DA6">
      <w:rPr>
        <w:color w:val="006FB4"/>
        <w:sz w:val="16"/>
        <w:szCs w:val="16"/>
        <w:u w:val="single"/>
        <w:lang w:val="it-IT"/>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8BE60" w14:textId="77777777" w:rsidR="00677D3E" w:rsidRDefault="00677D3E">
      <w:pPr>
        <w:spacing w:after="0" w:line="240" w:lineRule="auto"/>
      </w:pPr>
      <w:r>
        <w:rPr>
          <w:color w:val="000000"/>
        </w:rPr>
        <w:separator/>
      </w:r>
    </w:p>
  </w:footnote>
  <w:footnote w:type="continuationSeparator" w:id="0">
    <w:p w14:paraId="1E60B88F" w14:textId="77777777" w:rsidR="00677D3E" w:rsidRDefault="00677D3E">
      <w:pPr>
        <w:spacing w:after="0" w:line="240" w:lineRule="auto"/>
      </w:pPr>
      <w:r>
        <w:continuationSeparator/>
      </w:r>
    </w:p>
  </w:footnote>
  <w:footnote w:id="1">
    <w:p w14:paraId="010D0A0E" w14:textId="5A5A2AFB" w:rsidR="008D4F79" w:rsidRPr="00CA1DA6" w:rsidRDefault="00CA1DA6">
      <w:pPr>
        <w:pStyle w:val="Textonotapie"/>
        <w:rPr>
          <w:lang w:val="es-ES"/>
        </w:rPr>
      </w:pPr>
      <w:r>
        <w:rPr>
          <w:rStyle w:val="Refdenotaalpie"/>
        </w:rPr>
        <w:footnoteRef/>
      </w:r>
      <w:r w:rsidRPr="00CA1DA6">
        <w:rPr>
          <w:lang w:val="es-ES"/>
        </w:rPr>
        <w:t xml:space="preserve"> El monto de la deuda soberana de la UE propiedad del BCE aumentó </w:t>
      </w:r>
      <w:r w:rsidR="00C274AB">
        <w:rPr>
          <w:lang w:val="es-ES"/>
        </w:rPr>
        <w:t xml:space="preserve">en </w:t>
      </w:r>
      <w:r w:rsidRPr="00CA1DA6">
        <w:rPr>
          <w:lang w:val="es-ES"/>
        </w:rPr>
        <w:t>un 146</w:t>
      </w:r>
      <w:r w:rsidR="00C274AB">
        <w:rPr>
          <w:lang w:val="es-ES"/>
        </w:rPr>
        <w:t xml:space="preserve"> </w:t>
      </w:r>
      <w:r w:rsidRPr="00CA1DA6">
        <w:rPr>
          <w:lang w:val="es-ES"/>
        </w:rPr>
        <w:t xml:space="preserve">% </w:t>
      </w:r>
      <w:r w:rsidR="00C274AB">
        <w:rPr>
          <w:lang w:val="es-ES"/>
        </w:rPr>
        <w:t>entre</w:t>
      </w:r>
      <w:r w:rsidR="00C274AB" w:rsidRPr="00CA1DA6">
        <w:rPr>
          <w:lang w:val="es-ES"/>
        </w:rPr>
        <w:t xml:space="preserve"> </w:t>
      </w:r>
      <w:r w:rsidRPr="00CA1DA6">
        <w:rPr>
          <w:lang w:val="es-ES"/>
        </w:rPr>
        <w:t xml:space="preserve">2009 </w:t>
      </w:r>
      <w:r w:rsidR="00C274AB">
        <w:rPr>
          <w:lang w:val="es-ES"/>
        </w:rPr>
        <w:t>y</w:t>
      </w:r>
      <w:r w:rsidR="00C274AB" w:rsidRPr="00CA1DA6">
        <w:rPr>
          <w:lang w:val="es-ES"/>
        </w:rPr>
        <w:t xml:space="preserve"> </w:t>
      </w:r>
      <w:r w:rsidRPr="00CA1DA6">
        <w:rPr>
          <w:lang w:val="es-ES"/>
        </w:rPr>
        <w:t xml:space="preserve">2019. El balance consolidado anual del Eurosistema comprende los activos y pasivos de los bancos centrales nacionales (BCN) del Eurosistema y del BCE mantenidos a final del año </w:t>
      </w:r>
      <w:r w:rsidR="00C274AB">
        <w:rPr>
          <w:lang w:val="es-ES"/>
        </w:rPr>
        <w:t>con respecto</w:t>
      </w:r>
      <w:r w:rsidR="00C274AB" w:rsidRPr="00CA1DA6">
        <w:rPr>
          <w:lang w:val="es-ES"/>
        </w:rPr>
        <w:t xml:space="preserve"> </w:t>
      </w:r>
      <w:r w:rsidRPr="00CA1DA6">
        <w:rPr>
          <w:lang w:val="es-ES"/>
        </w:rPr>
        <w:t xml:space="preserve">a terceros: </w:t>
      </w:r>
      <w:hyperlink r:id="rId1" w:history="1">
        <w:r w:rsidRPr="00CA1DA6">
          <w:rPr>
            <w:rStyle w:val="Hipervnculo"/>
            <w:lang w:val="es-ES"/>
          </w:rPr>
          <w:t xml:space="preserve">https://www.ecb.europa.eu/pub/annual/balance/html/index.en.html. </w:t>
        </w:r>
      </w:hyperlink>
    </w:p>
  </w:footnote>
  <w:footnote w:id="2">
    <w:p w14:paraId="010D0A0F" w14:textId="77777777" w:rsidR="008D4F79" w:rsidRPr="00CA1DA6" w:rsidRDefault="00CA1DA6">
      <w:pPr>
        <w:pStyle w:val="Textonotapie"/>
        <w:rPr>
          <w:lang w:val="es-ES"/>
        </w:rPr>
      </w:pPr>
      <w:r>
        <w:rPr>
          <w:rStyle w:val="Refdenotaalpie"/>
        </w:rPr>
        <w:footnoteRef/>
      </w:r>
      <w:hyperlink r:id="rId2" w:history="1">
        <w:r w:rsidRPr="00CA1DA6">
          <w:rPr>
            <w:rStyle w:val="Hipervnculo"/>
            <w:lang w:val="es-ES"/>
          </w:rPr>
          <w:t xml:space="preserve"> https://www.investopedia.com/government-stimulus-efforts-to-fight-the-covid-19-crisis-4799723 </w:t>
        </w:r>
      </w:hyperlink>
    </w:p>
  </w:footnote>
  <w:footnote w:id="3">
    <w:p w14:paraId="010D0A10" w14:textId="77777777" w:rsidR="008D4F79" w:rsidRPr="00CA1DA6" w:rsidRDefault="00CA1DA6">
      <w:pPr>
        <w:pStyle w:val="Textonotapie"/>
        <w:rPr>
          <w:lang w:val="es-ES"/>
        </w:rPr>
      </w:pPr>
      <w:r>
        <w:rPr>
          <w:rStyle w:val="Refdenotaalpie"/>
        </w:rPr>
        <w:footnoteRef/>
      </w:r>
      <w:hyperlink r:id="rId3" w:history="1">
        <w:r w:rsidRPr="00CA1DA6">
          <w:rPr>
            <w:rStyle w:val="Hipervnculo"/>
            <w:lang w:val="es-ES"/>
          </w:rPr>
          <w:t xml:space="preserve"> https://www.bruegel.org/2020/03/coronavirus-and-the-politics-of-a-common-fiscal-instrument/ </w:t>
        </w:r>
      </w:hyperlink>
    </w:p>
  </w:footnote>
  <w:footnote w:id="4">
    <w:p w14:paraId="010D0A11" w14:textId="77777777" w:rsidR="008D4F79" w:rsidRPr="00CA1DA6" w:rsidRDefault="00CA1DA6">
      <w:pPr>
        <w:pStyle w:val="Textonotapie"/>
        <w:rPr>
          <w:lang w:val="es-ES"/>
        </w:rPr>
      </w:pPr>
      <w:r>
        <w:rPr>
          <w:rStyle w:val="Refdenotaalpie"/>
        </w:rPr>
        <w:footnoteRef/>
      </w:r>
      <w:hyperlink r:id="rId4" w:history="1">
        <w:r w:rsidRPr="00CA1DA6">
          <w:rPr>
            <w:rStyle w:val="Hipervnculo"/>
            <w:lang w:val="es-ES"/>
          </w:rPr>
          <w:t xml:space="preserve"> https://www.ecb.europa.eu/press/blog/date/2020/html/ecb.blog200319~11f421e25e.es.html </w:t>
        </w:r>
      </w:hyperlink>
    </w:p>
  </w:footnote>
  <w:footnote w:id="5">
    <w:p w14:paraId="010D0A12" w14:textId="77777777" w:rsidR="008D4F79" w:rsidRPr="00CA1DA6" w:rsidRDefault="00CA1DA6">
      <w:pPr>
        <w:pStyle w:val="Textonotapie"/>
        <w:rPr>
          <w:lang w:val="es-ES"/>
        </w:rPr>
      </w:pPr>
      <w:r>
        <w:rPr>
          <w:rStyle w:val="Refdenotaalpie"/>
        </w:rPr>
        <w:footnoteRef/>
      </w:r>
      <w:hyperlink r:id="rId5" w:history="1">
        <w:r w:rsidRPr="00CA1DA6">
          <w:rPr>
            <w:rStyle w:val="Hipervnculo"/>
            <w:lang w:val="es-ES"/>
          </w:rPr>
          <w:t xml:space="preserve"> https://ec.europa.eu/transparency/regexpert/index.cfm?do=groupDetail.groupMeetingDoc&amp;docid=38547</w:t>
        </w:r>
      </w:hyperlink>
    </w:p>
  </w:footnote>
  <w:footnote w:id="6">
    <w:p w14:paraId="010D0A13" w14:textId="77777777" w:rsidR="008D4F79" w:rsidRPr="00CA1DA6" w:rsidRDefault="00CA1DA6">
      <w:pPr>
        <w:pStyle w:val="Textonotapie"/>
        <w:rPr>
          <w:lang w:val="es-ES"/>
        </w:rPr>
      </w:pPr>
      <w:r>
        <w:rPr>
          <w:rStyle w:val="Refdenotaalpie"/>
        </w:rPr>
        <w:footnoteRef/>
      </w:r>
      <w:hyperlink r:id="rId6" w:history="1">
        <w:r w:rsidRPr="00CA1DA6">
          <w:rPr>
            <w:rStyle w:val="Hipervnculo"/>
            <w:lang w:val="es-ES"/>
          </w:rPr>
          <w:t xml:space="preserve"> https://betterfinance.eu/wp-content/uploads/PR-PENSIONS-INADEQUACY-25092019.pdf </w:t>
        </w:r>
      </w:hyperlink>
    </w:p>
  </w:footnote>
  <w:footnote w:id="7">
    <w:p w14:paraId="010D0A14" w14:textId="77777777" w:rsidR="008D4F79" w:rsidRPr="00CA1DA6" w:rsidRDefault="00CA1DA6">
      <w:pPr>
        <w:pStyle w:val="Textonotapie"/>
        <w:rPr>
          <w:lang w:val="es-ES"/>
        </w:rPr>
      </w:pPr>
      <w:r>
        <w:rPr>
          <w:rStyle w:val="Refdenotaalpie"/>
        </w:rPr>
        <w:footnoteRef/>
      </w:r>
      <w:hyperlink r:id="rId7" w:history="1">
        <w:r w:rsidRPr="00CA1DA6">
          <w:rPr>
            <w:rStyle w:val="Hipervnculo"/>
            <w:lang w:val="es-ES"/>
          </w:rPr>
          <w:t xml:space="preserve"> https://www.cfainstitute.org/en/advocacy/policy-positions/capital-formation-investing-pension-contributions-in-private-markets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0A14" w14:textId="77777777" w:rsidR="00E90617" w:rsidRDefault="00CA1DA6">
    <w:pPr>
      <w:pStyle w:val="Encabezado"/>
      <w:jc w:val="center"/>
    </w:pPr>
    <w:r>
      <w:rPr>
        <w:noProof/>
        <w:lang w:val="ca-ES" w:eastAsia="ca-ES"/>
      </w:rPr>
      <w:drawing>
        <wp:inline distT="0" distB="0" distL="0" distR="0" wp14:anchorId="010D0A0C" wp14:editId="010D0A0D">
          <wp:extent cx="5647197" cy="5546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47197" cy="554638"/>
                  </a:xfrm>
                  <a:prstGeom prst="rect">
                    <a:avLst/>
                  </a:prstGeom>
                  <a:noFill/>
                  <a:ln>
                    <a:noFill/>
                    <a:prstDash/>
                  </a:ln>
                </pic:spPr>
              </pic:pic>
            </a:graphicData>
          </a:graphic>
        </wp:inline>
      </w:drawing>
    </w:r>
  </w:p>
  <w:p w14:paraId="010D0A15" w14:textId="77777777" w:rsidR="00E90617" w:rsidRDefault="008E0212">
    <w:pPr>
      <w:pStyle w:val="Encabezado"/>
      <w:jc w:val="center"/>
      <w:rPr>
        <w:sz w:val="12"/>
        <w:szCs w:val="12"/>
      </w:rPr>
    </w:pPr>
  </w:p>
  <w:p w14:paraId="010D0A16" w14:textId="77777777" w:rsidR="00E90617" w:rsidRDefault="008E0212">
    <w:pPr>
      <w:pStyle w:val="Encabezado"/>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67E1D"/>
    <w:multiLevelType w:val="multilevel"/>
    <w:tmpl w:val="D9D42F4A"/>
    <w:lvl w:ilvl="0">
      <w:numFmt w:val="bullet"/>
      <w:lvlText w:val=""/>
      <w:lvlJc w:val="left"/>
      <w:pPr>
        <w:ind w:left="1080" w:hanging="72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BD146C5"/>
    <w:multiLevelType w:val="multilevel"/>
    <w:tmpl w:val="8310A6A4"/>
    <w:lvl w:ilvl="0">
      <w:numFmt w:val="bullet"/>
      <w:lvlText w:val=""/>
      <w:lvlJc w:val="left"/>
      <w:pPr>
        <w:ind w:left="720" w:hanging="360"/>
      </w:pPr>
      <w:rPr>
        <w:rFonts w:ascii="Wingdings" w:eastAsia="Calibri"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D4F79"/>
    <w:rsid w:val="002C3DCF"/>
    <w:rsid w:val="00375A2F"/>
    <w:rsid w:val="003E1DE4"/>
    <w:rsid w:val="003E70F4"/>
    <w:rsid w:val="00455B93"/>
    <w:rsid w:val="006536CC"/>
    <w:rsid w:val="00677D3E"/>
    <w:rsid w:val="0069501F"/>
    <w:rsid w:val="008D4F79"/>
    <w:rsid w:val="008E0212"/>
    <w:rsid w:val="0093791B"/>
    <w:rsid w:val="00977132"/>
    <w:rsid w:val="00B829F0"/>
    <w:rsid w:val="00C274AB"/>
    <w:rsid w:val="00C4492A"/>
    <w:rsid w:val="00CA1DA6"/>
    <w:rsid w:val="00F0305D"/>
    <w:rsid w:val="00F2114B"/>
    <w:rsid w:val="00F43BA3"/>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0A05"/>
  <w15:docId w15:val="{C6DD3661-D9B9-4105-A60F-BF27F7DC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240" w:after="0"/>
      <w:outlineLvl w:val="0"/>
    </w:pPr>
    <w:rPr>
      <w:rFonts w:ascii="Cambria" w:eastAsia="SimSun" w:hAnsi="Cambria" w:cs="Times New Roman"/>
      <w:color w:val="365F91"/>
      <w:sz w:val="32"/>
      <w:szCs w:val="32"/>
    </w:rPr>
  </w:style>
  <w:style w:type="paragraph" w:styleId="Ttulo2">
    <w:name w:val="heading 2"/>
    <w:basedOn w:val="Normal"/>
    <w:next w:val="Normal"/>
    <w:uiPriority w:val="9"/>
    <w:semiHidden/>
    <w:unhideWhenUsed/>
    <w:qFormat/>
    <w:pPr>
      <w:keepNext/>
      <w:keepLines/>
      <w:spacing w:before="40" w:after="0"/>
      <w:outlineLvl w:val="1"/>
    </w:pPr>
    <w:rPr>
      <w:rFonts w:ascii="Cambria" w:eastAsia="SimSu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after="0" w:line="240" w:lineRule="auto"/>
    </w:pPr>
  </w:style>
  <w:style w:type="character" w:customStyle="1" w:styleId="HeaderChar">
    <w:name w:val="Header Char"/>
    <w:basedOn w:val="Fuentedeprrafopredeter"/>
  </w:style>
  <w:style w:type="paragraph" w:styleId="Piedepgina">
    <w:name w:val="footer"/>
    <w:basedOn w:val="Normal"/>
    <w:pPr>
      <w:tabs>
        <w:tab w:val="center" w:pos="4536"/>
        <w:tab w:val="right" w:pos="9072"/>
      </w:tabs>
      <w:spacing w:after="0" w:line="240" w:lineRule="auto"/>
    </w:pPr>
  </w:style>
  <w:style w:type="character" w:customStyle="1" w:styleId="FooterChar">
    <w:name w:val="Footer Char"/>
    <w:basedOn w:val="Fuentedeprrafopredeter"/>
  </w:style>
  <w:style w:type="paragraph" w:styleId="Textoindependiente">
    <w:name w:val="Body Text"/>
    <w:basedOn w:val="Normal"/>
    <w:pPr>
      <w:spacing w:line="240" w:lineRule="exact"/>
    </w:pPr>
    <w:rPr>
      <w:rFonts w:ascii="Tahoma" w:eastAsia="Times New Roman" w:hAnsi="Tahoma" w:cs="Times New Roman"/>
      <w:spacing w:val="10"/>
      <w:sz w:val="17"/>
      <w:szCs w:val="20"/>
      <w:lang w:val="en-US"/>
    </w:rPr>
  </w:style>
  <w:style w:type="character" w:customStyle="1" w:styleId="BodyTextChar">
    <w:name w:val="Body Text Char"/>
    <w:basedOn w:val="Fuentedeprrafopredeter"/>
    <w:rPr>
      <w:rFonts w:ascii="Tahoma" w:eastAsia="Times New Roman" w:hAnsi="Tahoma" w:cs="Times New Roman"/>
      <w:spacing w:val="10"/>
      <w:sz w:val="17"/>
      <w:szCs w:val="20"/>
      <w:lang w:val="en-US"/>
    </w:rPr>
  </w:style>
  <w:style w:type="paragraph" w:styleId="Ttulo">
    <w:name w:val="Title"/>
    <w:basedOn w:val="Normal"/>
    <w:next w:val="Normal"/>
    <w:uiPriority w:val="10"/>
    <w:qFormat/>
    <w:pPr>
      <w:spacing w:after="0" w:line="240" w:lineRule="auto"/>
    </w:pPr>
    <w:rPr>
      <w:rFonts w:ascii="Cambria" w:eastAsia="SimSun" w:hAnsi="Cambria" w:cs="Times New Roman"/>
      <w:spacing w:val="-10"/>
      <w:kern w:val="3"/>
      <w:sz w:val="56"/>
      <w:szCs w:val="56"/>
    </w:rPr>
  </w:style>
  <w:style w:type="character" w:customStyle="1" w:styleId="TitleChar">
    <w:name w:val="Title Char"/>
    <w:basedOn w:val="Fuentedeprrafopredeter"/>
    <w:rPr>
      <w:rFonts w:ascii="Cambria" w:eastAsia="SimSun" w:hAnsi="Cambria" w:cs="Times New Roman"/>
      <w:spacing w:val="-10"/>
      <w:kern w:val="3"/>
      <w:sz w:val="56"/>
      <w:szCs w:val="56"/>
    </w:rPr>
  </w:style>
  <w:style w:type="paragraph" w:styleId="Textodeglobo">
    <w:name w:val="Balloon Text"/>
    <w:basedOn w:val="Normal"/>
    <w:pPr>
      <w:spacing w:after="0" w:line="240" w:lineRule="auto"/>
    </w:pPr>
    <w:rPr>
      <w:rFonts w:ascii="Times New Roman" w:hAnsi="Times New Roman" w:cs="Times New Roman"/>
      <w:sz w:val="18"/>
      <w:szCs w:val="18"/>
    </w:rPr>
  </w:style>
  <w:style w:type="character" w:customStyle="1" w:styleId="BalloonTextChar">
    <w:name w:val="Balloon Text Char"/>
    <w:basedOn w:val="Fuentedeprrafopredeter"/>
    <w:rPr>
      <w:rFonts w:ascii="Times New Roman" w:hAnsi="Times New Roman" w:cs="Times New Roman"/>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styleId="Textonotapie">
    <w:name w:val="footnote text"/>
    <w:basedOn w:val="Normal"/>
    <w:pPr>
      <w:spacing w:after="0" w:line="240" w:lineRule="auto"/>
    </w:pPr>
    <w:rPr>
      <w:sz w:val="20"/>
      <w:szCs w:val="20"/>
    </w:rPr>
  </w:style>
  <w:style w:type="character" w:customStyle="1" w:styleId="FootnoteTextChar">
    <w:name w:val="Footnote Text Char"/>
    <w:basedOn w:val="Fuentedeprrafopredeter"/>
    <w:rPr>
      <w:sz w:val="20"/>
      <w:szCs w:val="20"/>
    </w:rPr>
  </w:style>
  <w:style w:type="character" w:styleId="Refdenotaalpie">
    <w:name w:val="footnote reference"/>
    <w:basedOn w:val="Fuentedeprrafopredeter"/>
    <w:rPr>
      <w:position w:val="0"/>
      <w:vertAlign w:val="superscript"/>
    </w:rPr>
  </w:style>
  <w:style w:type="character" w:styleId="Textoennegrita">
    <w:name w:val="Strong"/>
    <w:rPr>
      <w:b/>
      <w:bCs/>
    </w:rPr>
  </w:style>
  <w:style w:type="character" w:styleId="Hipervnculo">
    <w:name w:val="Hyperlink"/>
    <w:basedOn w:val="Fuentedeprrafopredeter"/>
    <w:rPr>
      <w:color w:val="0000FF"/>
      <w:u w:val="single"/>
    </w:rPr>
  </w:style>
  <w:style w:type="character" w:customStyle="1" w:styleId="Mencinsinresolver1">
    <w:name w:val="Mención sin resolver1"/>
    <w:basedOn w:val="Fuentedeprrafopredeter"/>
    <w:rPr>
      <w:color w:val="605E5C"/>
      <w:shd w:val="clear" w:color="auto" w:fill="E1DFDD"/>
    </w:rPr>
  </w:style>
  <w:style w:type="character" w:styleId="Hipervnculovisitado">
    <w:name w:val="FollowedHyperlink"/>
    <w:basedOn w:val="Fuentedeprrafopredeter"/>
    <w:rPr>
      <w:color w:val="800080"/>
      <w:u w:val="single"/>
    </w:rPr>
  </w:style>
  <w:style w:type="character" w:customStyle="1" w:styleId="Heading2Char">
    <w:name w:val="Heading 2 Char"/>
    <w:basedOn w:val="Fuentedeprrafopredeter"/>
    <w:rPr>
      <w:rFonts w:ascii="Cambria" w:eastAsia="SimSun" w:hAnsi="Cambria" w:cs="Times New Roman"/>
      <w:color w:val="365F91"/>
      <w:sz w:val="26"/>
      <w:szCs w:val="26"/>
    </w:rPr>
  </w:style>
  <w:style w:type="paragraph" w:styleId="Prrafodelista">
    <w:name w:val="List Paragraph"/>
    <w:basedOn w:val="Normal"/>
    <w:pPr>
      <w:ind w:left="720"/>
    </w:pPr>
  </w:style>
  <w:style w:type="character" w:customStyle="1" w:styleId="Heading1Char">
    <w:name w:val="Heading 1 Char"/>
    <w:basedOn w:val="Fuentedeprrafopredeter"/>
    <w:rPr>
      <w:rFonts w:ascii="Cambria" w:eastAsia="SimSu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oudmont@betterfinanc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rofinus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ruegel.org/2020/03/coronavirus-and-the-politics-of-a-common-fiscal-instrument/" TargetMode="External"/><Relationship Id="rId7" Type="http://schemas.openxmlformats.org/officeDocument/2006/relationships/hyperlink" Target="https://www.cfainstitute.org/en/advocacy/policy-positions/capital-formation-investing-pension-contributions-in-private-markets" TargetMode="External"/><Relationship Id="rId2" Type="http://schemas.openxmlformats.org/officeDocument/2006/relationships/hyperlink" Target="https://www.investopedia.com/government-stimulus-efforts-to-fight-the-covid-19-crisis-4799723" TargetMode="External"/><Relationship Id="rId1" Type="http://schemas.openxmlformats.org/officeDocument/2006/relationships/hyperlink" Target="https://www.ecb.europa.eu/pub/annual/balance/html/index.en.html" TargetMode="External"/><Relationship Id="rId6" Type="http://schemas.openxmlformats.org/officeDocument/2006/relationships/hyperlink" Target="https://betterfinance.eu/wp-content/uploads/PR-PENSIONS-INADEQUACY-25092019.pdf" TargetMode="External"/><Relationship Id="rId5" Type="http://schemas.openxmlformats.org/officeDocument/2006/relationships/hyperlink" Target="https://ec.europa.eu/transparency/regexpert/index.cfm?do=groupDetail.groupMeetingDoc&amp;docid=38547" TargetMode="External"/><Relationship Id="rId4" Type="http://schemas.openxmlformats.org/officeDocument/2006/relationships/hyperlink" Target="https://www.ecb.europa.eu/press/blog/date/2020/html/ecb.blog200319~11f421e25e.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61B2-BE99-42F6-9BFC-ACC210E1A34E}">
  <ds:schemaRefs>
    <ds:schemaRef ds:uri="http://schemas.microsoft.com/sharepoint/v3/contenttype/forms"/>
  </ds:schemaRefs>
</ds:datastoreItem>
</file>

<file path=customXml/itemProps2.xml><?xml version="1.0" encoding="utf-8"?>
<ds:datastoreItem xmlns:ds="http://schemas.openxmlformats.org/officeDocument/2006/customXml" ds:itemID="{935E708A-5705-4BA7-BF16-10418D0F18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CD1D98-05C0-4331-966E-D35707C7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Houdmont</dc:creator>
  <cp:lastModifiedBy>Usuario</cp:lastModifiedBy>
  <cp:revision>5</cp:revision>
  <cp:lastPrinted>2019-03-22T09:41:00Z</cp:lastPrinted>
  <dcterms:created xsi:type="dcterms:W3CDTF">2020-12-07T06:46:00Z</dcterms:created>
  <dcterms:modified xsi:type="dcterms:W3CDTF">2020-12-21T18:00:00Z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ies>
</file>