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2E58" w14:textId="0900663F" w:rsidR="00656449" w:rsidRDefault="00656449"/>
    <w:p w14:paraId="5BC62E59" w14:textId="77777777" w:rsidR="00656449" w:rsidRPr="001B1F77" w:rsidRDefault="001B1F77">
      <w:pPr>
        <w:pStyle w:val="BodyText"/>
        <w:spacing w:after="0" w:line="312" w:lineRule="auto"/>
        <w:jc w:val="both"/>
        <w:rPr>
          <w:lang w:val="es-ES"/>
        </w:rPr>
      </w:pPr>
      <w:bookmarkStart w:id="0" w:name="_Hlk4143464"/>
      <w:r w:rsidRPr="001B1F77">
        <w:rPr>
          <w:rStyle w:val="Strong"/>
          <w:sz w:val="20"/>
          <w:szCs w:val="22"/>
          <w:lang w:val="es-ES"/>
        </w:rPr>
        <w:t xml:space="preserve">COMUNICADO DE PRENSA </w:t>
      </w:r>
    </w:p>
    <w:p w14:paraId="5BC62E5A" w14:textId="18F377D5" w:rsidR="00656449" w:rsidRPr="001B1F77" w:rsidRDefault="001B1F77" w:rsidP="00A97B20">
      <w:pPr>
        <w:pStyle w:val="BodyText"/>
        <w:spacing w:after="80" w:line="240" w:lineRule="auto"/>
        <w:ind w:left="720"/>
        <w:jc w:val="both"/>
        <w:rPr>
          <w:lang w:val="es-ES"/>
        </w:rPr>
      </w:pPr>
      <w:bookmarkStart w:id="1" w:name="_Hlk882368"/>
      <w:bookmarkStart w:id="2" w:name="_Hlk523763847"/>
      <w:r w:rsidRPr="001B1F77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 xml:space="preserve">Cuanto más pague, menos </w:t>
      </w:r>
      <w:r w:rsidR="00DB160A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>probabilidad</w:t>
      </w:r>
      <w:r w:rsidR="000B258F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>es</w:t>
      </w:r>
      <w:r w:rsidR="00DB160A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 xml:space="preserve"> tendrá de</w:t>
      </w:r>
      <w:r w:rsidR="000B258F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 xml:space="preserve"> ganar</w:t>
      </w:r>
      <w:r w:rsidRPr="001B1F77">
        <w:rPr>
          <w:rFonts w:ascii="Cambria" w:eastAsia="Calibri" w:hAnsi="Cambria" w:cs="Arial"/>
          <w:b/>
          <w:smallCaps/>
          <w:color w:val="365F91"/>
          <w:spacing w:val="20"/>
          <w:kern w:val="3"/>
          <w:sz w:val="32"/>
          <w:szCs w:val="30"/>
          <w:lang w:val="es-ES"/>
        </w:rPr>
        <w:t>..</w:t>
      </w:r>
      <w:r w:rsidRPr="001B1F77">
        <w:rPr>
          <w:rFonts w:ascii="Cambria" w:eastAsia="Calibri" w:hAnsi="Cambria" w:cs="Arial"/>
          <w:b/>
          <w:smallCaps/>
          <w:color w:val="365F91"/>
          <w:spacing w:val="20"/>
          <w:kern w:val="3"/>
          <w:sz w:val="28"/>
          <w:szCs w:val="28"/>
          <w:lang w:val="es-ES"/>
        </w:rPr>
        <w:t>.</w:t>
      </w:r>
    </w:p>
    <w:bookmarkEnd w:id="1"/>
    <w:bookmarkEnd w:id="2"/>
    <w:p w14:paraId="5BC62E5B" w14:textId="58C35EC3" w:rsidR="00656449" w:rsidRPr="001B1F77" w:rsidRDefault="00DB160A">
      <w:pPr>
        <w:pStyle w:val="Heading2"/>
        <w:spacing w:after="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nuevo estudio</w:t>
      </w:r>
      <w:r w:rsidR="001B1F77" w:rsidRPr="001B1F77">
        <w:rPr>
          <w:sz w:val="24"/>
          <w:szCs w:val="24"/>
          <w:lang w:val="es-ES"/>
        </w:rPr>
        <w:t xml:space="preserve"> de BETTER FINANCE sobre la correlación entre los costes y el rendimiento de los fondos </w:t>
      </w:r>
      <w:r>
        <w:rPr>
          <w:sz w:val="24"/>
          <w:szCs w:val="24"/>
          <w:lang w:val="es-ES"/>
        </w:rPr>
        <w:t xml:space="preserve">de capital para </w:t>
      </w:r>
      <w:r w:rsidR="000B258F">
        <w:rPr>
          <w:sz w:val="24"/>
          <w:szCs w:val="24"/>
          <w:lang w:val="es-ES"/>
        </w:rPr>
        <w:t>inversores</w:t>
      </w:r>
      <w:r w:rsidR="00731DDD">
        <w:rPr>
          <w:sz w:val="24"/>
          <w:szCs w:val="24"/>
          <w:lang w:val="es-ES"/>
        </w:rPr>
        <w:t xml:space="preserve"> </w:t>
      </w:r>
      <w:r w:rsidR="001B1F77" w:rsidRPr="001B1F77">
        <w:rPr>
          <w:sz w:val="24"/>
          <w:szCs w:val="24"/>
          <w:lang w:val="es-ES"/>
        </w:rPr>
        <w:t>minoristas de la UE establece sin duda una correlación negativa entre los rendimientos y las comisiones</w:t>
      </w:r>
    </w:p>
    <w:p w14:paraId="5BC62E5C" w14:textId="18F8182A" w:rsidR="00656449" w:rsidRPr="001B1F77" w:rsidRDefault="001B1F77">
      <w:pPr>
        <w:spacing w:after="80"/>
        <w:jc w:val="both"/>
        <w:rPr>
          <w:lang w:val="es-ES"/>
        </w:rPr>
      </w:pPr>
      <w:r w:rsidRPr="001B1F77">
        <w:rPr>
          <w:rFonts w:ascii="Cambria" w:hAnsi="Cambria"/>
          <w:b/>
          <w:lang w:val="es-ES"/>
        </w:rPr>
        <w:t xml:space="preserve">Bruselas, 20 de junio de 2019 </w:t>
      </w:r>
      <w:r w:rsidRPr="001B1F77">
        <w:rPr>
          <w:rFonts w:ascii="Cambria" w:hAnsi="Cambria"/>
          <w:lang w:val="es-ES"/>
        </w:rPr>
        <w:t>-</w:t>
      </w:r>
      <w:bookmarkEnd w:id="0"/>
      <w:r w:rsidRPr="001B1F77">
        <w:rPr>
          <w:rFonts w:ascii="Cambria" w:hAnsi="Cambria"/>
          <w:lang w:val="es-ES"/>
        </w:rPr>
        <w:t xml:space="preserve"> Es </w:t>
      </w:r>
      <w:r w:rsidR="000B258F">
        <w:rPr>
          <w:rFonts w:ascii="Cambria" w:hAnsi="Cambria"/>
          <w:lang w:val="es-ES"/>
        </w:rPr>
        <w:t xml:space="preserve">bien </w:t>
      </w:r>
      <w:r w:rsidRPr="001B1F77">
        <w:rPr>
          <w:rFonts w:ascii="Cambria" w:hAnsi="Cambria"/>
          <w:lang w:val="es-ES"/>
        </w:rPr>
        <w:t xml:space="preserve">sabido que si se quiere ganar al mercado, hay que recurrir a una gestión </w:t>
      </w:r>
      <w:r w:rsidR="00CA4CA9">
        <w:rPr>
          <w:rFonts w:ascii="Cambria" w:hAnsi="Cambria"/>
          <w:lang w:val="es-ES"/>
        </w:rPr>
        <w:t>enormemente</w:t>
      </w:r>
      <w:r w:rsidR="00CA4CA9" w:rsidRPr="001B1F77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 xml:space="preserve">activa... </w:t>
      </w:r>
      <w:r w:rsidR="000B258F">
        <w:rPr>
          <w:rFonts w:ascii="Cambria" w:hAnsi="Cambria"/>
          <w:lang w:val="es-ES"/>
        </w:rPr>
        <w:t>y esto tiene</w:t>
      </w:r>
      <w:r w:rsidR="000B258F" w:rsidRPr="001B1F77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 xml:space="preserve">un precio. </w:t>
      </w:r>
    </w:p>
    <w:p w14:paraId="5BC62E5D" w14:textId="70686EE7" w:rsidR="00656449" w:rsidRPr="001B1F77" w:rsidRDefault="001B1F77">
      <w:pPr>
        <w:spacing w:after="80"/>
        <w:jc w:val="both"/>
        <w:rPr>
          <w:rFonts w:ascii="Cambria" w:hAnsi="Cambria"/>
          <w:lang w:val="es-ES"/>
        </w:rPr>
      </w:pPr>
      <w:r w:rsidRPr="001B1F77">
        <w:rPr>
          <w:rFonts w:ascii="Cambria" w:hAnsi="Cambria"/>
          <w:lang w:val="es-ES"/>
        </w:rPr>
        <w:t xml:space="preserve">Como parte de su serie #FundResearch, BETTER FINANCE decidió poner a prueba </w:t>
      </w:r>
      <w:r w:rsidR="000B258F">
        <w:rPr>
          <w:rFonts w:ascii="Cambria" w:hAnsi="Cambria"/>
          <w:lang w:val="es-ES"/>
        </w:rPr>
        <w:t>este concepto</w:t>
      </w:r>
      <w:r w:rsidRPr="001B1F77">
        <w:rPr>
          <w:rFonts w:ascii="Cambria" w:hAnsi="Cambria"/>
          <w:lang w:val="es-ES"/>
        </w:rPr>
        <w:t xml:space="preserve"> y examinar más de cerca los principales factores que influyen en el rendimiento de los fondos y </w:t>
      </w:r>
      <w:r w:rsidR="000B258F">
        <w:rPr>
          <w:rFonts w:ascii="Cambria" w:hAnsi="Cambria"/>
          <w:lang w:val="es-ES"/>
        </w:rPr>
        <w:t xml:space="preserve">en </w:t>
      </w:r>
      <w:r w:rsidRPr="001B1F77">
        <w:rPr>
          <w:rFonts w:ascii="Cambria" w:hAnsi="Cambria"/>
          <w:lang w:val="es-ES"/>
        </w:rPr>
        <w:t xml:space="preserve">la capacidad de ofrecer rendimientos superiores a los del mercado, con </w:t>
      </w:r>
      <w:r w:rsidR="000B258F">
        <w:rPr>
          <w:rFonts w:ascii="Cambria" w:hAnsi="Cambria"/>
          <w:lang w:val="es-ES"/>
        </w:rPr>
        <w:t xml:space="preserve">una </w:t>
      </w:r>
      <w:r w:rsidRPr="001B1F77">
        <w:rPr>
          <w:rFonts w:ascii="Cambria" w:hAnsi="Cambria"/>
          <w:lang w:val="es-ES"/>
        </w:rPr>
        <w:t xml:space="preserve">especial atención </w:t>
      </w:r>
      <w:r w:rsidR="00CA4CA9">
        <w:rPr>
          <w:rFonts w:ascii="Cambria" w:hAnsi="Cambria"/>
          <w:lang w:val="es-ES"/>
        </w:rPr>
        <w:t>en</w:t>
      </w:r>
      <w:r w:rsidR="00CA4CA9" w:rsidRPr="001B1F77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 xml:space="preserve">los costes. </w:t>
      </w:r>
    </w:p>
    <w:p w14:paraId="5BC62E5E" w14:textId="44875B57" w:rsidR="00656449" w:rsidRPr="001B1F77" w:rsidRDefault="001B1F77">
      <w:pPr>
        <w:spacing w:after="80"/>
        <w:jc w:val="both"/>
        <w:rPr>
          <w:lang w:val="es-ES"/>
        </w:rPr>
      </w:pPr>
      <w:r w:rsidRPr="001B1F77">
        <w:rPr>
          <w:rFonts w:ascii="Cambria" w:hAnsi="Cambria"/>
          <w:lang w:val="es-ES"/>
        </w:rPr>
        <w:t xml:space="preserve">BETTER FINANCE </w:t>
      </w:r>
      <w:r w:rsidR="00CA4CA9">
        <w:rPr>
          <w:rFonts w:ascii="Cambria" w:hAnsi="Cambria"/>
          <w:lang w:val="es-ES"/>
        </w:rPr>
        <w:t>evaluó</w:t>
      </w:r>
      <w:r w:rsidR="00CA4CA9" w:rsidRPr="001B1F77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 xml:space="preserve">el rendimiento durante los últimos diez años de los fondos </w:t>
      </w:r>
      <w:r w:rsidR="00CA4CA9">
        <w:rPr>
          <w:rFonts w:ascii="Cambria" w:hAnsi="Cambria"/>
          <w:lang w:val="es-ES"/>
        </w:rPr>
        <w:t xml:space="preserve">de capital para </w:t>
      </w:r>
      <w:r w:rsidRPr="001B1F77">
        <w:rPr>
          <w:rFonts w:ascii="Cambria" w:hAnsi="Cambria"/>
          <w:lang w:val="es-ES"/>
        </w:rPr>
        <w:t>minoristas de la UE</w:t>
      </w:r>
      <w:r w:rsidR="00CA4CA9">
        <w:rPr>
          <w:rFonts w:ascii="Cambria" w:hAnsi="Cambria"/>
          <w:lang w:val="es-ES"/>
        </w:rPr>
        <w:t>,</w:t>
      </w:r>
      <w:r w:rsidRPr="001B1F77">
        <w:rPr>
          <w:rFonts w:ascii="Cambria" w:hAnsi="Cambria"/>
          <w:lang w:val="es-ES"/>
        </w:rPr>
        <w:t xml:space="preserve"> </w:t>
      </w:r>
      <w:r w:rsidR="000B258F">
        <w:rPr>
          <w:rFonts w:ascii="Cambria" w:hAnsi="Cambria"/>
          <w:lang w:val="es-ES"/>
        </w:rPr>
        <w:t>concretamente de</w:t>
      </w:r>
      <w:r w:rsidR="00CA4CA9" w:rsidRPr="001B1F77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 xml:space="preserve">Bélgica, Francia y Luxemburgo en comparación con sus </w:t>
      </w:r>
      <w:r w:rsidR="00944540">
        <w:rPr>
          <w:rFonts w:ascii="Cambria" w:hAnsi="Cambria"/>
          <w:lang w:val="es-ES"/>
        </w:rPr>
        <w:t xml:space="preserve">valores de </w:t>
      </w:r>
      <w:r w:rsidRPr="001B1F77">
        <w:rPr>
          <w:rFonts w:ascii="Cambria" w:hAnsi="Cambria"/>
          <w:lang w:val="es-ES"/>
        </w:rPr>
        <w:t>referencia y descubrió que sólo el 27</w:t>
      </w:r>
      <w:r w:rsidR="00CA4CA9">
        <w:rPr>
          <w:rFonts w:ascii="Cambria" w:hAnsi="Cambria"/>
          <w:lang w:val="es-ES"/>
        </w:rPr>
        <w:t xml:space="preserve"> </w:t>
      </w:r>
      <w:r w:rsidRPr="001B1F77">
        <w:rPr>
          <w:rFonts w:ascii="Cambria" w:hAnsi="Cambria"/>
          <w:lang w:val="es-ES"/>
        </w:rPr>
        <w:t>% de los fondos supervivientes con un historial suficientemente largo</w:t>
      </w:r>
      <w:r w:rsidR="00CA4CA9">
        <w:rPr>
          <w:rFonts w:ascii="Cambria" w:hAnsi="Cambria"/>
          <w:lang w:val="es-ES"/>
        </w:rPr>
        <w:t>,</w:t>
      </w:r>
      <w:r w:rsidRPr="001B1F77">
        <w:rPr>
          <w:rFonts w:ascii="Cambria" w:hAnsi="Cambria"/>
          <w:lang w:val="es-ES"/>
        </w:rPr>
        <w:t xml:space="preserve"> lograron superar el rendimiento del mercado </w:t>
      </w:r>
      <w:r w:rsidR="00CA4CA9">
        <w:rPr>
          <w:rFonts w:ascii="Cambria" w:hAnsi="Cambria"/>
          <w:lang w:val="es-ES"/>
        </w:rPr>
        <w:t xml:space="preserve"> durante </w:t>
      </w:r>
      <w:r w:rsidRPr="001B1F77">
        <w:rPr>
          <w:rFonts w:ascii="Cambria" w:hAnsi="Cambria"/>
          <w:lang w:val="es-ES"/>
        </w:rPr>
        <w:t xml:space="preserve">períodos trimestrales </w:t>
      </w:r>
      <w:r w:rsidR="007F38B4">
        <w:rPr>
          <w:rFonts w:ascii="Cambria" w:hAnsi="Cambria"/>
          <w:lang w:val="es-ES"/>
        </w:rPr>
        <w:t xml:space="preserve">consecutivos </w:t>
      </w:r>
      <w:r w:rsidR="00CA4CA9">
        <w:rPr>
          <w:rFonts w:ascii="Cambria" w:hAnsi="Cambria"/>
          <w:lang w:val="es-ES"/>
        </w:rPr>
        <w:t xml:space="preserve">a lo largo </w:t>
      </w:r>
      <w:r w:rsidRPr="001B1F77">
        <w:rPr>
          <w:rFonts w:ascii="Cambria" w:hAnsi="Cambria"/>
          <w:lang w:val="es-ES"/>
        </w:rPr>
        <w:t>de cinco años</w:t>
      </w:r>
      <w:r>
        <w:rPr>
          <w:rStyle w:val="FootnoteReference"/>
          <w:rFonts w:ascii="Cambria" w:hAnsi="Cambria"/>
          <w:lang w:val="en-US"/>
        </w:rPr>
        <w:footnoteReference w:id="1"/>
      </w:r>
      <w:r w:rsidRPr="001B1F77">
        <w:rPr>
          <w:rFonts w:ascii="Cambria" w:hAnsi="Cambria"/>
          <w:lang w:val="es-ES"/>
        </w:rPr>
        <w:t xml:space="preserve">. Esto confirma que pocos gestores de fondos activos son capaces de compensar el impacto de las comisiones que cobran y que, en la mayoría de los casos, </w:t>
      </w:r>
      <w:r w:rsidR="00CA4CA9">
        <w:rPr>
          <w:rFonts w:ascii="Cambria" w:hAnsi="Cambria"/>
          <w:lang w:val="es-ES"/>
        </w:rPr>
        <w:t xml:space="preserve">el hecho de </w:t>
      </w:r>
      <w:r w:rsidRPr="001B1F77">
        <w:rPr>
          <w:rFonts w:ascii="Cambria" w:hAnsi="Cambria"/>
          <w:lang w:val="es-ES"/>
        </w:rPr>
        <w:t>que una inversión gane al mercado</w:t>
      </w:r>
      <w:r w:rsidR="00CA4CA9" w:rsidRPr="00CA4CA9">
        <w:rPr>
          <w:rFonts w:ascii="Cambria" w:hAnsi="Cambria"/>
          <w:lang w:val="es-ES"/>
        </w:rPr>
        <w:t xml:space="preserve"> </w:t>
      </w:r>
      <w:r w:rsidR="00CA4CA9" w:rsidRPr="001B1F77">
        <w:rPr>
          <w:rFonts w:ascii="Cambria" w:hAnsi="Cambria"/>
          <w:lang w:val="es-ES"/>
        </w:rPr>
        <w:t>depende de la suerte</w:t>
      </w:r>
      <w:r w:rsidRPr="001B1F77">
        <w:rPr>
          <w:rFonts w:ascii="Cambria" w:hAnsi="Cambria"/>
          <w:lang w:val="es-ES"/>
        </w:rPr>
        <w:t xml:space="preserve">. También establece, mediante pruebas estadísticas muy sólidas, que cuanto más altas son las comisiones, menos </w:t>
      </w:r>
      <w:r w:rsidR="00944540">
        <w:rPr>
          <w:rFonts w:ascii="Cambria" w:hAnsi="Cambria"/>
          <w:lang w:val="es-ES"/>
        </w:rPr>
        <w:t xml:space="preserve">son los </w:t>
      </w:r>
      <w:r w:rsidRPr="001B1F77">
        <w:rPr>
          <w:rFonts w:ascii="Cambria" w:hAnsi="Cambria"/>
          <w:lang w:val="es-ES"/>
        </w:rPr>
        <w:t>fondos activos</w:t>
      </w:r>
      <w:r w:rsidR="00944540">
        <w:rPr>
          <w:rFonts w:ascii="Cambria" w:hAnsi="Cambria"/>
          <w:lang w:val="es-ES"/>
        </w:rPr>
        <w:t xml:space="preserve"> que</w:t>
      </w:r>
      <w:r w:rsidRPr="001B1F77">
        <w:rPr>
          <w:rFonts w:ascii="Cambria" w:hAnsi="Cambria"/>
          <w:lang w:val="es-ES"/>
        </w:rPr>
        <w:t xml:space="preserve"> consiguen superar (es decir, generar un "alfa" positivo) los rendimientos de sus mercados de capital pertinentes.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632"/>
      </w:tblGrid>
      <w:tr w:rsidR="00656449" w:rsidRPr="009F616D" w14:paraId="5BC62E60" w14:textId="77777777">
        <w:trPr>
          <w:trHeight w:val="70"/>
          <w:jc w:val="center"/>
        </w:trPr>
        <w:tc>
          <w:tcPr>
            <w:tcW w:w="9072" w:type="dxa"/>
            <w:gridSpan w:val="5"/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5F" w14:textId="581A1CCF" w:rsidR="00656449" w:rsidRPr="001B1F77" w:rsidRDefault="001B1F77" w:rsidP="00944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</w:pPr>
            <w:r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Dispersión del exceso de 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>rendimiento</w:t>
            </w:r>
            <w:r w:rsidR="00944540"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 </w:t>
            </w:r>
            <w:r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por 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>rangos</w:t>
            </w:r>
            <w:r w:rsidR="00944540"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 </w:t>
            </w:r>
            <w:r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de 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>comisiones (Comisiones</w:t>
            </w:r>
            <w:r w:rsidRPr="001B1F77">
              <w:rPr>
                <w:rFonts w:ascii="Cambria" w:eastAsia="Times New Roman" w:hAnsi="Cambria" w:cs="Calibri"/>
                <w:b/>
                <w:bCs/>
                <w:color w:val="FFFFFF"/>
                <w:lang w:val="es-ES" w:eastAsia="en-GB"/>
              </w:rPr>
              <w:t xml:space="preserve"> vs. alfa 2013 - 2017)</w:t>
            </w:r>
          </w:p>
        </w:tc>
      </w:tr>
      <w:tr w:rsidR="00656449" w14:paraId="5BC62E64" w14:textId="77777777">
        <w:trPr>
          <w:trHeight w:val="70"/>
          <w:jc w:val="center"/>
        </w:trPr>
        <w:tc>
          <w:tcPr>
            <w:tcW w:w="1860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1" w14:textId="7CD01C1E" w:rsidR="00656449" w:rsidRDefault="00944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Comisiones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2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Alfa</w:t>
            </w:r>
          </w:p>
        </w:tc>
        <w:tc>
          <w:tcPr>
            <w:tcW w:w="535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3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Todos los fondos</w:t>
            </w:r>
          </w:p>
        </w:tc>
      </w:tr>
      <w:tr w:rsidR="00656449" w14:paraId="5BC62E6A" w14:textId="77777777">
        <w:trPr>
          <w:trHeight w:val="70"/>
          <w:jc w:val="center"/>
        </w:trPr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5" w14:textId="77777777" w:rsidR="00656449" w:rsidRDefault="006564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6" w14:textId="77777777" w:rsidR="00656449" w:rsidRDefault="006564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7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OICVM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8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AIF</w:t>
            </w:r>
          </w:p>
        </w:tc>
        <w:tc>
          <w:tcPr>
            <w:tcW w:w="1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9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56449" w14:paraId="5BC62E70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B" w14:textId="56D3B2D1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[0%, 0</w:t>
            </w:r>
            <w:r w:rsidR="0094454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5%)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C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alfa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D" w14:textId="127FE8CD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E" w14:textId="5012B10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6F" w14:textId="781E27FD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80%</w:t>
            </w:r>
          </w:p>
        </w:tc>
      </w:tr>
      <w:tr w:rsidR="00656449" w14:paraId="5BC62E76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1" w14:textId="77777777" w:rsidR="00656449" w:rsidRDefault="006564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2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alfa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3" w14:textId="37F11BEF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4" w14:textId="37C95F70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5" w14:textId="435F2DB2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91%</w:t>
            </w:r>
          </w:p>
        </w:tc>
      </w:tr>
      <w:tr w:rsidR="00656449" w14:paraId="5BC62E7C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7" w14:textId="3568CF9F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[0</w:t>
            </w:r>
            <w:r w:rsidR="0094454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5%, 1%)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8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alfa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9" w14:textId="10F1C4F5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A" w14:textId="261D955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B" w14:textId="57F6F622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47%</w:t>
            </w:r>
          </w:p>
        </w:tc>
      </w:tr>
      <w:tr w:rsidR="00656449" w14:paraId="5BC62E82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D" w14:textId="77777777" w:rsidR="00656449" w:rsidRDefault="006564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E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alfa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7F" w14:textId="384D53C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05%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0" w14:textId="09943345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1" w14:textId="157F8B1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34%</w:t>
            </w:r>
          </w:p>
        </w:tc>
      </w:tr>
      <w:tr w:rsidR="00656449" w14:paraId="5BC62E88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3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[1%, 2%)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4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alfa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5" w14:textId="59081E4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16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6" w14:textId="277EDF6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4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7" w14:textId="494DB9E0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15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="00656449" w14:paraId="5BC62E8E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9" w14:textId="77777777" w:rsidR="00656449" w:rsidRDefault="006564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A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alfa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B" w14:textId="45E0B472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32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C" w14:textId="58774CBC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37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D" w14:textId="73C7A189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32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72%</w:t>
            </w:r>
          </w:p>
        </w:tc>
      </w:tr>
      <w:tr w:rsidR="00656449" w14:paraId="5BC62E94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8F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[2%; 3%)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0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alfa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1" w14:textId="4C8CEB6C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9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2" w14:textId="5530623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3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3" w14:textId="3C353CAA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9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00%</w:t>
            </w:r>
          </w:p>
        </w:tc>
      </w:tr>
      <w:tr w:rsidR="00656449" w14:paraId="5BC62E9A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5" w14:textId="77777777" w:rsidR="00656449" w:rsidRDefault="006564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6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alfa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7" w14:textId="61650751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8" w14:textId="7BD6AC2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08%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9" w14:textId="75974C6D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36%</w:t>
            </w:r>
          </w:p>
        </w:tc>
      </w:tr>
      <w:tr w:rsidR="00656449" w14:paraId="5BC62EA0" w14:textId="77777777">
        <w:trPr>
          <w:trHeight w:val="70"/>
          <w:jc w:val="center"/>
        </w:trPr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B" w14:textId="485BDFF8" w:rsidR="00656449" w:rsidRDefault="001B1F77" w:rsidP="00944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[</w:t>
            </w:r>
            <w:r w:rsidR="0094454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+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3% 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C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alfa ≥ 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D" w14:textId="07ABF601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E" w14:textId="6B092DB9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9F" w14:textId="5A2BF63C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</w:t>
            </w:r>
            <w:r w:rsidR="0094454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</w:tr>
      <w:tr w:rsidR="00656449" w14:paraId="5BC62EA6" w14:textId="77777777">
        <w:trPr>
          <w:trHeight w:val="70"/>
          <w:jc w:val="center"/>
        </w:trPr>
        <w:tc>
          <w:tcPr>
            <w:tcW w:w="1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A1" w14:textId="77777777" w:rsidR="00656449" w:rsidRDefault="006564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A2" w14:textId="77777777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alfa &lt; 0%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A3" w14:textId="63924884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86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A4" w14:textId="7DF4DF4B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61%</w:t>
            </w:r>
          </w:p>
        </w:tc>
        <w:tc>
          <w:tcPr>
            <w:tcW w:w="1632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EA5" w14:textId="36273D4D" w:rsidR="00656449" w:rsidRDefault="001B1F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  <w:r w:rsidR="00944540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,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en-GB"/>
              </w:rPr>
              <w:t>02%</w:t>
            </w:r>
          </w:p>
        </w:tc>
      </w:tr>
    </w:tbl>
    <w:p w14:paraId="5BC62EA7" w14:textId="55B7FEA7" w:rsidR="00656449" w:rsidRPr="001B1F77" w:rsidRDefault="00944540">
      <w:pPr>
        <w:spacing w:before="120" w:after="8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Las comisiones</w:t>
      </w:r>
      <w:r w:rsidR="001B1F77" w:rsidRPr="001B1F77">
        <w:rPr>
          <w:rFonts w:ascii="Cambria" w:hAnsi="Cambria"/>
          <w:lang w:val="es-ES"/>
        </w:rPr>
        <w:t xml:space="preserve"> son casi por sí </w:t>
      </w:r>
      <w:r w:rsidRPr="001B1F77">
        <w:rPr>
          <w:rFonts w:ascii="Cambria" w:hAnsi="Cambria"/>
          <w:lang w:val="es-ES"/>
        </w:rPr>
        <w:t>sol</w:t>
      </w:r>
      <w:r>
        <w:rPr>
          <w:rFonts w:ascii="Cambria" w:hAnsi="Cambria"/>
          <w:lang w:val="es-ES"/>
        </w:rPr>
        <w:t>a</w:t>
      </w:r>
      <w:r w:rsidRPr="001B1F77">
        <w:rPr>
          <w:rFonts w:ascii="Cambria" w:hAnsi="Cambria"/>
          <w:lang w:val="es-ES"/>
        </w:rPr>
        <w:t>s l</w:t>
      </w:r>
      <w:r>
        <w:rPr>
          <w:rFonts w:ascii="Cambria" w:hAnsi="Cambria"/>
          <w:lang w:val="es-ES"/>
        </w:rPr>
        <w:t>a</w:t>
      </w:r>
      <w:r w:rsidRPr="001B1F77">
        <w:rPr>
          <w:rFonts w:ascii="Cambria" w:hAnsi="Cambria"/>
          <w:lang w:val="es-ES"/>
        </w:rPr>
        <w:t xml:space="preserve">s </w:t>
      </w:r>
      <w:r w:rsidR="001B1F77" w:rsidRPr="001B1F77">
        <w:rPr>
          <w:rFonts w:ascii="Cambria" w:hAnsi="Cambria"/>
          <w:lang w:val="es-ES"/>
        </w:rPr>
        <w:t xml:space="preserve">culpables de los decepcionantes rendimientos de muchos fondos </w:t>
      </w:r>
      <w:r>
        <w:rPr>
          <w:rFonts w:ascii="Cambria" w:hAnsi="Cambria"/>
          <w:lang w:val="es-ES"/>
        </w:rPr>
        <w:t>de gestión activa</w:t>
      </w:r>
      <w:r w:rsidR="001B1F77" w:rsidRPr="001B1F77">
        <w:rPr>
          <w:rFonts w:ascii="Cambria" w:hAnsi="Cambria"/>
          <w:lang w:val="es-ES"/>
        </w:rPr>
        <w:t xml:space="preserve">. Un análisis de </w:t>
      </w:r>
      <w:r>
        <w:rPr>
          <w:rFonts w:ascii="Cambria" w:hAnsi="Cambria"/>
          <w:lang w:val="es-ES"/>
        </w:rPr>
        <w:t xml:space="preserve">la </w:t>
      </w:r>
      <w:r w:rsidR="001B1F77" w:rsidRPr="001B1F77">
        <w:rPr>
          <w:rFonts w:ascii="Cambria" w:hAnsi="Cambria"/>
          <w:lang w:val="es-ES"/>
        </w:rPr>
        <w:t xml:space="preserve">regresión lineal confirma que, cuando las comisiones aumentan en 100 puntos básicos, el </w:t>
      </w:r>
      <w:r>
        <w:rPr>
          <w:rFonts w:ascii="Cambria" w:hAnsi="Cambria"/>
          <w:lang w:val="es-ES"/>
        </w:rPr>
        <w:t>exceso de rendimiento</w:t>
      </w:r>
      <w:r w:rsidR="001B1F77" w:rsidRPr="001B1F77">
        <w:rPr>
          <w:rFonts w:ascii="Cambria" w:hAnsi="Cambria"/>
          <w:lang w:val="es-ES"/>
        </w:rPr>
        <w:t xml:space="preserve"> de </w:t>
      </w:r>
      <w:r>
        <w:rPr>
          <w:rFonts w:ascii="Cambria" w:hAnsi="Cambria"/>
          <w:lang w:val="es-ES"/>
        </w:rPr>
        <w:t xml:space="preserve">los </w:t>
      </w:r>
      <w:r w:rsidR="001B1F77" w:rsidRPr="001B1F77">
        <w:rPr>
          <w:rFonts w:ascii="Cambria" w:hAnsi="Cambria"/>
          <w:lang w:val="es-ES"/>
        </w:rPr>
        <w:t>fondos disminuye en 68 puntos básicos. Un análisis de regresión múltiple establece el predominio de la rentabilidad de</w:t>
      </w:r>
      <w:r w:rsidR="007F38B4">
        <w:rPr>
          <w:rFonts w:ascii="Cambria" w:hAnsi="Cambria"/>
          <w:lang w:val="es-ES"/>
        </w:rPr>
        <w:t>l</w:t>
      </w:r>
      <w:r w:rsidR="001B1F77" w:rsidRPr="001B1F77">
        <w:rPr>
          <w:rFonts w:ascii="Cambria" w:hAnsi="Cambria"/>
          <w:lang w:val="es-ES"/>
        </w:rPr>
        <w:t xml:space="preserve"> mercado sobre </w:t>
      </w:r>
      <w:r w:rsidR="007F38B4">
        <w:rPr>
          <w:rFonts w:ascii="Cambria" w:hAnsi="Cambria"/>
          <w:lang w:val="es-ES"/>
        </w:rPr>
        <w:t>el</w:t>
      </w:r>
      <w:r w:rsidR="007F38B4" w:rsidRPr="001B1F77">
        <w:rPr>
          <w:rFonts w:ascii="Cambria" w:hAnsi="Cambria"/>
          <w:lang w:val="es-ES"/>
        </w:rPr>
        <w:t xml:space="preserve"> </w:t>
      </w:r>
      <w:r w:rsidR="007F38B4">
        <w:rPr>
          <w:rFonts w:ascii="Cambria" w:hAnsi="Cambria"/>
          <w:lang w:val="es-ES"/>
        </w:rPr>
        <w:t>rendimiento</w:t>
      </w:r>
      <w:r w:rsidR="007F38B4" w:rsidRPr="001B1F77">
        <w:rPr>
          <w:rFonts w:ascii="Cambria" w:hAnsi="Cambria"/>
          <w:lang w:val="es-ES"/>
        </w:rPr>
        <w:t xml:space="preserve"> </w:t>
      </w:r>
      <w:r w:rsidR="001B1F77" w:rsidRPr="001B1F77">
        <w:rPr>
          <w:rFonts w:ascii="Cambria" w:hAnsi="Cambria"/>
          <w:lang w:val="es-ES"/>
        </w:rPr>
        <w:t xml:space="preserve">global del fondo, mientras que el nivel de las comisiones es el segundo factor de rentabilidad más importante, seguido del error de </w:t>
      </w:r>
      <w:r w:rsidR="001B1F77" w:rsidRPr="001B1F77">
        <w:rPr>
          <w:rFonts w:ascii="Cambria" w:hAnsi="Cambria"/>
          <w:lang w:val="es-ES"/>
        </w:rPr>
        <w:lastRenderedPageBreak/>
        <w:t xml:space="preserve">seguimiento. Es más, el exceso de rendimiento ocasional parece deberse a la suerte, sin que exista </w:t>
      </w:r>
      <w:r w:rsidR="007F38B4">
        <w:rPr>
          <w:rFonts w:ascii="Cambria" w:hAnsi="Cambria"/>
          <w:lang w:val="es-ES"/>
        </w:rPr>
        <w:t>una relación</w:t>
      </w:r>
      <w:r w:rsidR="001B1F77" w:rsidRPr="001B1F77">
        <w:rPr>
          <w:rFonts w:ascii="Cambria" w:hAnsi="Cambria"/>
          <w:lang w:val="es-ES"/>
        </w:rPr>
        <w:t xml:space="preserve"> causal con las comisiones </w:t>
      </w:r>
      <w:r w:rsidR="007F38B4">
        <w:rPr>
          <w:rFonts w:ascii="Cambria" w:hAnsi="Cambria"/>
          <w:lang w:val="es-ES"/>
        </w:rPr>
        <w:t>ni</w:t>
      </w:r>
      <w:r w:rsidR="007F38B4" w:rsidRPr="001B1F77">
        <w:rPr>
          <w:rFonts w:ascii="Cambria" w:hAnsi="Cambria"/>
          <w:lang w:val="es-ES"/>
        </w:rPr>
        <w:t xml:space="preserve"> </w:t>
      </w:r>
      <w:r w:rsidR="007F38B4">
        <w:rPr>
          <w:rFonts w:ascii="Cambria" w:hAnsi="Cambria"/>
          <w:lang w:val="es-ES"/>
        </w:rPr>
        <w:t>con la habilidad para la elección</w:t>
      </w:r>
      <w:r w:rsidR="001B1F77" w:rsidRPr="001B1F77">
        <w:rPr>
          <w:rFonts w:ascii="Cambria" w:hAnsi="Cambria"/>
          <w:lang w:val="es-ES"/>
        </w:rPr>
        <w:t xml:space="preserve"> de </w:t>
      </w:r>
      <w:r w:rsidR="007F38B4">
        <w:rPr>
          <w:rFonts w:ascii="Cambria" w:hAnsi="Cambria"/>
          <w:lang w:val="es-ES"/>
        </w:rPr>
        <w:t xml:space="preserve">los </w:t>
      </w:r>
      <w:r w:rsidR="001B1F77" w:rsidRPr="001B1F77">
        <w:rPr>
          <w:rFonts w:ascii="Cambria" w:hAnsi="Cambria"/>
          <w:lang w:val="es-ES"/>
        </w:rPr>
        <w:t>valores, ya que tampoco se pudo apreciar un rendimiento superior persistente.</w:t>
      </w:r>
    </w:p>
    <w:p w14:paraId="5BC62EA8" w14:textId="4EDC0B79" w:rsidR="00656449" w:rsidRPr="001B1F77" w:rsidRDefault="001B1F77">
      <w:pPr>
        <w:spacing w:after="80"/>
        <w:jc w:val="both"/>
        <w:rPr>
          <w:lang w:val="es-ES"/>
        </w:rPr>
      </w:pPr>
      <w:r w:rsidRPr="001B1F77">
        <w:rPr>
          <w:rFonts w:ascii="Cambria" w:hAnsi="Cambria"/>
          <w:lang w:val="es-ES"/>
        </w:rPr>
        <w:t xml:space="preserve">Guillaume Prache, Director </w:t>
      </w:r>
      <w:r w:rsidR="007F38B4">
        <w:rPr>
          <w:rFonts w:ascii="Cambria" w:hAnsi="Cambria"/>
          <w:lang w:val="es-ES"/>
        </w:rPr>
        <w:t>g</w:t>
      </w:r>
      <w:r w:rsidR="007F38B4" w:rsidRPr="001B1F77">
        <w:rPr>
          <w:rFonts w:ascii="Cambria" w:hAnsi="Cambria"/>
          <w:lang w:val="es-ES"/>
        </w:rPr>
        <w:t xml:space="preserve">eneral </w:t>
      </w:r>
      <w:r w:rsidRPr="001B1F77">
        <w:rPr>
          <w:rFonts w:ascii="Cambria" w:hAnsi="Cambria"/>
          <w:lang w:val="es-ES"/>
        </w:rPr>
        <w:t>de BETTER FINANCE subraya que "</w:t>
      </w:r>
      <w:r w:rsidRPr="001B1F77">
        <w:rPr>
          <w:rFonts w:ascii="Cambria" w:hAnsi="Cambria"/>
          <w:i/>
          <w:iCs/>
          <w:lang w:val="es-ES"/>
        </w:rPr>
        <w:t xml:space="preserve">la selección de un fondo es una decisión fundamental para un inversor </w:t>
      </w:r>
      <w:r w:rsidR="000B258F">
        <w:rPr>
          <w:rFonts w:ascii="Cambria" w:hAnsi="Cambria"/>
          <w:i/>
          <w:iCs/>
          <w:lang w:val="es-ES"/>
        </w:rPr>
        <w:t>particular</w:t>
      </w:r>
      <w:r w:rsidRPr="001B1F77">
        <w:rPr>
          <w:rFonts w:ascii="Cambria" w:hAnsi="Cambria"/>
          <w:i/>
          <w:iCs/>
          <w:lang w:val="es-ES"/>
        </w:rPr>
        <w:t xml:space="preserve">. Desafortunadamente, </w:t>
      </w:r>
      <w:r w:rsidR="000B258F" w:rsidRPr="001B1F77">
        <w:rPr>
          <w:rFonts w:ascii="Cambria" w:hAnsi="Cambria"/>
          <w:i/>
          <w:iCs/>
          <w:lang w:val="es-ES"/>
        </w:rPr>
        <w:t>nuestr</w:t>
      </w:r>
      <w:r w:rsidR="000B258F">
        <w:rPr>
          <w:rFonts w:ascii="Cambria" w:hAnsi="Cambria"/>
          <w:i/>
          <w:iCs/>
          <w:lang w:val="es-ES"/>
        </w:rPr>
        <w:t>o</w:t>
      </w:r>
      <w:r w:rsidR="000B258F" w:rsidRPr="001B1F77">
        <w:rPr>
          <w:rFonts w:ascii="Cambria" w:hAnsi="Cambria"/>
          <w:i/>
          <w:iCs/>
          <w:lang w:val="es-ES"/>
        </w:rPr>
        <w:t xml:space="preserve"> </w:t>
      </w:r>
      <w:r w:rsidR="000B258F">
        <w:rPr>
          <w:rFonts w:ascii="Cambria" w:hAnsi="Cambria"/>
          <w:i/>
          <w:iCs/>
          <w:lang w:val="es-ES"/>
        </w:rPr>
        <w:t>estudio</w:t>
      </w:r>
      <w:r w:rsidR="000B258F" w:rsidRPr="001B1F77">
        <w:rPr>
          <w:rFonts w:ascii="Cambria" w:hAnsi="Cambria"/>
          <w:i/>
          <w:iCs/>
          <w:lang w:val="es-ES"/>
        </w:rPr>
        <w:t xml:space="preserve"> </w:t>
      </w:r>
      <w:r w:rsidRPr="001B1F77">
        <w:rPr>
          <w:rFonts w:ascii="Cambria" w:hAnsi="Cambria"/>
          <w:i/>
          <w:iCs/>
          <w:lang w:val="es-ES"/>
        </w:rPr>
        <w:t xml:space="preserve">muestra claramente que en los últimos diez años, hasta 2017, el inversor medio sólo tenía una oportunidad de 3,7 de elegir un fondo de capital que superara su </w:t>
      </w:r>
      <w:r w:rsidR="000B258F">
        <w:rPr>
          <w:rFonts w:ascii="Cambria" w:hAnsi="Cambria"/>
          <w:i/>
          <w:iCs/>
          <w:lang w:val="es-ES"/>
        </w:rPr>
        <w:t>valor</w:t>
      </w:r>
      <w:r w:rsidR="000B258F" w:rsidRPr="001B1F77">
        <w:rPr>
          <w:rFonts w:ascii="Cambria" w:hAnsi="Cambria"/>
          <w:i/>
          <w:iCs/>
          <w:lang w:val="es-ES"/>
        </w:rPr>
        <w:t xml:space="preserve"> </w:t>
      </w:r>
      <w:r w:rsidRPr="001B1F77">
        <w:rPr>
          <w:rFonts w:ascii="Cambria" w:hAnsi="Cambria"/>
          <w:i/>
          <w:iCs/>
          <w:lang w:val="es-ES"/>
        </w:rPr>
        <w:t xml:space="preserve">de referencia en cualquier período de tenencia de 5 años. Los fondos índice de bajo </w:t>
      </w:r>
      <w:r w:rsidR="000B258F" w:rsidRPr="001B1F77">
        <w:rPr>
          <w:rFonts w:ascii="Cambria" w:hAnsi="Cambria"/>
          <w:i/>
          <w:iCs/>
          <w:lang w:val="es-ES"/>
        </w:rPr>
        <w:t>cost</w:t>
      </w:r>
      <w:r w:rsidR="000B258F">
        <w:rPr>
          <w:rFonts w:ascii="Cambria" w:hAnsi="Cambria"/>
          <w:i/>
          <w:iCs/>
          <w:lang w:val="es-ES"/>
        </w:rPr>
        <w:t>e</w:t>
      </w:r>
      <w:r w:rsidR="000B258F" w:rsidRPr="001B1F77">
        <w:rPr>
          <w:rFonts w:ascii="Cambria" w:hAnsi="Cambria"/>
          <w:i/>
          <w:iCs/>
          <w:lang w:val="es-ES"/>
        </w:rPr>
        <w:t xml:space="preserve"> </w:t>
      </w:r>
      <w:r w:rsidRPr="001B1F77">
        <w:rPr>
          <w:rFonts w:ascii="Cambria" w:hAnsi="Cambria"/>
          <w:i/>
          <w:iCs/>
          <w:lang w:val="es-ES"/>
        </w:rPr>
        <w:t xml:space="preserve">o las carteras diversificadas de acciones mantenidas directamente son, por lo tanto, una valiosa alternativa que debería ofrecerse a los inversores particulares. </w:t>
      </w:r>
      <w:r w:rsidR="000B258F">
        <w:rPr>
          <w:rFonts w:ascii="Cambria" w:hAnsi="Cambria"/>
          <w:i/>
          <w:iCs/>
          <w:lang w:val="es-ES"/>
        </w:rPr>
        <w:t>El estudio</w:t>
      </w:r>
      <w:r w:rsidRPr="001B1F77">
        <w:rPr>
          <w:rFonts w:ascii="Cambria" w:hAnsi="Cambria"/>
          <w:i/>
          <w:iCs/>
          <w:lang w:val="es-ES"/>
        </w:rPr>
        <w:t xml:space="preserve"> de BETTER FINANCE también establece firmemente el impacto negativo del nivel de las comisiones de los fondos en el exceso de rendimiento</w:t>
      </w:r>
      <w:r w:rsidRPr="001B1F77">
        <w:rPr>
          <w:rFonts w:ascii="Cambria" w:hAnsi="Cambria"/>
          <w:lang w:val="es-ES"/>
        </w:rPr>
        <w:t>".</w:t>
      </w:r>
    </w:p>
    <w:p w14:paraId="5BC62EA9" w14:textId="77777777" w:rsidR="00656449" w:rsidRPr="001B1F77" w:rsidRDefault="00656449">
      <w:pPr>
        <w:spacing w:after="80"/>
        <w:jc w:val="both"/>
        <w:rPr>
          <w:rFonts w:ascii="Cambria" w:hAnsi="Cambria"/>
          <w:lang w:val="es-ES"/>
        </w:rPr>
      </w:pPr>
    </w:p>
    <w:p w14:paraId="5BC62EAA" w14:textId="77777777" w:rsidR="00656449" w:rsidRDefault="001B1F77">
      <w:pPr>
        <w:spacing w:after="80"/>
        <w:jc w:val="center"/>
      </w:pPr>
      <w:r>
        <w:rPr>
          <w:noProof/>
          <w:lang w:val="ca-ES" w:eastAsia="ca-ES"/>
        </w:rPr>
        <w:drawing>
          <wp:inline distT="0" distB="0" distL="0" distR="0" wp14:anchorId="5BC62E5F" wp14:editId="5BC62E60">
            <wp:extent cx="5448296" cy="6278883"/>
            <wp:effectExtent l="0" t="0" r="4" b="7617"/>
            <wp:docPr id="5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296" cy="6278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C62EAB" w14:textId="77777777" w:rsidR="00656449" w:rsidRDefault="00656449">
      <w:pPr>
        <w:spacing w:after="120" w:line="240" w:lineRule="auto"/>
        <w:jc w:val="center"/>
        <w:rPr>
          <w:rFonts w:ascii="Cambria" w:hAnsi="Cambria"/>
        </w:rPr>
      </w:pPr>
    </w:p>
    <w:p w14:paraId="5BC62EAC" w14:textId="77777777" w:rsidR="00656449" w:rsidRPr="001B1F77" w:rsidRDefault="001B1F77">
      <w:pPr>
        <w:spacing w:after="120" w:line="240" w:lineRule="auto"/>
        <w:jc w:val="center"/>
        <w:rPr>
          <w:rFonts w:ascii="Cambria" w:hAnsi="Cambria"/>
          <w:lang w:val="es-ES"/>
        </w:rPr>
      </w:pPr>
      <w:r w:rsidRPr="001B1F77">
        <w:rPr>
          <w:rFonts w:ascii="Cambria" w:hAnsi="Cambria"/>
          <w:lang w:val="es-ES"/>
        </w:rPr>
        <w:t>***</w:t>
      </w:r>
    </w:p>
    <w:p w14:paraId="5BC62EAD" w14:textId="0E104D4F" w:rsidR="00656449" w:rsidRPr="001B1F77" w:rsidRDefault="001B1F77">
      <w:pPr>
        <w:pStyle w:val="BodyText"/>
        <w:spacing w:after="0" w:line="30" w:lineRule="atLeast"/>
        <w:jc w:val="center"/>
        <w:rPr>
          <w:lang w:val="es-ES"/>
        </w:rPr>
      </w:pPr>
      <w:r w:rsidRPr="001B1F77">
        <w:rPr>
          <w:rFonts w:ascii="Cambria" w:hAnsi="Cambria" w:cs="Calibri"/>
          <w:sz w:val="18"/>
          <w:szCs w:val="18"/>
          <w:u w:val="single"/>
          <w:lang w:val="es-ES"/>
        </w:rPr>
        <w:t>Contacto</w:t>
      </w:r>
      <w:r w:rsidRPr="001B1F77">
        <w:rPr>
          <w:rFonts w:ascii="Cambria" w:hAnsi="Cambria" w:cs="Calibri"/>
          <w:sz w:val="18"/>
          <w:szCs w:val="18"/>
          <w:lang w:val="es-ES"/>
        </w:rPr>
        <w:t xml:space="preserve">: </w:t>
      </w:r>
      <w:r w:rsidR="0059388D">
        <w:rPr>
          <w:rFonts w:ascii="Cambria" w:hAnsi="Cambria" w:cs="Calibri"/>
          <w:sz w:val="18"/>
          <w:szCs w:val="18"/>
          <w:lang w:val="es-ES"/>
        </w:rPr>
        <w:t>Director de Comunicación</w:t>
      </w:r>
      <w:r w:rsidRPr="001B1F77">
        <w:rPr>
          <w:rFonts w:ascii="Cambria" w:hAnsi="Cambria" w:cs="Calibri"/>
          <w:sz w:val="18"/>
          <w:szCs w:val="18"/>
          <w:lang w:val="es-ES"/>
        </w:rPr>
        <w:t xml:space="preserve"> ǀ Arnaud </w:t>
      </w:r>
      <w:proofErr w:type="spellStart"/>
      <w:r w:rsidRPr="001B1F77">
        <w:rPr>
          <w:rFonts w:ascii="Cambria" w:hAnsi="Cambria" w:cs="Calibri"/>
          <w:sz w:val="18"/>
          <w:szCs w:val="18"/>
          <w:lang w:val="es-ES"/>
        </w:rPr>
        <w:t>Houdmont</w:t>
      </w:r>
      <w:proofErr w:type="spellEnd"/>
      <w:r w:rsidRPr="001B1F77">
        <w:rPr>
          <w:rFonts w:ascii="Cambria" w:hAnsi="Cambria" w:cs="Calibri"/>
          <w:sz w:val="18"/>
          <w:szCs w:val="18"/>
          <w:lang w:val="es-ES"/>
        </w:rPr>
        <w:t xml:space="preserve"> ǀ +32 (0)2 514 37 77 ǀ </w:t>
      </w:r>
      <w:hyperlink r:id="rId10" w:history="1">
        <w:r w:rsidRPr="001B1F77">
          <w:rPr>
            <w:rStyle w:val="Hyperlink"/>
            <w:rFonts w:ascii="Cambria" w:hAnsi="Cambria" w:cs="Calibri"/>
            <w:sz w:val="18"/>
            <w:szCs w:val="18"/>
            <w:lang w:val="es-ES"/>
          </w:rPr>
          <w:t>houdmont@betterfinance.eu</w:t>
        </w:r>
      </w:hyperlink>
    </w:p>
    <w:p w14:paraId="5BC62EAE" w14:textId="1D85387E" w:rsidR="00656449" w:rsidRPr="001B1F77" w:rsidRDefault="001B1F77">
      <w:pPr>
        <w:spacing w:before="120" w:after="120" w:line="30" w:lineRule="atLeast"/>
        <w:jc w:val="center"/>
        <w:rPr>
          <w:lang w:val="es-ES"/>
        </w:rPr>
      </w:pPr>
      <w:r w:rsidRPr="001B1F77">
        <w:rPr>
          <w:rFonts w:ascii="Cambria" w:hAnsi="Cambria"/>
          <w:b/>
          <w:spacing w:val="10"/>
          <w:sz w:val="18"/>
          <w:szCs w:val="18"/>
          <w:lang w:val="es-ES"/>
        </w:rPr>
        <w:t xml:space="preserve">Si desea </w:t>
      </w:r>
      <w:r w:rsidR="0059388D">
        <w:rPr>
          <w:rFonts w:ascii="Cambria" w:hAnsi="Cambria"/>
          <w:b/>
          <w:spacing w:val="10"/>
          <w:sz w:val="18"/>
          <w:szCs w:val="18"/>
          <w:lang w:val="es-ES"/>
        </w:rPr>
        <w:t>darse de baja</w:t>
      </w:r>
      <w:r w:rsidRPr="001B1F77">
        <w:rPr>
          <w:rFonts w:ascii="Cambria" w:hAnsi="Cambria"/>
          <w:b/>
          <w:spacing w:val="10"/>
          <w:sz w:val="18"/>
          <w:szCs w:val="18"/>
          <w:lang w:val="es-ES"/>
        </w:rPr>
        <w:t xml:space="preserve"> de nuestra lista de correo, </w:t>
      </w:r>
      <w:r w:rsidR="0059388D">
        <w:rPr>
          <w:rFonts w:ascii="Cambria" w:hAnsi="Cambria"/>
          <w:b/>
          <w:spacing w:val="10"/>
          <w:sz w:val="18"/>
          <w:szCs w:val="18"/>
          <w:lang w:val="es-ES"/>
        </w:rPr>
        <w:t>rogamos</w:t>
      </w:r>
      <w:r w:rsidRPr="001B1F77">
        <w:rPr>
          <w:rFonts w:ascii="Cambria" w:hAnsi="Cambria"/>
          <w:b/>
          <w:spacing w:val="10"/>
          <w:sz w:val="18"/>
          <w:szCs w:val="18"/>
          <w:lang w:val="es-ES"/>
        </w:rPr>
        <w:t xml:space="preserve"> envíe un correo electrónico a info@betterfinance.eu.</w:t>
      </w:r>
    </w:p>
    <w:sectPr w:rsidR="00656449" w:rsidRPr="001B1F7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AE31" w14:textId="77777777" w:rsidR="004A6FC1" w:rsidRDefault="004A6FC1">
      <w:pPr>
        <w:spacing w:after="0" w:line="240" w:lineRule="auto"/>
      </w:pPr>
      <w:r>
        <w:separator/>
      </w:r>
    </w:p>
  </w:endnote>
  <w:endnote w:type="continuationSeparator" w:id="0">
    <w:p w14:paraId="03AAF15D" w14:textId="77777777" w:rsidR="004A6FC1" w:rsidRDefault="004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2E6D" w14:textId="77777777" w:rsidR="00F00754" w:rsidRDefault="009E7947">
    <w:pPr>
      <w:spacing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</w:p>
  <w:p w14:paraId="5BC62E6E" w14:textId="77777777" w:rsidR="00F00754" w:rsidRPr="001B1F77" w:rsidRDefault="001B1F77">
    <w:pPr>
      <w:spacing w:after="0" w:line="240" w:lineRule="auto"/>
      <w:ind w:left="-567"/>
      <w:jc w:val="center"/>
      <w:rPr>
        <w:b/>
        <w:color w:val="006FB4"/>
        <w:sz w:val="16"/>
        <w:szCs w:val="16"/>
        <w:lang w:val="es-ES"/>
      </w:rPr>
    </w:pPr>
    <w:r w:rsidRPr="001B1F77">
      <w:rPr>
        <w:b/>
        <w:color w:val="006FB4"/>
        <w:sz w:val="16"/>
        <w:szCs w:val="16"/>
        <w:lang w:val="es-ES"/>
      </w:rPr>
      <w:t>La Federación Europea de Inversores y Usuarios de Servicios Financieros</w:t>
    </w:r>
  </w:p>
  <w:p w14:paraId="5BC62E6F" w14:textId="77777777" w:rsidR="00F00754" w:rsidRDefault="001B1F77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Bruselas - Bélgica</w:t>
    </w:r>
  </w:p>
  <w:p w14:paraId="5BC62E70" w14:textId="77777777" w:rsidR="00F00754" w:rsidRPr="001B1F77" w:rsidRDefault="001B1F77">
    <w:pPr>
      <w:spacing w:after="0" w:line="240" w:lineRule="auto"/>
      <w:ind w:left="-567"/>
      <w:jc w:val="center"/>
      <w:rPr>
        <w:lang w:val="es-ES"/>
      </w:rPr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BC62E71" w14:textId="77777777" w:rsidR="00F00754" w:rsidRPr="001B1F77" w:rsidRDefault="009F616D">
    <w:pPr>
      <w:spacing w:after="0" w:line="240" w:lineRule="auto"/>
      <w:ind w:left="-567"/>
      <w:jc w:val="center"/>
      <w:rPr>
        <w:lang w:val="es-ES"/>
      </w:rPr>
    </w:pPr>
    <w:hyperlink r:id="rId1" w:history="1">
      <w:r w:rsidR="001B1F77">
        <w:rPr>
          <w:color w:val="006FB4"/>
          <w:sz w:val="16"/>
          <w:szCs w:val="16"/>
          <w:u w:val="single"/>
          <w:lang w:val="it-IT"/>
        </w:rPr>
        <w:t>Correo electrónico</w:t>
      </w:r>
    </w:hyperlink>
    <w:r w:rsidR="001B1F77">
      <w:rPr>
        <w:color w:val="006FB4"/>
        <w:sz w:val="16"/>
        <w:szCs w:val="16"/>
        <w:lang w:val="pt-PT"/>
      </w:rPr>
      <w:t xml:space="preserve">: info@betterfinance.eu - </w:t>
    </w:r>
    <w:bookmarkStart w:id="3" w:name="_Hlk944867"/>
    <w:r w:rsidR="001B1F77">
      <w:fldChar w:fldCharType="begin"/>
    </w:r>
    <w:r w:rsidR="001B1F77" w:rsidRPr="001B1F77">
      <w:rPr>
        <w:lang w:val="es-ES"/>
      </w:rPr>
      <w:instrText xml:space="preserve"> HYPERLINK  "http://www.eurofinuse.org" </w:instrText>
    </w:r>
    <w:r w:rsidR="001B1F77">
      <w:fldChar w:fldCharType="separate"/>
    </w:r>
    <w:r w:rsidR="001B1F77"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1B1F77">
      <w:rPr>
        <w:color w:val="006FB4"/>
        <w:sz w:val="16"/>
        <w:szCs w:val="16"/>
        <w:u w:val="single"/>
        <w:lang w:val="it-IT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2F5C" w14:textId="77777777" w:rsidR="004A6FC1" w:rsidRDefault="004A6F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609BA3" w14:textId="77777777" w:rsidR="004A6FC1" w:rsidRDefault="004A6FC1">
      <w:pPr>
        <w:spacing w:after="0" w:line="240" w:lineRule="auto"/>
      </w:pPr>
      <w:r>
        <w:continuationSeparator/>
      </w:r>
    </w:p>
  </w:footnote>
  <w:footnote w:id="1">
    <w:p w14:paraId="5BC62E63" w14:textId="06EF6E85" w:rsidR="00656449" w:rsidRPr="001B1F77" w:rsidRDefault="001B1F7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B1F77">
        <w:rPr>
          <w:rFonts w:ascii="Cambria" w:hAnsi="Cambria"/>
          <w:sz w:val="16"/>
          <w:szCs w:val="16"/>
          <w:lang w:val="es-ES"/>
        </w:rPr>
        <w:t xml:space="preserve"> Utilizamos períodos </w:t>
      </w:r>
      <w:r w:rsidR="00944540">
        <w:rPr>
          <w:rFonts w:ascii="Cambria" w:hAnsi="Cambria"/>
          <w:sz w:val="16"/>
          <w:szCs w:val="16"/>
          <w:lang w:val="es-ES"/>
        </w:rPr>
        <w:t>consecutivos</w:t>
      </w:r>
      <w:r w:rsidRPr="001B1F77">
        <w:rPr>
          <w:rFonts w:ascii="Cambria" w:hAnsi="Cambria"/>
          <w:sz w:val="16"/>
          <w:szCs w:val="16"/>
          <w:lang w:val="es-ES"/>
        </w:rPr>
        <w:t xml:space="preserve"> </w:t>
      </w:r>
      <w:r w:rsidR="000B258F">
        <w:rPr>
          <w:rFonts w:ascii="Cambria" w:hAnsi="Cambria"/>
          <w:sz w:val="16"/>
          <w:szCs w:val="16"/>
          <w:lang w:val="es-ES"/>
        </w:rPr>
        <w:t>durante</w:t>
      </w:r>
      <w:r w:rsidR="000B258F" w:rsidRPr="001B1F77">
        <w:rPr>
          <w:rFonts w:ascii="Cambria" w:hAnsi="Cambria"/>
          <w:sz w:val="16"/>
          <w:szCs w:val="16"/>
          <w:lang w:val="es-ES"/>
        </w:rPr>
        <w:t xml:space="preserve"> </w:t>
      </w:r>
      <w:r w:rsidRPr="001B1F77">
        <w:rPr>
          <w:rFonts w:ascii="Cambria" w:hAnsi="Cambria"/>
          <w:sz w:val="16"/>
          <w:szCs w:val="16"/>
          <w:lang w:val="es-ES"/>
        </w:rPr>
        <w:t>5 años</w:t>
      </w:r>
      <w:r w:rsidR="000B258F">
        <w:rPr>
          <w:rFonts w:ascii="Cambria" w:hAnsi="Cambria"/>
          <w:sz w:val="16"/>
          <w:szCs w:val="16"/>
          <w:lang w:val="es-ES"/>
        </w:rPr>
        <w:t>,</w:t>
      </w:r>
      <w:r w:rsidRPr="001B1F77">
        <w:rPr>
          <w:rFonts w:ascii="Cambria" w:hAnsi="Cambria"/>
          <w:sz w:val="16"/>
          <w:szCs w:val="16"/>
          <w:lang w:val="es-ES"/>
        </w:rPr>
        <w:t xml:space="preserve"> </w:t>
      </w:r>
      <w:r w:rsidR="00731DDD">
        <w:rPr>
          <w:rFonts w:ascii="Cambria" w:hAnsi="Cambria"/>
          <w:sz w:val="16"/>
          <w:szCs w:val="16"/>
          <w:lang w:val="es-ES"/>
        </w:rPr>
        <w:t>desde</w:t>
      </w:r>
      <w:r w:rsidRPr="001B1F77">
        <w:rPr>
          <w:rFonts w:ascii="Cambria" w:hAnsi="Cambria"/>
          <w:sz w:val="16"/>
          <w:szCs w:val="16"/>
          <w:lang w:val="es-ES"/>
        </w:rPr>
        <w:t xml:space="preserve"> el primer trimestre de 2008 </w:t>
      </w:r>
      <w:r w:rsidR="00731DDD">
        <w:rPr>
          <w:rFonts w:ascii="Cambria" w:hAnsi="Cambria"/>
          <w:sz w:val="16"/>
          <w:szCs w:val="16"/>
          <w:lang w:val="es-ES"/>
        </w:rPr>
        <w:t>hasta</w:t>
      </w:r>
      <w:r w:rsidRPr="001B1F77">
        <w:rPr>
          <w:rFonts w:ascii="Cambria" w:hAnsi="Cambria"/>
          <w:sz w:val="16"/>
          <w:szCs w:val="16"/>
          <w:lang w:val="es-ES"/>
        </w:rPr>
        <w:t xml:space="preserve"> el cuarto trimestre de 2017 </w:t>
      </w:r>
      <w:r w:rsidR="00731DDD">
        <w:rPr>
          <w:rFonts w:ascii="Cambria" w:hAnsi="Cambria"/>
          <w:sz w:val="16"/>
          <w:szCs w:val="16"/>
          <w:lang w:val="es-ES"/>
        </w:rPr>
        <w:t>con el fin de</w:t>
      </w:r>
      <w:r w:rsidR="00731DDD" w:rsidRPr="001B1F77">
        <w:rPr>
          <w:rFonts w:ascii="Cambria" w:hAnsi="Cambria"/>
          <w:sz w:val="16"/>
          <w:szCs w:val="16"/>
          <w:lang w:val="es-ES"/>
        </w:rPr>
        <w:t xml:space="preserve"> </w:t>
      </w:r>
      <w:r w:rsidRPr="001B1F77">
        <w:rPr>
          <w:rFonts w:ascii="Cambria" w:hAnsi="Cambria"/>
          <w:sz w:val="16"/>
          <w:szCs w:val="16"/>
          <w:lang w:val="es-ES"/>
        </w:rPr>
        <w:t xml:space="preserve">eliminar el sesgo </w:t>
      </w:r>
      <w:r w:rsidR="00944540">
        <w:rPr>
          <w:rFonts w:ascii="Cambria" w:hAnsi="Cambria"/>
          <w:sz w:val="16"/>
          <w:szCs w:val="16"/>
          <w:lang w:val="es-ES"/>
        </w:rPr>
        <w:t>temporal</w:t>
      </w:r>
      <w:r w:rsidRPr="001B1F77">
        <w:rPr>
          <w:rFonts w:ascii="Cambria" w:hAnsi="Cambria"/>
          <w:sz w:val="16"/>
          <w:szCs w:val="16"/>
          <w:lang w:val="es-ES"/>
        </w:rPr>
        <w:t xml:space="preserve"> del mercado.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2E69" w14:textId="77777777" w:rsidR="00F00754" w:rsidRDefault="001B1F77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5BC62E61" wp14:editId="5BC62E62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BC62E6A" w14:textId="77777777" w:rsidR="00F00754" w:rsidRDefault="009E7947">
    <w:pPr>
      <w:pStyle w:val="Header"/>
    </w:pPr>
  </w:p>
  <w:p w14:paraId="5BC62E6B" w14:textId="77777777" w:rsidR="00F00754" w:rsidRDefault="009E7947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449"/>
    <w:rsid w:val="000B258F"/>
    <w:rsid w:val="001436F5"/>
    <w:rsid w:val="001B1F77"/>
    <w:rsid w:val="004A6FC1"/>
    <w:rsid w:val="0059388D"/>
    <w:rsid w:val="00656449"/>
    <w:rsid w:val="006E3E7E"/>
    <w:rsid w:val="00731DDD"/>
    <w:rsid w:val="007F38B4"/>
    <w:rsid w:val="00944540"/>
    <w:rsid w:val="009E7947"/>
    <w:rsid w:val="009F616D"/>
    <w:rsid w:val="00A97B20"/>
    <w:rsid w:val="00CA4CA9"/>
    <w:rsid w:val="00DB160A"/>
    <w:rsid w:val="00F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62E58"/>
  <w15:docId w15:val="{5D115332-9B99-449A-8A9E-97E67D1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801F0-602E-4176-B8A2-05B218644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C95ED-0474-4E70-82DB-890FE8941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5BF1D-0B85-4D94-B142-2B154D97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Houdmont</dc:creator>
  <cp:lastModifiedBy>ISO Translation</cp:lastModifiedBy>
  <cp:revision>6</cp:revision>
  <cp:lastPrinted>2019-03-22T09:41:00Z</cp:lastPrinted>
  <dcterms:created xsi:type="dcterms:W3CDTF">2020-12-06T20:26:00Z</dcterms:created>
  <dcterms:modified xsi:type="dcterms:W3CDTF">2020-12-24T09:56:00Z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