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AF21" w14:textId="5DA8097D" w:rsidR="00C659D0" w:rsidRPr="008268A2" w:rsidRDefault="00C659D0">
      <w:pPr>
        <w:rPr>
          <w:lang w:val="es-ES"/>
        </w:rPr>
      </w:pPr>
    </w:p>
    <w:p w14:paraId="112BAF22" w14:textId="77777777" w:rsidR="00C659D0" w:rsidRPr="00054448" w:rsidRDefault="00DA46DA">
      <w:pPr>
        <w:pStyle w:val="BodyText"/>
        <w:spacing w:after="120" w:line="312" w:lineRule="auto"/>
        <w:jc w:val="both"/>
        <w:rPr>
          <w:lang w:val="es-ES"/>
        </w:rPr>
      </w:pPr>
      <w:bookmarkStart w:id="0" w:name="_Hlk4143464"/>
      <w:r w:rsidRPr="00054448">
        <w:rPr>
          <w:rStyle w:val="Strong"/>
          <w:sz w:val="18"/>
          <w:lang w:val="es-ES"/>
        </w:rPr>
        <w:t xml:space="preserve">COMUNICADO DE PRENSA </w:t>
      </w:r>
    </w:p>
    <w:p w14:paraId="112BAF23" w14:textId="107F9712" w:rsidR="00C659D0" w:rsidRPr="00054448" w:rsidRDefault="00DA46DA">
      <w:pPr>
        <w:pStyle w:val="Heading2"/>
        <w:spacing w:after="80"/>
        <w:jc w:val="both"/>
        <w:rPr>
          <w:lang w:val="es-ES"/>
        </w:rPr>
      </w:pPr>
      <w:r w:rsidRPr="00054448">
        <w:rPr>
          <w:rFonts w:eastAsia="Calibri" w:cs="Arial"/>
          <w:b/>
          <w:spacing w:val="20"/>
          <w:kern w:val="3"/>
          <w:sz w:val="30"/>
          <w:szCs w:val="30"/>
          <w:lang w:val="es-ES"/>
        </w:rPr>
        <w:t xml:space="preserve">BETTER FINANCE acoge con satisfacción las nuevas directrices europeas </w:t>
      </w:r>
      <w:r w:rsidR="00054448" w:rsidRPr="00054448">
        <w:rPr>
          <w:rFonts w:eastAsia="Calibri" w:cs="Arial"/>
          <w:b/>
          <w:spacing w:val="20"/>
          <w:kern w:val="3"/>
          <w:sz w:val="30"/>
          <w:szCs w:val="30"/>
          <w:lang w:val="es-ES"/>
        </w:rPr>
        <w:t xml:space="preserve">relativas a </w:t>
      </w:r>
      <w:r w:rsidRPr="00054448">
        <w:rPr>
          <w:rFonts w:eastAsia="Calibri" w:cs="Arial"/>
          <w:b/>
          <w:spacing w:val="20"/>
          <w:kern w:val="3"/>
          <w:sz w:val="30"/>
          <w:szCs w:val="30"/>
          <w:lang w:val="es-ES"/>
        </w:rPr>
        <w:t xml:space="preserve">las </w:t>
      </w:r>
      <w:r w:rsidR="00262769" w:rsidRPr="00054448">
        <w:rPr>
          <w:rFonts w:eastAsia="Calibri" w:cs="Arial"/>
          <w:b/>
          <w:spacing w:val="20"/>
          <w:kern w:val="3"/>
          <w:sz w:val="30"/>
          <w:szCs w:val="30"/>
          <w:lang w:val="es-ES"/>
        </w:rPr>
        <w:t xml:space="preserve">comisiones </w:t>
      </w:r>
      <w:r w:rsidR="00C12D3D" w:rsidRPr="00054448">
        <w:rPr>
          <w:rFonts w:eastAsia="Calibri" w:cs="Arial"/>
          <w:b/>
          <w:spacing w:val="20"/>
          <w:kern w:val="3"/>
          <w:sz w:val="30"/>
          <w:szCs w:val="30"/>
          <w:lang w:val="es-ES"/>
        </w:rPr>
        <w:t>sobre</w:t>
      </w:r>
      <w:r w:rsidRPr="00054448">
        <w:rPr>
          <w:rFonts w:eastAsia="Calibri" w:cs="Arial"/>
          <w:b/>
          <w:spacing w:val="20"/>
          <w:kern w:val="3"/>
          <w:sz w:val="30"/>
          <w:szCs w:val="30"/>
          <w:lang w:val="es-ES"/>
        </w:rPr>
        <w:t xml:space="preserve"> "</w:t>
      </w:r>
      <w:r w:rsidR="00C12D3D" w:rsidRPr="00054448">
        <w:rPr>
          <w:rFonts w:eastAsia="Calibri" w:cs="Arial"/>
          <w:b/>
          <w:spacing w:val="20"/>
          <w:kern w:val="3"/>
          <w:sz w:val="30"/>
          <w:szCs w:val="30"/>
          <w:lang w:val="es-ES"/>
        </w:rPr>
        <w:t>resultados</w:t>
      </w:r>
      <w:r w:rsidRPr="00054448">
        <w:rPr>
          <w:rFonts w:eastAsia="Calibri" w:cs="Arial"/>
          <w:b/>
          <w:spacing w:val="20"/>
          <w:kern w:val="3"/>
          <w:sz w:val="30"/>
          <w:szCs w:val="30"/>
          <w:lang w:val="es-ES"/>
        </w:rPr>
        <w:t xml:space="preserve">" </w:t>
      </w:r>
      <w:r w:rsidR="00AA57A5" w:rsidRPr="00054448">
        <w:rPr>
          <w:rFonts w:eastAsia="Calibri" w:cs="Arial"/>
          <w:b/>
          <w:spacing w:val="20"/>
          <w:kern w:val="3"/>
          <w:sz w:val="30"/>
          <w:szCs w:val="30"/>
          <w:lang w:val="es-ES"/>
        </w:rPr>
        <w:t xml:space="preserve">en </w:t>
      </w:r>
      <w:r w:rsidRPr="00054448">
        <w:rPr>
          <w:rFonts w:eastAsia="Calibri" w:cs="Arial"/>
          <w:b/>
          <w:spacing w:val="20"/>
          <w:kern w:val="3"/>
          <w:sz w:val="30"/>
          <w:szCs w:val="30"/>
          <w:lang w:val="es-ES"/>
        </w:rPr>
        <w:t xml:space="preserve">los fondos </w:t>
      </w:r>
    </w:p>
    <w:p w14:paraId="112BAF24" w14:textId="354D21A8" w:rsidR="00C659D0" w:rsidRPr="00054448" w:rsidRDefault="00DA46DA">
      <w:pPr>
        <w:jc w:val="both"/>
        <w:rPr>
          <w:lang w:val="es-ES"/>
        </w:rPr>
      </w:pPr>
      <w:r w:rsidRPr="00054448">
        <w:rPr>
          <w:rFonts w:ascii="Calibri Light" w:hAnsi="Calibri Light" w:cs="Calibri Light"/>
          <w:b/>
          <w:lang w:val="es-ES"/>
        </w:rPr>
        <w:t xml:space="preserve">Bruselas, 27 de abril de 2020 </w:t>
      </w:r>
      <w:bookmarkEnd w:id="0"/>
      <w:r w:rsidRPr="00054448">
        <w:rPr>
          <w:rFonts w:ascii="Calibri Light" w:hAnsi="Calibri Light" w:cs="Calibri Light"/>
          <w:lang w:val="es-ES"/>
        </w:rPr>
        <w:t xml:space="preserve">- </w:t>
      </w:r>
      <w:r w:rsidRPr="00054448">
        <w:rPr>
          <w:rFonts w:ascii="Cambria" w:hAnsi="Cambria" w:cs="Cambria"/>
          <w:lang w:val="es-ES"/>
        </w:rPr>
        <w:t xml:space="preserve">El </w:t>
      </w:r>
      <w:r w:rsidR="000F65DE" w:rsidRPr="00054448">
        <w:rPr>
          <w:rFonts w:ascii="Cambria" w:hAnsi="Cambria" w:cs="Cambria"/>
          <w:lang w:val="es-ES"/>
        </w:rPr>
        <w:t xml:space="preserve">pasado </w:t>
      </w:r>
      <w:r w:rsidRPr="00054448">
        <w:rPr>
          <w:rFonts w:ascii="Cambria" w:hAnsi="Cambria" w:cs="Cambria"/>
          <w:lang w:val="es-ES"/>
        </w:rPr>
        <w:t>3 de abril</w:t>
      </w:r>
      <w:r w:rsidR="000F65DE" w:rsidRPr="00054448">
        <w:rPr>
          <w:rFonts w:ascii="Cambria" w:hAnsi="Cambria" w:cs="Cambria"/>
          <w:lang w:val="es-ES"/>
        </w:rPr>
        <w:t>,</w:t>
      </w:r>
      <w:r w:rsidRPr="00054448">
        <w:rPr>
          <w:rFonts w:ascii="Cambria" w:hAnsi="Cambria" w:cs="Cambria"/>
          <w:lang w:val="es-ES"/>
        </w:rPr>
        <w:t xml:space="preserve"> la Autoridad Europea de Valores y Mercados (</w:t>
      </w:r>
      <w:r w:rsidR="00054448" w:rsidRPr="00054448">
        <w:rPr>
          <w:rFonts w:ascii="Cambria" w:hAnsi="Cambria" w:cs="Cambria"/>
          <w:lang w:val="es-ES"/>
        </w:rPr>
        <w:t>AEVM</w:t>
      </w:r>
      <w:r w:rsidRPr="00054448">
        <w:rPr>
          <w:rFonts w:ascii="Cambria" w:hAnsi="Cambria" w:cs="Cambria"/>
          <w:lang w:val="es-ES"/>
        </w:rPr>
        <w:t xml:space="preserve">) publicó sus directrices finales </w:t>
      </w:r>
      <w:r w:rsidR="00054448" w:rsidRPr="00054448">
        <w:rPr>
          <w:rFonts w:ascii="Cambria" w:hAnsi="Cambria" w:cs="Cambria"/>
          <w:lang w:val="es-ES"/>
        </w:rPr>
        <w:t xml:space="preserve">relativas a </w:t>
      </w:r>
      <w:r w:rsidRPr="00054448">
        <w:rPr>
          <w:rFonts w:ascii="Cambria" w:hAnsi="Cambria" w:cs="Cambria"/>
          <w:lang w:val="es-ES"/>
        </w:rPr>
        <w:t xml:space="preserve">las comisiones </w:t>
      </w:r>
      <w:r w:rsidR="00C12D3D" w:rsidRPr="00054448">
        <w:rPr>
          <w:rFonts w:ascii="Cambria" w:hAnsi="Cambria" w:cs="Cambria"/>
          <w:lang w:val="es-ES"/>
        </w:rPr>
        <w:t xml:space="preserve">sobre resultados </w:t>
      </w:r>
      <w:r w:rsidRPr="00054448">
        <w:rPr>
          <w:rFonts w:ascii="Cambria" w:hAnsi="Cambria" w:cs="Cambria"/>
          <w:lang w:val="es-ES"/>
        </w:rPr>
        <w:t xml:space="preserve">en los fondos de inversión, aplicables a los Organismos de Inversión Colectiva en Valores Mobiliarios (OICVM) y a </w:t>
      </w:r>
      <w:r w:rsidR="00262769" w:rsidRPr="00054448">
        <w:rPr>
          <w:rFonts w:ascii="Cambria" w:hAnsi="Cambria" w:cs="Cambria"/>
          <w:lang w:val="es-ES"/>
        </w:rPr>
        <w:t xml:space="preserve">determinados </w:t>
      </w:r>
      <w:r w:rsidRPr="00054448">
        <w:rPr>
          <w:rFonts w:ascii="Cambria" w:hAnsi="Cambria" w:cs="Cambria"/>
          <w:lang w:val="es-ES"/>
        </w:rPr>
        <w:t xml:space="preserve">tipos de Fondos de Inversión Alternativa (FIA). </w:t>
      </w:r>
    </w:p>
    <w:p w14:paraId="112BAF25" w14:textId="50A1AD30" w:rsidR="00C659D0" w:rsidRPr="00054448" w:rsidRDefault="00DA46DA">
      <w:pPr>
        <w:jc w:val="both"/>
        <w:rPr>
          <w:rFonts w:ascii="Cambria" w:hAnsi="Cambria" w:cs="Cambria"/>
          <w:lang w:val="es-ES"/>
        </w:rPr>
      </w:pPr>
      <w:r w:rsidRPr="00054448">
        <w:rPr>
          <w:rFonts w:ascii="Cambria" w:hAnsi="Cambria" w:cs="Cambria"/>
          <w:lang w:val="es-ES"/>
        </w:rPr>
        <w:t xml:space="preserve">Estas directrices tienen por objeto </w:t>
      </w:r>
      <w:r w:rsidR="00AA57A5" w:rsidRPr="00054448">
        <w:rPr>
          <w:rFonts w:ascii="Cambria" w:hAnsi="Cambria" w:cs="Cambria"/>
          <w:lang w:val="es-ES"/>
        </w:rPr>
        <w:t xml:space="preserve">establecer </w:t>
      </w:r>
      <w:r w:rsidRPr="00054448">
        <w:rPr>
          <w:rFonts w:ascii="Cambria" w:hAnsi="Cambria" w:cs="Cambria"/>
          <w:lang w:val="es-ES"/>
        </w:rPr>
        <w:t xml:space="preserve">normas </w:t>
      </w:r>
      <w:r w:rsidR="00AA57A5" w:rsidRPr="00054448">
        <w:rPr>
          <w:rFonts w:ascii="Cambria" w:hAnsi="Cambria" w:cs="Cambria"/>
          <w:lang w:val="es-ES"/>
        </w:rPr>
        <w:t>par</w:t>
      </w:r>
      <w:r w:rsidRPr="00054448">
        <w:rPr>
          <w:rFonts w:ascii="Cambria" w:hAnsi="Cambria" w:cs="Cambria"/>
          <w:lang w:val="es-ES"/>
        </w:rPr>
        <w:t xml:space="preserve">a los gestores de fondos </w:t>
      </w:r>
      <w:r w:rsidR="00AA57A5" w:rsidRPr="00054448">
        <w:rPr>
          <w:rFonts w:ascii="Cambria" w:hAnsi="Cambria" w:cs="Cambria"/>
          <w:lang w:val="es-ES"/>
        </w:rPr>
        <w:t>relacionadas con el cobro de</w:t>
      </w:r>
      <w:r w:rsidRPr="00054448">
        <w:rPr>
          <w:rFonts w:ascii="Cambria" w:hAnsi="Cambria" w:cs="Cambria"/>
          <w:lang w:val="es-ES"/>
        </w:rPr>
        <w:t xml:space="preserve"> comisiones </w:t>
      </w:r>
      <w:r w:rsidR="00C12D3D" w:rsidRPr="00054448">
        <w:rPr>
          <w:rFonts w:ascii="Cambria" w:hAnsi="Cambria" w:cs="Cambria"/>
          <w:lang w:val="es-ES"/>
        </w:rPr>
        <w:t>sobre resultados</w:t>
      </w:r>
      <w:r w:rsidRPr="00054448">
        <w:rPr>
          <w:rFonts w:ascii="Cambria" w:hAnsi="Cambria" w:cs="Cambria"/>
          <w:lang w:val="es-ES"/>
        </w:rPr>
        <w:t xml:space="preserve"> a los inversores </w:t>
      </w:r>
      <w:r w:rsidR="00C12D3D" w:rsidRPr="00054448">
        <w:rPr>
          <w:rFonts w:ascii="Cambria" w:hAnsi="Cambria" w:cs="Cambria"/>
          <w:lang w:val="es-ES"/>
        </w:rPr>
        <w:t>minoristas</w:t>
      </w:r>
      <w:r w:rsidRPr="00054448">
        <w:rPr>
          <w:rFonts w:ascii="Cambria" w:hAnsi="Cambria" w:cs="Cambria"/>
          <w:lang w:val="es-ES"/>
        </w:rPr>
        <w:t xml:space="preserve">, así como </w:t>
      </w:r>
      <w:r w:rsidR="00AA57A5" w:rsidRPr="00054448">
        <w:rPr>
          <w:rFonts w:ascii="Cambria" w:hAnsi="Cambria" w:cs="Cambria"/>
          <w:lang w:val="es-ES"/>
        </w:rPr>
        <w:t>con la supervisión por parte de</w:t>
      </w:r>
      <w:r w:rsidRPr="00054448">
        <w:rPr>
          <w:rFonts w:ascii="Cambria" w:hAnsi="Cambria" w:cs="Cambria"/>
          <w:lang w:val="es-ES"/>
        </w:rPr>
        <w:t xml:space="preserve"> las autoridades nacionales competentes (ANC) </w:t>
      </w:r>
      <w:r w:rsidR="00AA57A5" w:rsidRPr="00054448">
        <w:rPr>
          <w:rFonts w:ascii="Cambria" w:hAnsi="Cambria" w:cs="Cambria"/>
          <w:lang w:val="es-ES"/>
        </w:rPr>
        <w:t xml:space="preserve">de </w:t>
      </w:r>
      <w:r w:rsidRPr="00054448">
        <w:rPr>
          <w:rFonts w:ascii="Cambria" w:hAnsi="Cambria" w:cs="Cambria"/>
          <w:lang w:val="es-ES"/>
        </w:rPr>
        <w:t xml:space="preserve">los modelos de comisiones </w:t>
      </w:r>
      <w:r w:rsidR="00C12D3D" w:rsidRPr="00054448">
        <w:rPr>
          <w:rFonts w:ascii="Cambria" w:hAnsi="Cambria" w:cs="Cambria"/>
          <w:lang w:val="es-ES"/>
        </w:rPr>
        <w:t>sobre resultados</w:t>
      </w:r>
      <w:r w:rsidRPr="00054448">
        <w:rPr>
          <w:rFonts w:ascii="Cambria" w:hAnsi="Cambria" w:cs="Cambria"/>
          <w:lang w:val="es-ES"/>
        </w:rPr>
        <w:t xml:space="preserve"> y la divulgación de información en toda la Unión Europea (UE). </w:t>
      </w:r>
    </w:p>
    <w:p w14:paraId="112BAF26" w14:textId="521D1FBC" w:rsidR="00C659D0" w:rsidRPr="00054448" w:rsidRDefault="00DA46DA">
      <w:pPr>
        <w:jc w:val="both"/>
        <w:rPr>
          <w:rFonts w:ascii="Cambria" w:hAnsi="Cambria" w:cs="Cambria"/>
          <w:lang w:val="es-ES"/>
        </w:rPr>
      </w:pPr>
      <w:r w:rsidRPr="00054448">
        <w:rPr>
          <w:rFonts w:ascii="Cambria" w:hAnsi="Cambria" w:cs="Cambria"/>
          <w:lang w:val="es-ES"/>
        </w:rPr>
        <w:t xml:space="preserve">BETTER FINANCE, </w:t>
      </w:r>
      <w:r w:rsidR="00AA57A5" w:rsidRPr="00054448">
        <w:rPr>
          <w:rFonts w:ascii="Cambria" w:hAnsi="Cambria" w:cs="Cambria"/>
          <w:lang w:val="es-ES"/>
        </w:rPr>
        <w:t xml:space="preserve">en su condición de </w:t>
      </w:r>
      <w:r w:rsidRPr="00054448">
        <w:rPr>
          <w:rFonts w:ascii="Cambria" w:hAnsi="Cambria" w:cs="Cambria"/>
          <w:lang w:val="es-ES"/>
        </w:rPr>
        <w:t xml:space="preserve">representante </w:t>
      </w:r>
      <w:r w:rsidR="00FA5C24" w:rsidRPr="00054448">
        <w:rPr>
          <w:rFonts w:ascii="Cambria" w:hAnsi="Cambria" w:cs="Cambria"/>
          <w:lang w:val="es-ES"/>
        </w:rPr>
        <w:t>comprometido con</w:t>
      </w:r>
      <w:r w:rsidRPr="00054448">
        <w:rPr>
          <w:rFonts w:ascii="Cambria" w:hAnsi="Cambria" w:cs="Cambria"/>
          <w:lang w:val="es-ES"/>
        </w:rPr>
        <w:t xml:space="preserve"> los inversores individuales europeos, fue la única organización del lado del usuario que proporcionó amplia información a la </w:t>
      </w:r>
      <w:r w:rsidR="00FA5C24" w:rsidRPr="00054448">
        <w:rPr>
          <w:rFonts w:ascii="Cambria" w:hAnsi="Cambria" w:cs="Cambria"/>
          <w:lang w:val="es-ES"/>
        </w:rPr>
        <w:t xml:space="preserve">AEVM </w:t>
      </w:r>
      <w:r w:rsidRPr="00054448">
        <w:rPr>
          <w:rFonts w:ascii="Cambria" w:hAnsi="Cambria" w:cs="Cambria"/>
          <w:lang w:val="es-ES"/>
        </w:rPr>
        <w:t xml:space="preserve">sobre el asunto y se complace en ver que muchas de sus propuestas han sido </w:t>
      </w:r>
      <w:r w:rsidR="00FA5C24" w:rsidRPr="00054448">
        <w:rPr>
          <w:rFonts w:ascii="Cambria" w:hAnsi="Cambria" w:cs="Cambria"/>
          <w:lang w:val="es-ES"/>
        </w:rPr>
        <w:t>incorporadas en</w:t>
      </w:r>
      <w:r w:rsidRPr="00054448">
        <w:rPr>
          <w:rFonts w:ascii="Cambria" w:hAnsi="Cambria" w:cs="Cambria"/>
          <w:lang w:val="es-ES"/>
        </w:rPr>
        <w:t xml:space="preserve"> las Directrices: </w:t>
      </w:r>
    </w:p>
    <w:p w14:paraId="112BAF27" w14:textId="2FB7B7DE" w:rsidR="00C659D0" w:rsidRPr="00054448" w:rsidRDefault="00DA46DA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Cambria" w:hAnsi="Cambria" w:cs="Cambria"/>
          <w:lang w:val="es-ES"/>
        </w:rPr>
      </w:pPr>
      <w:r w:rsidRPr="00054448">
        <w:rPr>
          <w:rFonts w:ascii="Cambria" w:hAnsi="Cambria" w:cs="Cambria"/>
          <w:lang w:val="es-ES"/>
        </w:rPr>
        <w:t>Los gestores de OICVM/</w:t>
      </w:r>
      <w:r w:rsidR="00FA5C24" w:rsidRPr="00054448">
        <w:rPr>
          <w:rFonts w:ascii="Cambria" w:hAnsi="Cambria" w:cs="Cambria"/>
          <w:lang w:val="es-ES"/>
        </w:rPr>
        <w:t xml:space="preserve">FIA </w:t>
      </w:r>
      <w:r w:rsidRPr="00054448">
        <w:rPr>
          <w:rFonts w:ascii="Cambria" w:hAnsi="Cambria" w:cs="Cambria"/>
          <w:lang w:val="es-ES"/>
        </w:rPr>
        <w:t xml:space="preserve">sólo pueden cobrar una comisión </w:t>
      </w:r>
      <w:r w:rsidR="00C12D3D" w:rsidRPr="00054448">
        <w:rPr>
          <w:rFonts w:ascii="Cambria" w:hAnsi="Cambria" w:cs="Cambria"/>
          <w:lang w:val="es-ES"/>
        </w:rPr>
        <w:t>sobre resultados</w:t>
      </w:r>
      <w:r w:rsidRPr="00054448">
        <w:rPr>
          <w:rFonts w:ascii="Cambria" w:hAnsi="Cambria" w:cs="Cambria"/>
          <w:lang w:val="es-ES"/>
        </w:rPr>
        <w:t xml:space="preserve"> en caso de que el </w:t>
      </w:r>
      <w:r w:rsidR="00C12D3D" w:rsidRPr="00054448">
        <w:rPr>
          <w:rFonts w:ascii="Cambria" w:hAnsi="Cambria" w:cs="Cambria"/>
          <w:lang w:val="es-ES"/>
        </w:rPr>
        <w:t xml:space="preserve">resultado </w:t>
      </w:r>
      <w:r w:rsidRPr="00054448">
        <w:rPr>
          <w:rFonts w:ascii="Cambria" w:hAnsi="Cambria" w:cs="Cambria"/>
          <w:lang w:val="es-ES"/>
        </w:rPr>
        <w:t xml:space="preserve">sea superior </w:t>
      </w:r>
      <w:r w:rsidR="00D54D1F" w:rsidRPr="00054448">
        <w:rPr>
          <w:rFonts w:ascii="Cambria" w:hAnsi="Cambria" w:cs="Cambria"/>
          <w:lang w:val="es-ES"/>
        </w:rPr>
        <w:t>a</w:t>
      </w:r>
      <w:r w:rsidRPr="00054448">
        <w:rPr>
          <w:rFonts w:ascii="Cambria" w:hAnsi="Cambria" w:cs="Cambria"/>
          <w:lang w:val="es-ES"/>
        </w:rPr>
        <w:t xml:space="preserve"> su </w:t>
      </w:r>
      <w:r w:rsidR="00D54D1F" w:rsidRPr="00054448">
        <w:rPr>
          <w:rFonts w:ascii="Cambria" w:hAnsi="Cambria" w:cs="Cambria"/>
          <w:lang w:val="es-ES"/>
        </w:rPr>
        <w:t>propia</w:t>
      </w:r>
      <w:r w:rsidRPr="00054448">
        <w:rPr>
          <w:rFonts w:ascii="Cambria" w:hAnsi="Cambria" w:cs="Cambria"/>
          <w:lang w:val="es-ES"/>
        </w:rPr>
        <w:t xml:space="preserve"> referencia </w:t>
      </w:r>
      <w:r w:rsidR="00D54D1F" w:rsidRPr="00054448">
        <w:rPr>
          <w:rFonts w:ascii="Cambria" w:hAnsi="Cambria" w:cs="Cambria"/>
          <w:lang w:val="es-ES"/>
        </w:rPr>
        <w:t>declarada</w:t>
      </w:r>
      <w:r w:rsidRPr="00054448">
        <w:rPr>
          <w:rFonts w:ascii="Cambria" w:hAnsi="Cambria" w:cs="Cambria"/>
          <w:lang w:val="es-ES"/>
        </w:rPr>
        <w:t xml:space="preserve">. </w:t>
      </w:r>
    </w:p>
    <w:p w14:paraId="112BAF28" w14:textId="330A251C" w:rsidR="00C659D0" w:rsidRPr="00054448" w:rsidRDefault="00D54D1F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Cambria" w:hAnsi="Cambria" w:cs="Cambria"/>
          <w:lang w:val="es-ES"/>
        </w:rPr>
      </w:pPr>
      <w:r w:rsidRPr="00054448">
        <w:rPr>
          <w:rFonts w:ascii="Cambria" w:hAnsi="Cambria" w:cs="Cambria"/>
          <w:lang w:val="es-ES"/>
        </w:rPr>
        <w:t xml:space="preserve">Las comisiones </w:t>
      </w:r>
      <w:r w:rsidR="00C12D3D" w:rsidRPr="00054448">
        <w:rPr>
          <w:rFonts w:ascii="Cambria" w:hAnsi="Cambria" w:cs="Cambria"/>
          <w:lang w:val="es-ES"/>
        </w:rPr>
        <w:t>sobre resultados</w:t>
      </w:r>
      <w:r w:rsidR="00DA46DA" w:rsidRPr="00054448">
        <w:rPr>
          <w:rFonts w:ascii="Cambria" w:hAnsi="Cambria" w:cs="Cambria"/>
          <w:lang w:val="es-ES"/>
        </w:rPr>
        <w:t xml:space="preserve"> deben calcularse sobre la base del exceso de </w:t>
      </w:r>
      <w:r w:rsidRPr="00054448">
        <w:rPr>
          <w:rFonts w:ascii="Cambria" w:hAnsi="Cambria" w:cs="Cambria"/>
          <w:lang w:val="es-ES"/>
        </w:rPr>
        <w:t>rentabilidad</w:t>
      </w:r>
      <w:r w:rsidR="00DA46DA" w:rsidRPr="00054448">
        <w:rPr>
          <w:rFonts w:ascii="Cambria" w:hAnsi="Cambria" w:cs="Cambria"/>
          <w:lang w:val="es-ES"/>
        </w:rPr>
        <w:t xml:space="preserve">, </w:t>
      </w:r>
      <w:r w:rsidRPr="00054448">
        <w:rPr>
          <w:rFonts w:ascii="Cambria" w:hAnsi="Cambria" w:cs="Cambria"/>
          <w:lang w:val="es-ES"/>
        </w:rPr>
        <w:t>una vez deducidos</w:t>
      </w:r>
      <w:r w:rsidR="00DA46DA" w:rsidRPr="00054448">
        <w:rPr>
          <w:rFonts w:ascii="Cambria" w:hAnsi="Cambria" w:cs="Cambria"/>
          <w:lang w:val="es-ES"/>
        </w:rPr>
        <w:t xml:space="preserve"> todos los gastos, incluida la comisión </w:t>
      </w:r>
      <w:r w:rsidR="00C12D3D" w:rsidRPr="00054448">
        <w:rPr>
          <w:rFonts w:ascii="Cambria" w:hAnsi="Cambria" w:cs="Cambria"/>
          <w:lang w:val="es-ES"/>
        </w:rPr>
        <w:t>sobre resultados</w:t>
      </w:r>
      <w:r w:rsidR="00DA46DA" w:rsidRPr="00054448">
        <w:rPr>
          <w:rFonts w:ascii="Cambria" w:hAnsi="Cambria" w:cs="Cambria"/>
          <w:lang w:val="es-ES"/>
        </w:rPr>
        <w:t xml:space="preserve">. </w:t>
      </w:r>
    </w:p>
    <w:p w14:paraId="112BAF29" w14:textId="5ABA5981" w:rsidR="00C659D0" w:rsidRPr="00054448" w:rsidRDefault="00DA46DA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Cambria" w:hAnsi="Cambria" w:cs="Cambria"/>
          <w:lang w:val="es-ES"/>
        </w:rPr>
      </w:pPr>
      <w:r w:rsidRPr="00054448">
        <w:rPr>
          <w:rFonts w:ascii="Cambria" w:hAnsi="Cambria" w:cs="Cambria"/>
          <w:lang w:val="es-ES"/>
        </w:rPr>
        <w:t xml:space="preserve">Si se cobra una comisión </w:t>
      </w:r>
      <w:r w:rsidR="00006D42" w:rsidRPr="00054448">
        <w:rPr>
          <w:rFonts w:ascii="Cambria" w:hAnsi="Cambria" w:cs="Cambria"/>
          <w:lang w:val="es-ES"/>
        </w:rPr>
        <w:t>sobre resultados</w:t>
      </w:r>
      <w:r w:rsidRPr="00054448">
        <w:rPr>
          <w:rFonts w:ascii="Cambria" w:hAnsi="Cambria" w:cs="Cambria"/>
          <w:lang w:val="es-ES"/>
        </w:rPr>
        <w:t xml:space="preserve"> incluso en el caso de rendimientos negativos</w:t>
      </w:r>
      <w:r w:rsidR="00006D42" w:rsidRPr="00054448">
        <w:rPr>
          <w:rFonts w:ascii="Cambria" w:hAnsi="Cambria" w:cs="Cambria"/>
          <w:lang w:val="es-ES"/>
        </w:rPr>
        <w:t xml:space="preserve">, </w:t>
      </w:r>
      <w:r w:rsidRPr="00054448">
        <w:rPr>
          <w:rFonts w:ascii="Cambria" w:hAnsi="Cambria" w:cs="Cambria"/>
          <w:lang w:val="es-ES"/>
        </w:rPr>
        <w:t xml:space="preserve">por ejemplo, cuando el índice de referencia del fondo se sitúa en el -7% y el propio fondo lo </w:t>
      </w:r>
      <w:r w:rsidR="00006D42" w:rsidRPr="00054448">
        <w:rPr>
          <w:rFonts w:ascii="Cambria" w:hAnsi="Cambria" w:cs="Cambria"/>
          <w:lang w:val="es-ES"/>
        </w:rPr>
        <w:t xml:space="preserve">mejora </w:t>
      </w:r>
      <w:r w:rsidRPr="00054448">
        <w:rPr>
          <w:rFonts w:ascii="Cambria" w:hAnsi="Cambria" w:cs="Cambria"/>
          <w:lang w:val="es-ES"/>
        </w:rPr>
        <w:t xml:space="preserve">ligeramente </w:t>
      </w:r>
      <w:r w:rsidR="00006D42" w:rsidRPr="00054448">
        <w:rPr>
          <w:rFonts w:ascii="Cambria" w:hAnsi="Cambria" w:cs="Cambria"/>
          <w:lang w:val="es-ES"/>
        </w:rPr>
        <w:t>colocándolo en</w:t>
      </w:r>
      <w:r w:rsidRPr="00054448">
        <w:rPr>
          <w:rFonts w:ascii="Cambria" w:hAnsi="Cambria" w:cs="Cambria"/>
          <w:lang w:val="es-ES"/>
        </w:rPr>
        <w:t xml:space="preserve"> el -5%-, entonces el KIID del fondo debe incluir una advertencia prominente que indique que la comisión </w:t>
      </w:r>
      <w:r w:rsidR="00006D42" w:rsidRPr="00054448">
        <w:rPr>
          <w:rFonts w:ascii="Cambria" w:hAnsi="Cambria" w:cs="Cambria"/>
          <w:lang w:val="es-ES"/>
        </w:rPr>
        <w:t>sobre resultados</w:t>
      </w:r>
      <w:r w:rsidRPr="00054448">
        <w:rPr>
          <w:rFonts w:ascii="Cambria" w:hAnsi="Cambria" w:cs="Cambria"/>
          <w:lang w:val="es-ES"/>
        </w:rPr>
        <w:t xml:space="preserve"> no implica rendimientos positivos.</w:t>
      </w:r>
    </w:p>
    <w:p w14:paraId="112BAF2A" w14:textId="76D07E1B" w:rsidR="00C659D0" w:rsidRPr="00054448" w:rsidRDefault="00DA46DA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Cambria" w:hAnsi="Cambria" w:cs="Cambria"/>
          <w:lang w:val="es-ES"/>
        </w:rPr>
      </w:pPr>
      <w:r w:rsidRPr="00054448">
        <w:rPr>
          <w:rFonts w:ascii="Cambria" w:hAnsi="Cambria" w:cs="Cambria"/>
          <w:lang w:val="es-ES"/>
        </w:rPr>
        <w:t xml:space="preserve">Un fondo cuya clase de activos no sea la misma que la de su referencia declarada (por ejemplo, un fondo de acciones </w:t>
      </w:r>
      <w:r w:rsidR="00A3398A" w:rsidRPr="00054448">
        <w:rPr>
          <w:rFonts w:ascii="Cambria" w:hAnsi="Cambria" w:cs="Cambria"/>
          <w:lang w:val="es-ES"/>
        </w:rPr>
        <w:t>comparado con</w:t>
      </w:r>
      <w:r w:rsidRPr="00054448">
        <w:rPr>
          <w:rFonts w:ascii="Cambria" w:hAnsi="Cambria" w:cs="Cambria"/>
          <w:lang w:val="es-ES"/>
        </w:rPr>
        <w:t xml:space="preserve"> un índice del mercado monetario) no está autorizado a cobrar una comisión </w:t>
      </w:r>
      <w:r w:rsidR="00A3398A" w:rsidRPr="00054448">
        <w:rPr>
          <w:rFonts w:ascii="Cambria" w:hAnsi="Cambria" w:cs="Cambria"/>
          <w:lang w:val="es-ES"/>
        </w:rPr>
        <w:t>sobre resultados</w:t>
      </w:r>
      <w:r w:rsidRPr="00054448">
        <w:rPr>
          <w:rFonts w:ascii="Cambria" w:hAnsi="Cambria" w:cs="Cambria"/>
          <w:lang w:val="es-ES"/>
        </w:rPr>
        <w:t xml:space="preserve">. </w:t>
      </w:r>
    </w:p>
    <w:p w14:paraId="112BAF2B" w14:textId="31778690" w:rsidR="00C659D0" w:rsidRPr="00054448" w:rsidRDefault="00DA46DA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Cambria" w:hAnsi="Cambria" w:cs="Cambria"/>
          <w:lang w:val="es-ES"/>
        </w:rPr>
      </w:pPr>
      <w:r w:rsidRPr="00054448">
        <w:rPr>
          <w:rFonts w:ascii="Cambria" w:hAnsi="Cambria" w:cs="Cambria"/>
          <w:lang w:val="es-ES"/>
        </w:rPr>
        <w:t xml:space="preserve">Estas directrices se extenderán a los FIA comercializados </w:t>
      </w:r>
      <w:r w:rsidR="00A3398A" w:rsidRPr="00054448">
        <w:rPr>
          <w:rFonts w:ascii="Cambria" w:hAnsi="Cambria" w:cs="Cambria"/>
          <w:lang w:val="es-ES"/>
        </w:rPr>
        <w:t xml:space="preserve">entre </w:t>
      </w:r>
      <w:r w:rsidRPr="00054448">
        <w:rPr>
          <w:rFonts w:ascii="Cambria" w:hAnsi="Cambria" w:cs="Cambria"/>
          <w:lang w:val="es-ES"/>
        </w:rPr>
        <w:t xml:space="preserve">inversores individuales. </w:t>
      </w:r>
    </w:p>
    <w:p w14:paraId="112BAF2C" w14:textId="7FAE6F6C" w:rsidR="00C659D0" w:rsidRPr="00054448" w:rsidRDefault="00DA46DA">
      <w:pPr>
        <w:jc w:val="both"/>
        <w:rPr>
          <w:rFonts w:ascii="Cambria" w:hAnsi="Cambria" w:cs="Cambria"/>
          <w:lang w:val="es-ES"/>
        </w:rPr>
      </w:pPr>
      <w:r w:rsidRPr="00054448">
        <w:rPr>
          <w:rFonts w:ascii="Cambria" w:hAnsi="Cambria" w:cs="Cambria"/>
          <w:lang w:val="es-ES"/>
        </w:rPr>
        <w:t xml:space="preserve">Un aspecto fundamental que </w:t>
      </w:r>
      <w:r w:rsidR="00A3398A" w:rsidRPr="00054448">
        <w:rPr>
          <w:rFonts w:ascii="Cambria" w:hAnsi="Cambria" w:cs="Cambria"/>
          <w:lang w:val="es-ES"/>
        </w:rPr>
        <w:t>cabe tener</w:t>
      </w:r>
      <w:r w:rsidRPr="00054448">
        <w:rPr>
          <w:rFonts w:ascii="Cambria" w:hAnsi="Cambria" w:cs="Cambria"/>
          <w:lang w:val="es-ES"/>
        </w:rPr>
        <w:t xml:space="preserve"> en cuenta en las directrices es el del modelo de la "Marca de agua" (HWM) utilizado para garantizar que no se pague una comisión </w:t>
      </w:r>
      <w:r w:rsidR="000F5E76" w:rsidRPr="00054448">
        <w:rPr>
          <w:rFonts w:ascii="Cambria" w:hAnsi="Cambria" w:cs="Cambria"/>
          <w:lang w:val="es-ES"/>
        </w:rPr>
        <w:t>sobre resultados</w:t>
      </w:r>
      <w:r w:rsidRPr="00054448">
        <w:rPr>
          <w:rFonts w:ascii="Cambria" w:hAnsi="Cambria" w:cs="Cambria"/>
          <w:lang w:val="es-ES"/>
        </w:rPr>
        <w:t xml:space="preserve"> en caso de disminución del valor </w:t>
      </w:r>
      <w:r w:rsidR="000F5E76" w:rsidRPr="00054448">
        <w:rPr>
          <w:rFonts w:ascii="Cambria" w:hAnsi="Cambria" w:cs="Cambria"/>
          <w:lang w:val="es-ES"/>
        </w:rPr>
        <w:t>neto de los activos</w:t>
      </w:r>
      <w:r w:rsidRPr="00054448">
        <w:rPr>
          <w:rFonts w:ascii="Cambria" w:hAnsi="Cambria" w:cs="Cambria"/>
          <w:lang w:val="es-ES"/>
        </w:rPr>
        <w:t xml:space="preserve"> de un fondo y que no se pague dos veces una comisión </w:t>
      </w:r>
      <w:r w:rsidR="000F5E76" w:rsidRPr="00054448">
        <w:rPr>
          <w:rFonts w:ascii="Cambria" w:hAnsi="Cambria" w:cs="Cambria"/>
          <w:lang w:val="es-ES"/>
        </w:rPr>
        <w:t xml:space="preserve">sobre resultados </w:t>
      </w:r>
      <w:r w:rsidRPr="00054448">
        <w:rPr>
          <w:rFonts w:ascii="Cambria" w:hAnsi="Cambria" w:cs="Cambria"/>
          <w:lang w:val="es-ES"/>
        </w:rPr>
        <w:t xml:space="preserve"> por el mismo </w:t>
      </w:r>
      <w:r w:rsidR="00105F96" w:rsidRPr="00054448">
        <w:rPr>
          <w:rFonts w:ascii="Cambria" w:hAnsi="Cambria" w:cs="Cambria"/>
          <w:lang w:val="es-ES"/>
        </w:rPr>
        <w:t>rendimiento</w:t>
      </w:r>
      <w:r w:rsidRPr="00054448">
        <w:rPr>
          <w:rFonts w:ascii="Cambria" w:hAnsi="Cambria" w:cs="Cambria"/>
          <w:lang w:val="es-ES"/>
        </w:rPr>
        <w:t xml:space="preserve">. Básicamente, si el valor </w:t>
      </w:r>
      <w:r w:rsidR="000F5E76" w:rsidRPr="00054448">
        <w:rPr>
          <w:rFonts w:ascii="Cambria" w:hAnsi="Cambria" w:cs="Cambria"/>
          <w:lang w:val="es-ES"/>
        </w:rPr>
        <w:t>neto de los activos</w:t>
      </w:r>
      <w:r w:rsidRPr="00054448">
        <w:rPr>
          <w:rFonts w:ascii="Cambria" w:hAnsi="Cambria" w:cs="Cambria"/>
          <w:lang w:val="es-ES"/>
        </w:rPr>
        <w:t xml:space="preserve"> de un fondo disminuye durante un año, no se debe</w:t>
      </w:r>
      <w:r w:rsidR="000F5E76" w:rsidRPr="00054448">
        <w:rPr>
          <w:rFonts w:ascii="Cambria" w:hAnsi="Cambria" w:cs="Cambria"/>
          <w:lang w:val="es-ES"/>
        </w:rPr>
        <w:t>ría</w:t>
      </w:r>
      <w:r w:rsidRPr="00054448">
        <w:rPr>
          <w:rFonts w:ascii="Cambria" w:hAnsi="Cambria" w:cs="Cambria"/>
          <w:lang w:val="es-ES"/>
        </w:rPr>
        <w:t xml:space="preserve"> pagar ninguna comisión </w:t>
      </w:r>
      <w:r w:rsidR="000F5E76" w:rsidRPr="00054448">
        <w:rPr>
          <w:rFonts w:ascii="Cambria" w:hAnsi="Cambria" w:cs="Cambria"/>
          <w:lang w:val="es-ES"/>
        </w:rPr>
        <w:t>sobre resultados</w:t>
      </w:r>
      <w:r w:rsidRPr="00054448">
        <w:rPr>
          <w:rFonts w:ascii="Cambria" w:hAnsi="Cambria" w:cs="Cambria"/>
          <w:lang w:val="es-ES"/>
        </w:rPr>
        <w:t xml:space="preserve"> al gestor de inversiones, ni tampoco ninguna comisión </w:t>
      </w:r>
      <w:r w:rsidR="000F5E76" w:rsidRPr="00054448">
        <w:rPr>
          <w:rFonts w:ascii="Cambria" w:hAnsi="Cambria" w:cs="Cambria"/>
          <w:lang w:val="es-ES"/>
        </w:rPr>
        <w:t>sobre resultados</w:t>
      </w:r>
      <w:r w:rsidRPr="00054448">
        <w:rPr>
          <w:rFonts w:ascii="Cambria" w:hAnsi="Cambria" w:cs="Cambria"/>
          <w:lang w:val="es-ES"/>
        </w:rPr>
        <w:t xml:space="preserve"> por el </w:t>
      </w:r>
      <w:r w:rsidR="000F5E76" w:rsidRPr="00054448">
        <w:rPr>
          <w:rFonts w:ascii="Cambria" w:hAnsi="Cambria" w:cs="Cambria"/>
          <w:lang w:val="es-ES"/>
        </w:rPr>
        <w:t xml:space="preserve">posterior </w:t>
      </w:r>
      <w:r w:rsidRPr="00054448">
        <w:rPr>
          <w:rFonts w:ascii="Cambria" w:hAnsi="Cambria" w:cs="Cambria"/>
          <w:lang w:val="es-ES"/>
        </w:rPr>
        <w:t xml:space="preserve">aumento hasta la HWM (pero no superior), ya que el inversor no habría obtenido todavía ningún rendimiento de su inversión. Por este motivo, un fondo sólo debería cobrar una comisión </w:t>
      </w:r>
      <w:r w:rsidR="000F5E76" w:rsidRPr="00054448">
        <w:rPr>
          <w:rFonts w:ascii="Cambria" w:hAnsi="Cambria" w:cs="Cambria"/>
          <w:lang w:val="es-ES"/>
        </w:rPr>
        <w:t xml:space="preserve">sobre resultados </w:t>
      </w:r>
      <w:r w:rsidRPr="00054448">
        <w:rPr>
          <w:rFonts w:ascii="Cambria" w:hAnsi="Cambria" w:cs="Cambria"/>
          <w:lang w:val="es-ES"/>
        </w:rPr>
        <w:t xml:space="preserve"> </w:t>
      </w:r>
      <w:r w:rsidR="00054448" w:rsidRPr="00054448">
        <w:rPr>
          <w:rFonts w:ascii="Cambria" w:hAnsi="Cambria" w:cs="Cambria"/>
          <w:lang w:val="es-ES"/>
        </w:rPr>
        <w:t xml:space="preserve">en caso de </w:t>
      </w:r>
      <w:r w:rsidRPr="00054448">
        <w:rPr>
          <w:rFonts w:ascii="Cambria" w:hAnsi="Cambria" w:cs="Cambria"/>
          <w:lang w:val="es-ES"/>
        </w:rPr>
        <w:t xml:space="preserve">un aumento del valor </w:t>
      </w:r>
      <w:r w:rsidR="000F5E76" w:rsidRPr="00054448">
        <w:rPr>
          <w:rFonts w:ascii="Cambria" w:hAnsi="Cambria" w:cs="Cambria"/>
          <w:lang w:val="es-ES"/>
        </w:rPr>
        <w:t>neto de los activos</w:t>
      </w:r>
      <w:r w:rsidRPr="00054448">
        <w:rPr>
          <w:rFonts w:ascii="Cambria" w:hAnsi="Cambria" w:cs="Cambria"/>
          <w:lang w:val="es-ES"/>
        </w:rPr>
        <w:t xml:space="preserve"> </w:t>
      </w:r>
      <w:r w:rsidR="000F5E76" w:rsidRPr="00054448">
        <w:rPr>
          <w:rFonts w:ascii="Cambria" w:hAnsi="Cambria" w:cs="Cambria"/>
          <w:lang w:val="es-ES"/>
        </w:rPr>
        <w:t>por encima de la</w:t>
      </w:r>
      <w:r w:rsidRPr="00054448">
        <w:rPr>
          <w:rFonts w:ascii="Cambria" w:hAnsi="Cambria" w:cs="Cambria"/>
          <w:lang w:val="es-ES"/>
        </w:rPr>
        <w:t xml:space="preserve"> HWM. </w:t>
      </w:r>
    </w:p>
    <w:p w14:paraId="112BAF2D" w14:textId="61F56D74" w:rsidR="00C659D0" w:rsidRPr="00054448" w:rsidRDefault="00DA46DA">
      <w:pPr>
        <w:jc w:val="both"/>
        <w:rPr>
          <w:lang w:val="es-ES"/>
        </w:rPr>
      </w:pPr>
      <w:r w:rsidRPr="00054448">
        <w:rPr>
          <w:rFonts w:ascii="Cambria" w:hAnsi="Cambria" w:cs="Cambria"/>
          <w:lang w:val="es-ES"/>
        </w:rPr>
        <w:lastRenderedPageBreak/>
        <w:t xml:space="preserve">A este respecto, BETTER FINANCE </w:t>
      </w:r>
      <w:r w:rsidR="000F5E76" w:rsidRPr="00054448">
        <w:rPr>
          <w:rFonts w:ascii="Cambria" w:hAnsi="Cambria" w:cs="Cambria"/>
          <w:lang w:val="es-ES"/>
        </w:rPr>
        <w:t>celebra</w:t>
      </w:r>
      <w:r w:rsidRPr="00054448">
        <w:rPr>
          <w:rFonts w:ascii="Cambria" w:hAnsi="Cambria" w:cs="Cambria"/>
          <w:lang w:val="es-ES"/>
        </w:rPr>
        <w:t xml:space="preserve"> la decisión de la AEVM de "</w:t>
      </w:r>
      <w:r w:rsidRPr="00054448">
        <w:rPr>
          <w:rFonts w:ascii="Cambria" w:hAnsi="Cambria" w:cs="Cambria"/>
          <w:i/>
          <w:iCs/>
          <w:lang w:val="es-ES"/>
        </w:rPr>
        <w:t xml:space="preserve">recomendar que el período de referencia de rendimiento para el modelo HWM, cuando éste sea </w:t>
      </w:r>
      <w:r w:rsidR="00105F96" w:rsidRPr="00054448">
        <w:rPr>
          <w:rFonts w:ascii="Cambria" w:hAnsi="Cambria" w:cs="Cambria"/>
          <w:i/>
          <w:iCs/>
          <w:lang w:val="es-ES"/>
        </w:rPr>
        <w:t>inferior a la totalidad de</w:t>
      </w:r>
      <w:r w:rsidRPr="00054448">
        <w:rPr>
          <w:rFonts w:ascii="Cambria" w:hAnsi="Cambria" w:cs="Cambria"/>
          <w:i/>
          <w:iCs/>
          <w:lang w:val="es-ES"/>
        </w:rPr>
        <w:t xml:space="preserve"> la vida del fondo, </w:t>
      </w:r>
      <w:r w:rsidR="00105F96" w:rsidRPr="00054448">
        <w:rPr>
          <w:rFonts w:ascii="Cambria" w:hAnsi="Cambria" w:cs="Cambria"/>
          <w:i/>
          <w:iCs/>
          <w:lang w:val="es-ES"/>
        </w:rPr>
        <w:t>debería establecerse</w:t>
      </w:r>
      <w:r w:rsidRPr="00054448">
        <w:rPr>
          <w:rFonts w:ascii="Cambria" w:hAnsi="Cambria" w:cs="Cambria"/>
          <w:i/>
          <w:iCs/>
          <w:lang w:val="es-ES"/>
        </w:rPr>
        <w:t xml:space="preserve"> en un mínimo de 5 años</w:t>
      </w:r>
      <w:r w:rsidRPr="00054448">
        <w:rPr>
          <w:rFonts w:ascii="Cambria" w:hAnsi="Cambria" w:cs="Cambria"/>
          <w:lang w:val="es-ES"/>
        </w:rPr>
        <w:t xml:space="preserve">". La </w:t>
      </w:r>
      <w:r w:rsidR="00105F96" w:rsidRPr="00054448">
        <w:rPr>
          <w:rFonts w:ascii="Cambria" w:hAnsi="Cambria" w:cs="Cambria"/>
          <w:lang w:val="es-ES"/>
        </w:rPr>
        <w:t xml:space="preserve">AEVM </w:t>
      </w:r>
      <w:r w:rsidRPr="00054448">
        <w:rPr>
          <w:rFonts w:ascii="Cambria" w:hAnsi="Cambria" w:cs="Cambria"/>
          <w:lang w:val="es-ES"/>
        </w:rPr>
        <w:t>añadió que "</w:t>
      </w:r>
      <w:r w:rsidRPr="00054448">
        <w:rPr>
          <w:rFonts w:ascii="Cambria" w:hAnsi="Cambria" w:cs="Cambria"/>
          <w:i/>
          <w:iCs/>
          <w:lang w:val="es-ES"/>
        </w:rPr>
        <w:t>el modelo HWM debe</w:t>
      </w:r>
      <w:r w:rsidR="00105F96" w:rsidRPr="00054448">
        <w:rPr>
          <w:rFonts w:ascii="Cambria" w:hAnsi="Cambria" w:cs="Cambria"/>
          <w:i/>
          <w:iCs/>
          <w:lang w:val="es-ES"/>
        </w:rPr>
        <w:t>ría</w:t>
      </w:r>
      <w:r w:rsidRPr="00054448">
        <w:rPr>
          <w:rFonts w:ascii="Cambria" w:hAnsi="Cambria" w:cs="Cambria"/>
          <w:i/>
          <w:iCs/>
          <w:lang w:val="es-ES"/>
        </w:rPr>
        <w:t xml:space="preserve"> </w:t>
      </w:r>
      <w:r w:rsidR="00105F96" w:rsidRPr="00054448">
        <w:rPr>
          <w:rFonts w:ascii="Cambria" w:hAnsi="Cambria" w:cs="Cambria"/>
          <w:i/>
          <w:iCs/>
          <w:lang w:val="es-ES"/>
        </w:rPr>
        <w:t>equivaler a la totalidad de</w:t>
      </w:r>
      <w:r w:rsidRPr="00054448">
        <w:rPr>
          <w:rFonts w:ascii="Cambria" w:hAnsi="Cambria" w:cs="Cambria"/>
          <w:i/>
          <w:iCs/>
          <w:lang w:val="es-ES"/>
        </w:rPr>
        <w:t xml:space="preserve"> la vida del fondo o a un mínimo de 5 años, a fin de garantizar una protección adecuada de los inversores minoristas". De esta manera se evitaría la posibilidad de pagar dos o más veces comisiones </w:t>
      </w:r>
      <w:r w:rsidR="00105F96" w:rsidRPr="00054448">
        <w:rPr>
          <w:rFonts w:ascii="Cambria" w:hAnsi="Cambria" w:cs="Cambria"/>
          <w:i/>
          <w:iCs/>
          <w:lang w:val="es-ES"/>
        </w:rPr>
        <w:t>sobre resultados</w:t>
      </w:r>
      <w:r w:rsidRPr="00054448">
        <w:rPr>
          <w:rFonts w:ascii="Cambria" w:hAnsi="Cambria" w:cs="Cambria"/>
          <w:i/>
          <w:iCs/>
          <w:lang w:val="es-ES"/>
        </w:rPr>
        <w:t xml:space="preserve"> </w:t>
      </w:r>
      <w:r w:rsidR="00105F96" w:rsidRPr="00054448">
        <w:rPr>
          <w:rFonts w:ascii="Cambria" w:hAnsi="Cambria" w:cs="Cambria"/>
          <w:i/>
          <w:iCs/>
          <w:lang w:val="es-ES"/>
        </w:rPr>
        <w:t xml:space="preserve">por </w:t>
      </w:r>
      <w:r w:rsidRPr="00054448">
        <w:rPr>
          <w:rFonts w:ascii="Cambria" w:hAnsi="Cambria" w:cs="Cambria"/>
          <w:i/>
          <w:iCs/>
          <w:lang w:val="es-ES"/>
        </w:rPr>
        <w:t xml:space="preserve">el mismo nivel de rendimiento, de acuerdo con la </w:t>
      </w:r>
      <w:r w:rsidR="00105F96" w:rsidRPr="00054448">
        <w:rPr>
          <w:rFonts w:ascii="Cambria" w:hAnsi="Cambria" w:cs="Cambria"/>
          <w:i/>
          <w:iCs/>
          <w:lang w:val="es-ES"/>
        </w:rPr>
        <w:t xml:space="preserve">opinión </w:t>
      </w:r>
      <w:r w:rsidRPr="00054448">
        <w:rPr>
          <w:rFonts w:ascii="Cambria" w:hAnsi="Cambria" w:cs="Cambria"/>
          <w:i/>
          <w:iCs/>
          <w:lang w:val="es-ES"/>
        </w:rPr>
        <w:t>recibida de los representantes de los consumidores</w:t>
      </w:r>
      <w:r w:rsidRPr="00054448">
        <w:rPr>
          <w:rFonts w:ascii="Cambria" w:hAnsi="Cambria" w:cs="Cambria"/>
          <w:lang w:val="es-ES"/>
        </w:rPr>
        <w:t>".</w:t>
      </w:r>
    </w:p>
    <w:p w14:paraId="112BAF2E" w14:textId="4393BA50" w:rsidR="00C659D0" w:rsidRPr="00054448" w:rsidRDefault="00DA46DA">
      <w:pPr>
        <w:jc w:val="both"/>
        <w:rPr>
          <w:rFonts w:ascii="Cambria" w:hAnsi="Cambria" w:cs="Cambria"/>
          <w:lang w:val="es-ES"/>
        </w:rPr>
      </w:pPr>
      <w:r w:rsidRPr="00054448">
        <w:rPr>
          <w:rFonts w:ascii="Cambria" w:hAnsi="Cambria" w:cs="Cambria"/>
          <w:lang w:val="es-ES"/>
        </w:rPr>
        <w:t xml:space="preserve">Sin embargo, la AEVM no siguió las propuestas de </w:t>
      </w:r>
      <w:r w:rsidR="00105F96" w:rsidRPr="00054448">
        <w:rPr>
          <w:rFonts w:ascii="Cambria" w:hAnsi="Cambria" w:cs="Cambria"/>
          <w:lang w:val="es-ES"/>
        </w:rPr>
        <w:t>BETTER FINANCE</w:t>
      </w:r>
      <w:r w:rsidRPr="00054448">
        <w:rPr>
          <w:rFonts w:ascii="Cambria" w:hAnsi="Cambria" w:cs="Cambria"/>
          <w:lang w:val="es-ES"/>
        </w:rPr>
        <w:t xml:space="preserve"> en todos los aspectos y decidió no prohibir las comisiones </w:t>
      </w:r>
      <w:r w:rsidR="00105F96" w:rsidRPr="00054448">
        <w:rPr>
          <w:rFonts w:ascii="Cambria" w:hAnsi="Cambria" w:cs="Cambria"/>
          <w:lang w:val="es-ES"/>
        </w:rPr>
        <w:t>sobre resultados</w:t>
      </w:r>
      <w:r w:rsidRPr="00054448">
        <w:rPr>
          <w:rFonts w:ascii="Cambria" w:hAnsi="Cambria" w:cs="Cambria"/>
          <w:lang w:val="es-ES"/>
        </w:rPr>
        <w:t xml:space="preserve"> cuando los objetivos de inversión (como en el caso del fondo </w:t>
      </w:r>
      <w:r w:rsidR="00105F96" w:rsidRPr="00054448">
        <w:rPr>
          <w:rFonts w:ascii="Cambria" w:hAnsi="Cambria" w:cs="Cambria"/>
          <w:lang w:val="es-ES"/>
        </w:rPr>
        <w:t xml:space="preserve">basado en el </w:t>
      </w:r>
      <w:r w:rsidRPr="00054448">
        <w:rPr>
          <w:rFonts w:ascii="Cambria" w:hAnsi="Cambria" w:cs="Cambria"/>
          <w:lang w:val="es-ES"/>
        </w:rPr>
        <w:t xml:space="preserve">seguimiento de </w:t>
      </w:r>
      <w:r w:rsidR="00105F96" w:rsidRPr="00054448">
        <w:rPr>
          <w:rFonts w:ascii="Cambria" w:hAnsi="Cambria" w:cs="Cambria"/>
          <w:lang w:val="es-ES"/>
        </w:rPr>
        <w:t xml:space="preserve">los </w:t>
      </w:r>
      <w:r w:rsidRPr="00054448">
        <w:rPr>
          <w:rFonts w:ascii="Cambria" w:hAnsi="Cambria" w:cs="Cambria"/>
          <w:lang w:val="es-ES"/>
        </w:rPr>
        <w:t xml:space="preserve">índices) sean incompatibles con el concepto de una comisión </w:t>
      </w:r>
      <w:r w:rsidR="00105F96" w:rsidRPr="00054448">
        <w:rPr>
          <w:rFonts w:ascii="Cambria" w:hAnsi="Cambria" w:cs="Cambria"/>
          <w:lang w:val="es-ES"/>
        </w:rPr>
        <w:t>sobre</w:t>
      </w:r>
      <w:r w:rsidR="00054448" w:rsidRPr="00054448">
        <w:rPr>
          <w:rFonts w:ascii="Cambria" w:hAnsi="Cambria" w:cs="Cambria"/>
          <w:lang w:val="es-ES"/>
        </w:rPr>
        <w:t xml:space="preserve"> los</w:t>
      </w:r>
      <w:r w:rsidR="00105F96" w:rsidRPr="00054448">
        <w:rPr>
          <w:rFonts w:ascii="Cambria" w:hAnsi="Cambria" w:cs="Cambria"/>
          <w:lang w:val="es-ES"/>
        </w:rPr>
        <w:t xml:space="preserve"> resultados</w:t>
      </w:r>
      <w:r w:rsidRPr="00054448">
        <w:rPr>
          <w:rFonts w:ascii="Cambria" w:hAnsi="Cambria" w:cs="Cambria"/>
          <w:lang w:val="es-ES"/>
        </w:rPr>
        <w:t>.</w:t>
      </w:r>
    </w:p>
    <w:p w14:paraId="112BAF2F" w14:textId="1F74F8A6" w:rsidR="00C659D0" w:rsidRPr="00054448" w:rsidRDefault="00DA46DA">
      <w:pPr>
        <w:jc w:val="both"/>
        <w:rPr>
          <w:lang w:val="es-ES"/>
        </w:rPr>
      </w:pPr>
      <w:r w:rsidRPr="00054448">
        <w:rPr>
          <w:rFonts w:ascii="Cambria" w:hAnsi="Cambria" w:cs="Cambria"/>
          <w:lang w:val="es-ES"/>
        </w:rPr>
        <w:t xml:space="preserve">La AEVM tampoco siguió el principio de </w:t>
      </w:r>
      <w:r w:rsidR="00105F96" w:rsidRPr="00054448">
        <w:rPr>
          <w:rFonts w:ascii="Cambria" w:hAnsi="Cambria" w:cs="Cambria"/>
          <w:lang w:val="es-ES"/>
        </w:rPr>
        <w:t>BETTER FINANCE</w:t>
      </w:r>
      <w:r w:rsidRPr="00054448">
        <w:rPr>
          <w:rFonts w:ascii="Cambria" w:hAnsi="Cambria" w:cs="Cambria"/>
          <w:lang w:val="es-ES"/>
        </w:rPr>
        <w:t xml:space="preserve">, que obliga a los gestores de OICVM que cobran comisiones </w:t>
      </w:r>
      <w:r w:rsidR="00105F96" w:rsidRPr="00054448">
        <w:rPr>
          <w:rFonts w:ascii="Cambria" w:hAnsi="Cambria" w:cs="Cambria"/>
          <w:lang w:val="es-ES"/>
        </w:rPr>
        <w:t>sobre resultados</w:t>
      </w:r>
      <w:r w:rsidRPr="00054448">
        <w:rPr>
          <w:rFonts w:ascii="Cambria" w:hAnsi="Cambria" w:cs="Cambria"/>
          <w:lang w:val="es-ES"/>
        </w:rPr>
        <w:t xml:space="preserve"> </w:t>
      </w:r>
      <w:r w:rsidRPr="00054448">
        <w:rPr>
          <w:rFonts w:ascii="Cambria" w:hAnsi="Cambria" w:cs="Cambria"/>
          <w:u w:val="single"/>
          <w:lang w:val="es-ES"/>
        </w:rPr>
        <w:t xml:space="preserve">cuando </w:t>
      </w:r>
      <w:r w:rsidR="00105F96" w:rsidRPr="00054448">
        <w:rPr>
          <w:rFonts w:ascii="Cambria" w:hAnsi="Cambria" w:cs="Cambria"/>
          <w:u w:val="single"/>
          <w:lang w:val="es-ES"/>
        </w:rPr>
        <w:t>ob</w:t>
      </w:r>
      <w:r w:rsidRPr="00054448">
        <w:rPr>
          <w:rFonts w:ascii="Cambria" w:hAnsi="Cambria" w:cs="Cambria"/>
          <w:u w:val="single"/>
          <w:lang w:val="es-ES"/>
        </w:rPr>
        <w:t xml:space="preserve">tienen un rendimiento </w:t>
      </w:r>
      <w:r w:rsidR="00105F96" w:rsidRPr="00054448">
        <w:rPr>
          <w:rFonts w:ascii="Cambria" w:hAnsi="Cambria" w:cs="Cambria"/>
          <w:u w:val="single"/>
          <w:lang w:val="es-ES"/>
        </w:rPr>
        <w:t>superior</w:t>
      </w:r>
      <w:r w:rsidRPr="00054448">
        <w:rPr>
          <w:rFonts w:ascii="Cambria" w:hAnsi="Cambria" w:cs="Cambria"/>
          <w:lang w:val="es-ES"/>
        </w:rPr>
        <w:t xml:space="preserve">, a reducir su comisión </w:t>
      </w:r>
      <w:r w:rsidR="00105F96" w:rsidRPr="00054448">
        <w:rPr>
          <w:rFonts w:ascii="Cambria" w:hAnsi="Cambria" w:cs="Cambria"/>
          <w:lang w:val="es-ES"/>
        </w:rPr>
        <w:t>sobre resultados</w:t>
      </w:r>
      <w:r w:rsidRPr="00054448">
        <w:rPr>
          <w:rFonts w:ascii="Cambria" w:hAnsi="Cambria" w:cs="Cambria"/>
          <w:lang w:val="es-ES"/>
        </w:rPr>
        <w:t xml:space="preserve"> </w:t>
      </w:r>
      <w:r w:rsidRPr="00054448">
        <w:rPr>
          <w:rFonts w:ascii="Cambria" w:hAnsi="Cambria" w:cs="Cambria"/>
          <w:u w:val="single"/>
          <w:lang w:val="es-ES"/>
        </w:rPr>
        <w:t xml:space="preserve">cuando </w:t>
      </w:r>
      <w:r w:rsidR="00105F96" w:rsidRPr="00054448">
        <w:rPr>
          <w:rFonts w:ascii="Cambria" w:hAnsi="Cambria" w:cs="Cambria"/>
          <w:u w:val="single"/>
          <w:lang w:val="es-ES"/>
        </w:rPr>
        <w:t>ob</w:t>
      </w:r>
      <w:r w:rsidRPr="00054448">
        <w:rPr>
          <w:rFonts w:ascii="Cambria" w:hAnsi="Cambria" w:cs="Cambria"/>
          <w:u w:val="single"/>
          <w:lang w:val="es-ES"/>
        </w:rPr>
        <w:t>tienen un rendimiento inferior</w:t>
      </w:r>
      <w:r w:rsidRPr="00054448">
        <w:rPr>
          <w:rFonts w:ascii="Cambria" w:hAnsi="Cambria" w:cs="Cambria"/>
          <w:lang w:val="es-ES"/>
        </w:rPr>
        <w:t xml:space="preserve">. Por lo tanto, las comisiones </w:t>
      </w:r>
      <w:r w:rsidR="00105F96" w:rsidRPr="00054448">
        <w:rPr>
          <w:rFonts w:ascii="Cambria" w:hAnsi="Cambria" w:cs="Cambria"/>
          <w:lang w:val="es-ES"/>
        </w:rPr>
        <w:t>sobre resultados</w:t>
      </w:r>
      <w:r w:rsidRPr="00054448">
        <w:rPr>
          <w:rFonts w:ascii="Cambria" w:hAnsi="Cambria" w:cs="Cambria"/>
          <w:lang w:val="es-ES"/>
        </w:rPr>
        <w:t xml:space="preserve"> siguen siendo, por desgracia, una calle de un solo sentido; "Cara gano</w:t>
      </w:r>
      <w:r w:rsidR="00105F96" w:rsidRPr="00054448">
        <w:rPr>
          <w:rFonts w:ascii="Cambria" w:hAnsi="Cambria" w:cs="Cambria"/>
          <w:lang w:val="es-ES"/>
        </w:rPr>
        <w:t xml:space="preserve"> yo</w:t>
      </w:r>
      <w:r w:rsidRPr="00054448">
        <w:rPr>
          <w:rFonts w:ascii="Cambria" w:hAnsi="Cambria" w:cs="Cambria"/>
          <w:lang w:val="es-ES"/>
        </w:rPr>
        <w:t>, cruz pierdes</w:t>
      </w:r>
      <w:r w:rsidR="00105F96" w:rsidRPr="00054448">
        <w:rPr>
          <w:rFonts w:ascii="Cambria" w:hAnsi="Cambria" w:cs="Cambria"/>
          <w:lang w:val="es-ES"/>
        </w:rPr>
        <w:t xml:space="preserve"> tú</w:t>
      </w:r>
      <w:r w:rsidRPr="00054448">
        <w:rPr>
          <w:rFonts w:ascii="Cambria" w:hAnsi="Cambria" w:cs="Cambria"/>
          <w:lang w:val="es-ES"/>
        </w:rPr>
        <w:t>".</w:t>
      </w:r>
    </w:p>
    <w:p w14:paraId="112BAF30" w14:textId="59A4F4B9" w:rsidR="00C659D0" w:rsidRPr="00054448" w:rsidRDefault="00DA46DA">
      <w:pPr>
        <w:jc w:val="both"/>
        <w:rPr>
          <w:lang w:val="es-ES"/>
        </w:rPr>
      </w:pPr>
      <w:r w:rsidRPr="00054448">
        <w:rPr>
          <w:rFonts w:ascii="Cambria" w:hAnsi="Cambria" w:cs="Cambria"/>
          <w:i/>
          <w:iCs/>
          <w:lang w:val="es-ES"/>
        </w:rPr>
        <w:t xml:space="preserve">"En general, BETTER FINANCE agradece </w:t>
      </w:r>
      <w:r w:rsidR="00105F96" w:rsidRPr="00054448">
        <w:rPr>
          <w:rFonts w:ascii="Cambria" w:hAnsi="Cambria" w:cs="Cambria"/>
          <w:i/>
          <w:iCs/>
          <w:lang w:val="es-ES"/>
        </w:rPr>
        <w:t xml:space="preserve">enormemente </w:t>
      </w:r>
      <w:r w:rsidRPr="00054448">
        <w:rPr>
          <w:rFonts w:ascii="Cambria" w:hAnsi="Cambria" w:cs="Cambria"/>
          <w:i/>
          <w:iCs/>
          <w:lang w:val="es-ES"/>
        </w:rPr>
        <w:t xml:space="preserve">al supervisor europeo esta mejora exhaustiva del uso de las comisiones </w:t>
      </w:r>
      <w:r w:rsidR="00883875" w:rsidRPr="00054448">
        <w:rPr>
          <w:rFonts w:ascii="Cambria" w:hAnsi="Cambria" w:cs="Cambria"/>
          <w:i/>
          <w:iCs/>
          <w:lang w:val="es-ES"/>
        </w:rPr>
        <w:t xml:space="preserve">sobre </w:t>
      </w:r>
      <w:r w:rsidRPr="00054448">
        <w:rPr>
          <w:rFonts w:ascii="Cambria" w:hAnsi="Cambria" w:cs="Cambria"/>
          <w:i/>
          <w:iCs/>
          <w:lang w:val="es-ES"/>
        </w:rPr>
        <w:t>"</w:t>
      </w:r>
      <w:r w:rsidR="00883875" w:rsidRPr="00054448">
        <w:rPr>
          <w:rFonts w:ascii="Cambria" w:hAnsi="Cambria" w:cs="Cambria"/>
          <w:i/>
          <w:iCs/>
          <w:lang w:val="es-ES"/>
        </w:rPr>
        <w:t>resultados</w:t>
      </w:r>
      <w:r w:rsidRPr="00054448">
        <w:rPr>
          <w:rFonts w:ascii="Cambria" w:hAnsi="Cambria" w:cs="Cambria"/>
          <w:i/>
          <w:iCs/>
          <w:lang w:val="es-ES"/>
        </w:rPr>
        <w:t xml:space="preserve">" por parte de las </w:t>
      </w:r>
      <w:r w:rsidR="00883875" w:rsidRPr="00054448">
        <w:rPr>
          <w:rFonts w:ascii="Cambria" w:hAnsi="Cambria" w:cs="Cambria"/>
          <w:i/>
          <w:iCs/>
          <w:lang w:val="es-ES"/>
        </w:rPr>
        <w:t xml:space="preserve">sociedades </w:t>
      </w:r>
      <w:r w:rsidRPr="00054448">
        <w:rPr>
          <w:rFonts w:ascii="Cambria" w:hAnsi="Cambria" w:cs="Cambria"/>
          <w:i/>
          <w:iCs/>
          <w:lang w:val="es-ES"/>
        </w:rPr>
        <w:t xml:space="preserve">de fondos de inversión, </w:t>
      </w:r>
      <w:r w:rsidR="00054448" w:rsidRPr="00054448">
        <w:rPr>
          <w:rFonts w:ascii="Cambria" w:hAnsi="Cambria" w:cs="Cambria"/>
          <w:i/>
          <w:iCs/>
          <w:lang w:val="es-ES"/>
        </w:rPr>
        <w:t>lo que redundará en una mejor protección de</w:t>
      </w:r>
      <w:r w:rsidRPr="00054448">
        <w:rPr>
          <w:rFonts w:ascii="Cambria" w:hAnsi="Cambria" w:cs="Cambria"/>
          <w:i/>
          <w:iCs/>
          <w:lang w:val="es-ES"/>
        </w:rPr>
        <w:t xml:space="preserve"> los inversores de los fondos", </w:t>
      </w:r>
      <w:r w:rsidRPr="00054448">
        <w:rPr>
          <w:rFonts w:ascii="Cambria" w:hAnsi="Cambria" w:cs="Cambria"/>
          <w:lang w:val="es-ES"/>
        </w:rPr>
        <w:t xml:space="preserve">dijo Guillaume </w:t>
      </w:r>
      <w:proofErr w:type="spellStart"/>
      <w:r w:rsidRPr="00054448">
        <w:rPr>
          <w:rFonts w:ascii="Cambria" w:hAnsi="Cambria" w:cs="Cambria"/>
          <w:lang w:val="es-ES"/>
        </w:rPr>
        <w:t>Prache</w:t>
      </w:r>
      <w:proofErr w:type="spellEnd"/>
      <w:r w:rsidRPr="00054448">
        <w:rPr>
          <w:rFonts w:ascii="Cambria" w:hAnsi="Cambria" w:cs="Cambria"/>
          <w:lang w:val="es-ES"/>
        </w:rPr>
        <w:t xml:space="preserve">, </w:t>
      </w:r>
      <w:proofErr w:type="gramStart"/>
      <w:r w:rsidRPr="00054448">
        <w:rPr>
          <w:rFonts w:ascii="Cambria" w:hAnsi="Cambria" w:cs="Cambria"/>
          <w:lang w:val="es-ES"/>
        </w:rPr>
        <w:t>Director</w:t>
      </w:r>
      <w:proofErr w:type="gramEnd"/>
      <w:r w:rsidRPr="00054448">
        <w:rPr>
          <w:rFonts w:ascii="Cambria" w:hAnsi="Cambria" w:cs="Cambria"/>
          <w:lang w:val="es-ES"/>
        </w:rPr>
        <w:t xml:space="preserve"> </w:t>
      </w:r>
      <w:r w:rsidR="00883875" w:rsidRPr="00054448">
        <w:rPr>
          <w:rFonts w:ascii="Cambria" w:hAnsi="Cambria" w:cs="Cambria"/>
          <w:lang w:val="es-ES"/>
        </w:rPr>
        <w:t>general</w:t>
      </w:r>
      <w:r w:rsidRPr="00054448">
        <w:rPr>
          <w:rFonts w:ascii="Cambria" w:hAnsi="Cambria" w:cs="Cambria"/>
          <w:lang w:val="es-ES"/>
        </w:rPr>
        <w:t>.</w:t>
      </w:r>
      <w:r w:rsidR="00D96CA0">
        <w:rPr>
          <w:rFonts w:ascii="Cambria" w:hAnsi="Cambria" w:cs="Cambria"/>
          <w:lang w:val="es-ES"/>
        </w:rPr>
        <w:t xml:space="preserve"> </w:t>
      </w:r>
    </w:p>
    <w:p w14:paraId="112BAF31" w14:textId="77777777" w:rsidR="00C659D0" w:rsidRPr="00054448" w:rsidRDefault="00DA46DA">
      <w:pPr>
        <w:jc w:val="center"/>
        <w:rPr>
          <w:rFonts w:ascii="Calibri Light" w:hAnsi="Calibri Light" w:cs="Calibri Light"/>
          <w:lang w:val="es-ES"/>
        </w:rPr>
      </w:pPr>
      <w:r w:rsidRPr="00054448">
        <w:rPr>
          <w:rFonts w:ascii="Calibri Light" w:hAnsi="Calibri Light" w:cs="Calibri Light"/>
          <w:lang w:val="es-ES"/>
        </w:rPr>
        <w:t>***</w:t>
      </w:r>
    </w:p>
    <w:p w14:paraId="112BAF32" w14:textId="2771CF31" w:rsidR="00C659D0" w:rsidRPr="00054448" w:rsidRDefault="00DA46DA">
      <w:pPr>
        <w:pStyle w:val="BodyText"/>
        <w:spacing w:before="120" w:after="0" w:line="30" w:lineRule="atLeast"/>
        <w:jc w:val="center"/>
        <w:rPr>
          <w:lang w:val="es-ES"/>
        </w:rPr>
      </w:pPr>
      <w:r w:rsidRPr="00054448">
        <w:rPr>
          <w:rFonts w:ascii="Calibri Light" w:hAnsi="Calibri Light" w:cs="Calibri Light"/>
          <w:sz w:val="18"/>
          <w:szCs w:val="18"/>
          <w:u w:val="single"/>
          <w:lang w:val="es-ES"/>
        </w:rPr>
        <w:t>Contacto</w:t>
      </w:r>
      <w:r w:rsidRPr="00054448">
        <w:rPr>
          <w:rFonts w:ascii="Calibri Light" w:hAnsi="Calibri Light" w:cs="Calibri Light"/>
          <w:sz w:val="18"/>
          <w:szCs w:val="18"/>
          <w:lang w:val="es-ES"/>
        </w:rPr>
        <w:t xml:space="preserve">: </w:t>
      </w:r>
      <w:r w:rsidR="00883875" w:rsidRPr="00054448">
        <w:rPr>
          <w:rFonts w:ascii="Calibri Light" w:hAnsi="Calibri Light" w:cs="Calibri Light"/>
          <w:sz w:val="18"/>
          <w:szCs w:val="18"/>
          <w:lang w:val="es-ES"/>
        </w:rPr>
        <w:t>Director de Comunicación</w:t>
      </w:r>
      <w:r w:rsidRPr="00054448">
        <w:rPr>
          <w:rFonts w:ascii="Calibri Light" w:hAnsi="Calibri Light" w:cs="Calibri Light"/>
          <w:sz w:val="18"/>
          <w:szCs w:val="18"/>
          <w:lang w:val="es-ES"/>
        </w:rPr>
        <w:t xml:space="preserve"> ǀ Arnaud Houdmont ǀ +32 (0)2 514 37 77 ǀ </w:t>
      </w:r>
      <w:hyperlink r:id="rId10" w:history="1">
        <w:r w:rsidRPr="00054448">
          <w:rPr>
            <w:rStyle w:val="Hyperlink"/>
            <w:rFonts w:ascii="Calibri Light" w:hAnsi="Calibri Light" w:cs="Calibri Light"/>
            <w:sz w:val="18"/>
            <w:szCs w:val="18"/>
            <w:lang w:val="es-ES"/>
          </w:rPr>
          <w:t>houdmont@betterfinance.eu</w:t>
        </w:r>
      </w:hyperlink>
    </w:p>
    <w:sectPr w:rsidR="00C659D0" w:rsidRPr="0005444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FD461" w14:textId="77777777" w:rsidR="00392E5C" w:rsidRDefault="00392E5C">
      <w:pPr>
        <w:spacing w:after="0" w:line="240" w:lineRule="auto"/>
      </w:pPr>
      <w:r>
        <w:separator/>
      </w:r>
    </w:p>
  </w:endnote>
  <w:endnote w:type="continuationSeparator" w:id="0">
    <w:p w14:paraId="39F69D5C" w14:textId="77777777" w:rsidR="00392E5C" w:rsidRDefault="0039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BAF35" w14:textId="77777777" w:rsidR="00262769" w:rsidRPr="00DA46DA" w:rsidRDefault="00262769">
    <w:pPr>
      <w:spacing w:before="120" w:after="0" w:line="240" w:lineRule="auto"/>
      <w:ind w:left="-567"/>
      <w:jc w:val="center"/>
      <w:rPr>
        <w:b/>
        <w:color w:val="006FB4"/>
        <w:sz w:val="16"/>
        <w:szCs w:val="16"/>
        <w:lang w:val="es-ES"/>
      </w:rPr>
    </w:pPr>
    <w:r w:rsidRPr="00DA46DA">
      <w:rPr>
        <w:b/>
        <w:color w:val="006FB4"/>
        <w:sz w:val="16"/>
        <w:szCs w:val="16"/>
        <w:lang w:val="es-ES"/>
      </w:rPr>
      <w:t>La Federación Europea de Inversores y Usuarios de Servicios Financieros</w:t>
    </w:r>
  </w:p>
  <w:p w14:paraId="112BAF36" w14:textId="77777777" w:rsidR="00262769" w:rsidRDefault="00262769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>44, Rue d'Arenberg, 1000 Bruselas - Bélgica</w:t>
    </w:r>
  </w:p>
  <w:p w14:paraId="112BAF37" w14:textId="77777777" w:rsidR="00262769" w:rsidRPr="00DA46DA" w:rsidRDefault="00262769">
    <w:pPr>
      <w:spacing w:after="0" w:line="240" w:lineRule="auto"/>
      <w:ind w:left="-567"/>
      <w:jc w:val="center"/>
      <w:rPr>
        <w:lang w:val="es-ES"/>
      </w:rPr>
    </w:pPr>
    <w:r>
      <w:rPr>
        <w:color w:val="006FB4"/>
        <w:sz w:val="16"/>
        <w:szCs w:val="16"/>
        <w:lang w:val="de-DE"/>
      </w:rPr>
      <w:t xml:space="preserve">Tel.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112BAF38" w14:textId="77777777" w:rsidR="00262769" w:rsidRPr="00DA46DA" w:rsidRDefault="00D96CA0">
    <w:pPr>
      <w:spacing w:after="0" w:line="240" w:lineRule="auto"/>
      <w:ind w:left="-567"/>
      <w:jc w:val="center"/>
      <w:rPr>
        <w:lang w:val="es-ES"/>
      </w:rPr>
    </w:pPr>
    <w:hyperlink r:id="rId1" w:history="1">
      <w:r w:rsidR="00262769">
        <w:rPr>
          <w:color w:val="006FB4"/>
          <w:sz w:val="16"/>
          <w:szCs w:val="16"/>
          <w:u w:val="single"/>
          <w:lang w:val="it-IT"/>
        </w:rPr>
        <w:t>Correo electrónico</w:t>
      </w:r>
    </w:hyperlink>
    <w:r w:rsidR="00262769">
      <w:rPr>
        <w:color w:val="006FB4"/>
        <w:sz w:val="16"/>
        <w:szCs w:val="16"/>
        <w:lang w:val="pt-PT"/>
      </w:rPr>
      <w:t xml:space="preserve">: info@betterfinance.eu - </w:t>
    </w:r>
    <w:bookmarkStart w:id="1" w:name="_Hlk944867"/>
    <w:r w:rsidR="00262769">
      <w:fldChar w:fldCharType="begin"/>
    </w:r>
    <w:r w:rsidR="00262769" w:rsidRPr="00DA46DA">
      <w:rPr>
        <w:lang w:val="es-ES"/>
      </w:rPr>
      <w:instrText xml:space="preserve"> HYPERLINK  "http://www.eurofinuse.org" </w:instrText>
    </w:r>
    <w:r w:rsidR="00262769">
      <w:fldChar w:fldCharType="separate"/>
    </w:r>
    <w:r w:rsidR="00262769">
      <w:rPr>
        <w:color w:val="006FB4"/>
        <w:sz w:val="16"/>
        <w:szCs w:val="16"/>
        <w:u w:val="single"/>
        <w:lang w:val="it-IT"/>
      </w:rPr>
      <w:t xml:space="preserve">http://www.betterfinance.eu </w:t>
    </w:r>
    <w:r w:rsidR="00262769">
      <w:rPr>
        <w:color w:val="006FB4"/>
        <w:sz w:val="16"/>
        <w:szCs w:val="16"/>
        <w:u w:val="single"/>
        <w:lang w:val="it-IT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1168D" w14:textId="77777777" w:rsidR="00392E5C" w:rsidRDefault="00392E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4F598B" w14:textId="77777777" w:rsidR="00392E5C" w:rsidRDefault="0039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BAF30" w14:textId="77777777" w:rsidR="00262769" w:rsidRDefault="00262769">
    <w:pPr>
      <w:pStyle w:val="Header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112BAF28" wp14:editId="112BAF29">
          <wp:simplePos x="0" y="0"/>
          <wp:positionH relativeFrom="margin">
            <wp:posOffset>2564133</wp:posOffset>
          </wp:positionH>
          <wp:positionV relativeFrom="paragraph">
            <wp:posOffset>-265432</wp:posOffset>
          </wp:positionV>
          <wp:extent cx="3138165" cy="645164"/>
          <wp:effectExtent l="0" t="0" r="5085" b="2536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12BAF31" w14:textId="77777777" w:rsidR="00262769" w:rsidRDefault="00262769">
    <w:pPr>
      <w:pStyle w:val="Header"/>
    </w:pPr>
  </w:p>
  <w:p w14:paraId="112BAF32" w14:textId="77777777" w:rsidR="00262769" w:rsidRDefault="00262769">
    <w:pPr>
      <w:pStyle w:val="Header"/>
      <w:rPr>
        <w:sz w:val="12"/>
        <w:szCs w:val="12"/>
      </w:rPr>
    </w:pPr>
  </w:p>
  <w:p w14:paraId="112BAF33" w14:textId="77777777" w:rsidR="00262769" w:rsidRDefault="00262769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C79AF"/>
    <w:multiLevelType w:val="multilevel"/>
    <w:tmpl w:val="F1E20FB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9D0"/>
    <w:rsid w:val="00006D42"/>
    <w:rsid w:val="00054448"/>
    <w:rsid w:val="000F5E76"/>
    <w:rsid w:val="000F65DE"/>
    <w:rsid w:val="00105F96"/>
    <w:rsid w:val="00255B8D"/>
    <w:rsid w:val="00262769"/>
    <w:rsid w:val="00392E5C"/>
    <w:rsid w:val="008268A2"/>
    <w:rsid w:val="00883875"/>
    <w:rsid w:val="00A3398A"/>
    <w:rsid w:val="00AA57A5"/>
    <w:rsid w:val="00C12D3D"/>
    <w:rsid w:val="00C659D0"/>
    <w:rsid w:val="00D54D1F"/>
    <w:rsid w:val="00D96CA0"/>
    <w:rsid w:val="00DA46DA"/>
    <w:rsid w:val="00DE32B0"/>
    <w:rsid w:val="00F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2BAF21"/>
  <w15:docId w15:val="{779DD4C0-B862-41A1-AE7A-54FAE4B0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pPr>
      <w:spacing w:line="240" w:lineRule="exact"/>
    </w:pPr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customStyle="1" w:styleId="BodyTextChar">
    <w:name w:val="Body Text Char"/>
    <w:basedOn w:val="DefaultParagraphFont"/>
    <w:rPr>
      <w:rFonts w:ascii="Tahoma" w:eastAsia="Times New Roman" w:hAnsi="Tahoma" w:cs="Times New Roman"/>
      <w:spacing w:val="10"/>
      <w:sz w:val="17"/>
      <w:szCs w:val="20"/>
      <w:lang w:val="en-US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SimSun" w:hAnsi="Cambria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mbria" w:eastAsia="SimSun" w:hAnsi="Cambria" w:cs="Times New Roman"/>
      <w:spacing w:val="-10"/>
      <w:kern w:val="3"/>
      <w:sz w:val="56"/>
      <w:szCs w:val="56"/>
    </w:rPr>
  </w:style>
  <w:style w:type="paragraph" w:styleId="BalloonText">
    <w:name w:val="Balloon Text"/>
    <w:basedOn w:val="Normal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Strong">
    <w:name w:val="Strong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2Char">
    <w:name w:val="Heading 2 Char"/>
    <w:basedOn w:val="DefaultParagraphFont"/>
    <w:rPr>
      <w:rFonts w:ascii="Cambria" w:eastAsia="SimSun" w:hAnsi="Cambria" w:cs="Times New Roman"/>
      <w:color w:val="365F91"/>
      <w:sz w:val="26"/>
      <w:szCs w:val="26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tlid-translation">
    <w:name w:val="tlid-transla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oudmont@betterfinance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inu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C02C4-26E8-4EB8-A9BC-64B0A699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2C832-5F60-44E7-8C5B-4E2645FBA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E6DC9-560B-4D13-A910-6B2E9676A8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Houdmont</dc:creator>
  <cp:lastModifiedBy>ISO Translation</cp:lastModifiedBy>
  <cp:revision>4</cp:revision>
  <cp:lastPrinted>2019-03-22T09:41:00Z</cp:lastPrinted>
  <dcterms:created xsi:type="dcterms:W3CDTF">2020-12-03T17:54:00Z</dcterms:created>
  <dcterms:modified xsi:type="dcterms:W3CDTF">2020-12-24T09:55:00Z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