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notes.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de-DE" w:eastAsia="en-US" w:bidi="ar-SA"/>
        </w:rPr>
      </w:pPr>
      <w:r>
        <w:rPr>
          <w:lang w:val="de-DE" w:eastAsia="en-US" w:bidi="ar-SA"/>
        </w:rPr>
      </w:r>
    </w:p>
    <w:p>
      <w:pPr>
        <w:pStyle w:val="Textkrper"/>
        <w:spacing w:lineRule="auto" w:line="240" w:before="0" w:after="120"/>
        <w:jc w:val="both"/>
        <w:rPr/>
      </w:pPr>
      <w:r>
        <w:rPr>
          <w:rStyle w:val="Strong"/>
          <w:sz w:val="18"/>
          <w:lang w:val="de-DE" w:eastAsia="en-US" w:bidi="ar-SA"/>
        </w:rPr>
        <w:t>PRESSEMITTEILUNG</w:t>
      </w:r>
    </w:p>
    <w:p>
      <w:pPr>
        <w:pStyle w:val="Berschrift2"/>
        <w:jc w:val="both"/>
        <w:rPr>
          <w:lang w:val="de-DE" w:eastAsia="en-US" w:bidi="ar-SA"/>
        </w:rPr>
      </w:pPr>
      <w:r>
        <w:rPr>
          <w:rFonts w:eastAsia="Calibri" w:ascii="Cambria" w:hAnsi="Cambria"/>
          <w:b/>
          <w:color w:val="365F91"/>
          <w:spacing w:val="20"/>
          <w:kern w:val="2"/>
          <w:sz w:val="28"/>
          <w:szCs w:val="28"/>
          <w:lang w:val="de-DE" w:eastAsia="en-US" w:bidi="ar-SA"/>
        </w:rPr>
        <w:t>Wirecard AG: Ein empörender Fall von Versäumnissen bei Unternehmensführung, externer Revision und Aufsicht, erneut zulasten von Anlegern und Altersvorsorgesparern</w:t>
      </w:r>
    </w:p>
    <w:p>
      <w:pPr>
        <w:pStyle w:val="Normal"/>
        <w:spacing w:before="120" w:after="120"/>
        <w:jc w:val="both"/>
        <w:rPr>
          <w:lang w:val="de-DE" w:eastAsia="en-US" w:bidi="ar-SA"/>
        </w:rPr>
      </w:pPr>
      <w:r>
        <w:rPr>
          <w:rFonts w:cs="Calibri Light" w:ascii="Calibri Light" w:hAnsi="Calibri Light"/>
          <w:color w:val="000000"/>
          <w:lang w:val="de-DE" w:eastAsia="en-US" w:bidi="ar-SA"/>
        </w:rPr>
        <w:t xml:space="preserve">Mit Verwunderung nahmen BETTER FINANCE und seine Mitgliedsorganisationen, die die Nutzer von Finanzdienstleistungen vertreten, am 18. Juni 2020 die Schlagzeile zur Kenntnis, dass die Wirecard AG („WD“), eine der europäischen FinTech-Erfolgsgeschichten, in ihren Bilanzen möglicherweise 1,9 Milliarden Euro falsch ausgewiesen und wenige Tage danach Insolvenz angemeldet hatte. </w:t>
      </w:r>
    </w:p>
    <w:tbl>
      <w:tblPr>
        <w:tblW w:w="9062" w:type="dxa"/>
        <w:jc w:val="left"/>
        <w:tblInd w:w="0" w:type="dxa"/>
        <w:tblCellMar>
          <w:top w:w="85" w:type="dxa"/>
          <w:left w:w="108" w:type="dxa"/>
          <w:bottom w:w="85" w:type="dxa"/>
          <w:right w:w="108" w:type="dxa"/>
        </w:tblCellMar>
        <w:tblLook w:firstRow="1" w:noVBand="1" w:lastRow="0" w:firstColumn="1" w:lastColumn="0" w:noHBand="0" w:val="04a0"/>
      </w:tblPr>
      <w:tblGrid>
        <w:gridCol w:w="9062"/>
      </w:tblGrid>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120"/>
              <w:jc w:val="both"/>
              <w:rPr>
                <w:lang w:val="de-DE" w:eastAsia="en-US" w:bidi="ar-SA"/>
              </w:rPr>
            </w:pPr>
            <w:r>
              <w:rPr>
                <w:rFonts w:cs="Calibri Light" w:ascii="Calibri Light" w:hAnsi="Calibri Light"/>
                <w:b/>
                <w:bCs/>
                <w:lang w:val="de-DE" w:eastAsia="en-US" w:bidi="ar-SA"/>
              </w:rPr>
              <w:t>SCHON SEIT LANGEM GAB ES WARNSIGNALE</w:t>
            </w:r>
          </w:p>
          <w:p>
            <w:pPr>
              <w:pStyle w:val="ListParagraph"/>
              <w:numPr>
                <w:ilvl w:val="0"/>
                <w:numId w:val="1"/>
              </w:numPr>
              <w:ind w:left="306" w:hanging="284"/>
              <w:jc w:val="both"/>
              <w:rPr/>
            </w:pPr>
            <w:r>
              <w:rPr>
                <w:rFonts w:eastAsia="Times New Roman" w:cs="Calibri Light" w:ascii="Calibri Light" w:hAnsi="Calibri Light"/>
                <w:lang w:val="de-DE" w:eastAsia="en-US" w:bidi="ar-SA"/>
              </w:rPr>
              <w:t xml:space="preserve">Im Jahr 2015 </w:t>
            </w:r>
            <w:hyperlink r:id="rId2">
              <w:r>
                <w:rPr>
                  <w:rStyle w:val="Internetverknpfung"/>
                  <w:rFonts w:eastAsia="Times New Roman" w:cs="Calibri Light" w:ascii="Calibri Light" w:hAnsi="Calibri Light"/>
                  <w:lang w:val="de-DE" w:eastAsia="en-US" w:bidi="ar-SA"/>
                </w:rPr>
                <w:t>hinterfragte</w:t>
              </w:r>
              <w:r>
                <w:rPr>
                  <w:rStyle w:val="Internetverknpfung"/>
                  <w:rStyle w:val="Funotenanker"/>
                  <w:rFonts w:eastAsia="Times New Roman" w:cs="Calibri Light" w:ascii="Calibri Light" w:hAnsi="Calibri Light"/>
                  <w:u w:val="none"/>
                  <w:lang w:val="de-DE" w:eastAsia="en-US" w:bidi="ar-SA"/>
                </w:rPr>
                <w:footnoteReference w:id="2"/>
              </w:r>
            </w:hyperlink>
            <w:r>
              <w:rPr>
                <w:rFonts w:eastAsia="Times New Roman" w:cs="Calibri Light" w:ascii="Calibri Light" w:hAnsi="Calibri Light"/>
                <w:lang w:val="de-DE" w:eastAsia="en-US" w:bidi="ar-SA"/>
              </w:rPr>
              <w:t xml:space="preserve"> ein auf Leerverkäufe spezialisiertes Unternehmen die Berichte der asiatisch-pazifischen Geschäfte von WD und behauptete, dass die Zahlen in Wirklichkeit viel kleiner zu sein scheinen.</w:t>
            </w:r>
          </w:p>
          <w:p>
            <w:pPr>
              <w:pStyle w:val="ListParagraph"/>
              <w:numPr>
                <w:ilvl w:val="0"/>
                <w:numId w:val="1"/>
              </w:numPr>
              <w:ind w:left="306" w:hanging="284"/>
              <w:jc w:val="both"/>
              <w:rPr/>
            </w:pPr>
            <w:r>
              <w:rPr>
                <w:rFonts w:eastAsia="Times New Roman" w:cs="Calibri Light" w:ascii="Calibri Light" w:hAnsi="Calibri Light"/>
                <w:lang w:val="de-DE" w:eastAsia="en-US" w:bidi="ar-SA"/>
              </w:rPr>
              <w:t>Im selben Jahr startete die FT ihre Serie „</w:t>
            </w:r>
            <w:hyperlink r:id="rId3">
              <w:r>
                <w:rPr>
                  <w:rStyle w:val="Internetverknpfung"/>
                  <w:rFonts w:eastAsia="Times New Roman" w:cs="Calibri Light" w:ascii="Calibri Light" w:hAnsi="Calibri Light"/>
                  <w:lang w:val="de-DE" w:eastAsia="en-US" w:bidi="ar-SA"/>
                </w:rPr>
                <w:t>House ofWirecard</w:t>
              </w:r>
            </w:hyperlink>
            <w:r>
              <w:rPr>
                <w:rStyle w:val="Internetverknpfung"/>
                <w:rFonts w:eastAsia="Times New Roman" w:cs="Calibri Light" w:ascii="Calibri Light" w:hAnsi="Calibri Light"/>
                <w:u w:val="none"/>
                <w:lang w:val="de-DE" w:eastAsia="en-US" w:bidi="ar-SA"/>
              </w:rPr>
              <w:t>“</w:t>
            </w:r>
            <w:r>
              <w:rPr>
                <w:rFonts w:eastAsia="Times New Roman" w:cs="Calibri Light" w:ascii="Calibri Light" w:hAnsi="Calibri Light"/>
                <w:lang w:val="de-DE" w:eastAsia="en-US" w:bidi="ar-SA"/>
              </w:rPr>
              <w:t xml:space="preserve">, in der sie intern </w:t>
            </w:r>
            <w:hyperlink r:id="rId4">
              <w:r>
                <w:rPr>
                  <w:rStyle w:val="Internetverknpfung"/>
                  <w:rFonts w:eastAsia="Times New Roman" w:cs="Calibri Light" w:ascii="Calibri Light" w:hAnsi="Calibri Light"/>
                  <w:lang w:val="de-DE" w:eastAsia="en-US" w:bidi="ar-SA"/>
                </w:rPr>
                <w:t>durchgesickerte Dokumente</w:t>
              </w:r>
            </w:hyperlink>
            <w:r>
              <w:rPr>
                <w:rFonts w:eastAsia="Times New Roman" w:cs="Calibri Light" w:ascii="Calibri Light" w:hAnsi="Calibri Light"/>
                <w:lang w:val="de-DE" w:eastAsia="en-US" w:bidi="ar-SA"/>
              </w:rPr>
              <w:t xml:space="preserve"> und </w:t>
            </w:r>
            <w:hyperlink r:id="rId5">
              <w:r>
                <w:rPr>
                  <w:rStyle w:val="Internetverknpfung"/>
                  <w:rFonts w:eastAsia="Times New Roman" w:cs="Calibri Light" w:ascii="Calibri Light" w:hAnsi="Calibri Light"/>
                  <w:lang w:val="de-DE" w:eastAsia="en-US" w:bidi="ar-SA"/>
                </w:rPr>
                <w:t>E-Mail-Austausche</w:t>
              </w:r>
            </w:hyperlink>
            <w:r>
              <w:rPr>
                <w:rFonts w:eastAsia="Times New Roman" w:cs="Calibri Light" w:ascii="Calibri Light" w:hAnsi="Calibri Light"/>
                <w:lang w:val="de-DE" w:eastAsia="en-US" w:bidi="ar-SA"/>
              </w:rPr>
              <w:t xml:space="preserve"> offenlegte, die auf Ungereimtheiten hindeuteten, und über fragwürdige Buchhaltungs- und Geschäftsbereiche und ein angebliches „</w:t>
            </w:r>
            <w:hyperlink r:id="rId6">
              <w:r>
                <w:rPr>
                  <w:rStyle w:val="Internetverknpfung"/>
                  <w:rFonts w:eastAsia="Times New Roman" w:cs="Calibri Light" w:ascii="Calibri Light" w:hAnsi="Calibri Light"/>
                  <w:i/>
                  <w:iCs/>
                  <w:lang w:val="de-DE" w:eastAsia="en-US" w:bidi="ar-SA"/>
                </w:rPr>
                <w:t>250-Millionen-Euro-Loch in der Konzernbilanz</w:t>
              </w:r>
            </w:hyperlink>
            <w:r>
              <w:rPr>
                <w:rFonts w:eastAsia="Times New Roman" w:cs="Calibri Light" w:ascii="Calibri Light" w:hAnsi="Calibri Light"/>
                <w:lang w:val="de-DE" w:eastAsia="en-US" w:bidi="ar-SA"/>
              </w:rPr>
              <w:t>“ berichtete.</w:t>
            </w:r>
          </w:p>
          <w:p>
            <w:pPr>
              <w:pStyle w:val="ListParagraph"/>
              <w:numPr>
                <w:ilvl w:val="0"/>
                <w:numId w:val="1"/>
              </w:numPr>
              <w:ind w:left="306" w:hanging="284"/>
              <w:jc w:val="both"/>
              <w:rPr/>
            </w:pPr>
            <w:r>
              <w:rPr>
                <w:rFonts w:eastAsia="Times New Roman" w:cs="Calibri Light" w:ascii="Calibri Light" w:hAnsi="Calibri Light"/>
                <w:lang w:val="de-DE" w:eastAsia="en-US" w:bidi="ar-SA"/>
              </w:rPr>
              <w:t xml:space="preserve">Im Jahr 2016 </w:t>
            </w:r>
            <w:hyperlink r:id="rId7">
              <w:r>
                <w:rPr>
                  <w:rStyle w:val="Internetverknpfung"/>
                  <w:rFonts w:eastAsia="Times New Roman" w:cs="Calibri Light" w:ascii="Calibri Light" w:hAnsi="Calibri Light"/>
                  <w:lang w:val="de-DE" w:eastAsia="en-US" w:bidi="ar-SA"/>
                </w:rPr>
                <w:t>berichtete</w:t>
              </w:r>
            </w:hyperlink>
            <w:r>
              <w:rPr>
                <w:rFonts w:eastAsia="Times New Roman" w:cs="Calibri Light" w:ascii="Calibri Light" w:hAnsi="Calibri Light"/>
                <w:lang w:val="de-DE" w:eastAsia="en-US" w:bidi="ar-SA"/>
              </w:rPr>
              <w:t xml:space="preserve"> die anonyme Shortseller-Research-Firma „Zatarra“, dass WD unter anderem in Geldwäsche verwickelt sei; daraufhin leitete die BaFin eine Untersuchung gegen Zatarra wegen Marktmanipulation ein.</w:t>
            </w:r>
            <w:r>
              <w:rPr>
                <w:rStyle w:val="Funotenanker"/>
                <w:lang w:val="de-DE" w:eastAsia="en-US" w:bidi="ar-SA"/>
              </w:rPr>
              <w:footnoteReference w:id="3"/>
            </w:r>
          </w:p>
          <w:p>
            <w:pPr>
              <w:pStyle w:val="ListParagraph"/>
              <w:numPr>
                <w:ilvl w:val="0"/>
                <w:numId w:val="1"/>
              </w:numPr>
              <w:ind w:left="306" w:hanging="284"/>
              <w:jc w:val="both"/>
              <w:rPr/>
            </w:pPr>
            <w:r>
              <w:rPr>
                <w:rFonts w:eastAsia="Times New Roman" w:cs="Calibri Light" w:ascii="Calibri Light" w:hAnsi="Calibri Light"/>
                <w:lang w:val="de-DE" w:eastAsia="en-US" w:bidi="ar-SA"/>
              </w:rPr>
              <w:t xml:space="preserve">Im Jahr 2018 </w:t>
            </w:r>
            <w:hyperlink r:id="rId8">
              <w:r>
                <w:rPr>
                  <w:rStyle w:val="Internetverknpfung"/>
                  <w:rFonts w:eastAsia="Times New Roman" w:cs="Calibri Light" w:ascii="Calibri Light" w:hAnsi="Calibri Light"/>
                  <w:lang w:val="de-DE" w:eastAsia="en-US" w:bidi="ar-SA"/>
                </w:rPr>
                <w:t>führte</w:t>
              </w:r>
            </w:hyperlink>
            <w:r>
              <w:rPr>
                <w:rFonts w:eastAsia="Times New Roman" w:cs="Calibri Light" w:ascii="Calibri Light" w:hAnsi="Calibri Light"/>
                <w:lang w:val="de-DE" w:eastAsia="en-US" w:bidi="ar-SA"/>
              </w:rPr>
              <w:t xml:space="preserve"> eine Anwaltskanzlei in Singapur nach einem internen Whistleblowing </w:t>
            </w:r>
            <w:hyperlink r:id="rId9">
              <w:r>
                <w:rPr>
                  <w:rStyle w:val="Internetverknpfung"/>
                  <w:rFonts w:eastAsia="Times New Roman" w:cs="Calibri Light" w:ascii="Calibri Light" w:hAnsi="Calibri Light"/>
                  <w:lang w:val="de-DE" w:eastAsia="en-US" w:bidi="ar-SA"/>
                </w:rPr>
                <w:t>eine interne Untersuchung</w:t>
              </w:r>
            </w:hyperlink>
            <w:r>
              <w:rPr>
                <w:rFonts w:eastAsia="Times New Roman" w:cs="Calibri Light" w:ascii="Calibri Light" w:hAnsi="Calibri Light"/>
                <w:lang w:val="de-DE" w:eastAsia="en-US" w:bidi="ar-SA"/>
              </w:rPr>
              <w:t xml:space="preserve"> im Asien-Pazifik-Hauptquartier von WD durch und fand Beweise, die auf „</w:t>
            </w:r>
            <w:r>
              <w:rPr>
                <w:rFonts w:cs="Calibri Light" w:ascii="Calibri Light" w:hAnsi="Calibri Light"/>
                <w:i/>
                <w:iCs/>
                <w:lang w:val="de-DE" w:eastAsia="en-US" w:bidi="ar-SA"/>
              </w:rPr>
              <w:t xml:space="preserve">Betrug und/oder Fälschung der Geschäftsbilanzen“ </w:t>
            </w:r>
            <w:r>
              <w:rPr>
                <w:rFonts w:eastAsia="Times New Roman" w:cs="Calibri Light" w:ascii="Calibri Light" w:hAnsi="Calibri Light"/>
                <w:lang w:val="de-DE" w:eastAsia="en-US" w:bidi="ar-SA"/>
              </w:rPr>
              <w:t>hindeuteten.</w:t>
            </w:r>
          </w:p>
          <w:p>
            <w:pPr>
              <w:pStyle w:val="ListParagraph"/>
              <w:numPr>
                <w:ilvl w:val="0"/>
                <w:numId w:val="1"/>
              </w:numPr>
              <w:ind w:left="306" w:hanging="284"/>
              <w:jc w:val="both"/>
              <w:rPr>
                <w:lang w:val="de-DE" w:eastAsia="en-US" w:bidi="ar-SA"/>
              </w:rPr>
            </w:pPr>
            <w:r>
              <w:rPr>
                <w:rFonts w:eastAsia="Times New Roman" w:cs="Calibri Light" w:ascii="Calibri Light" w:hAnsi="Calibri Light"/>
                <w:lang w:val="de-DE" w:eastAsia="en-US" w:bidi="ar-SA"/>
              </w:rPr>
              <w:t>Im Januar 2019 veröffentlichte die FT eine neue Serie mit Nachforschungen über Betrug und Fälschung von WD Asien:</w:t>
            </w:r>
          </w:p>
          <w:p>
            <w:pPr>
              <w:pStyle w:val="ListParagraph"/>
              <w:numPr>
                <w:ilvl w:val="1"/>
                <w:numId w:val="1"/>
              </w:numPr>
              <w:ind w:left="589" w:hanging="283"/>
              <w:jc w:val="both"/>
              <w:rPr/>
            </w:pPr>
            <w:r>
              <w:rPr>
                <w:rFonts w:eastAsia="Times New Roman" w:cs="Calibri Light" w:ascii="Calibri Light" w:hAnsi="Calibri Light"/>
                <w:lang w:val="de-DE" w:eastAsia="en-US" w:bidi="ar-SA"/>
              </w:rPr>
              <w:t xml:space="preserve">Die Journalisten der </w:t>
            </w:r>
            <w:hyperlink r:id="rId10">
              <w:r>
                <w:rPr>
                  <w:rStyle w:val="Internetverknpfung"/>
                  <w:rFonts w:eastAsia="Times New Roman" w:cs="Calibri Light" w:ascii="Calibri Light" w:hAnsi="Calibri Light"/>
                  <w:lang w:val="de-DE" w:eastAsia="en-US" w:bidi="ar-SA"/>
                </w:rPr>
                <w:t>FT</w:t>
              </w:r>
            </w:hyperlink>
            <w:r>
              <w:rPr>
                <w:rFonts w:eastAsia="Times New Roman" w:cs="Calibri Light" w:ascii="Calibri Light" w:hAnsi="Calibri Light"/>
                <w:lang w:val="de-DE" w:eastAsia="en-US" w:bidi="ar-SA"/>
              </w:rPr>
              <w:t xml:space="preserve"> behaupteten einerseits, dass Führungskräfte von WD Asien gefälschte Verträge benutzten, um die Geschäftszahlen aufzublähen;</w:t>
            </w:r>
          </w:p>
          <w:p>
            <w:pPr>
              <w:pStyle w:val="ListParagraph"/>
              <w:numPr>
                <w:ilvl w:val="1"/>
                <w:numId w:val="1"/>
              </w:numPr>
              <w:ind w:left="589" w:hanging="283"/>
              <w:jc w:val="both"/>
              <w:rPr/>
            </w:pPr>
            <w:r>
              <w:rPr>
                <w:rFonts w:eastAsia="Times New Roman" w:cs="Calibri Light" w:ascii="Calibri Light" w:hAnsi="Calibri Light"/>
                <w:lang w:val="de-DE" w:eastAsia="en-US" w:bidi="ar-SA"/>
              </w:rPr>
              <w:t xml:space="preserve">anderseits berichtete die FT, dass der Mutterkonzern in Deutschland </w:t>
            </w:r>
            <w:hyperlink r:id="rId11">
              <w:r>
                <w:rPr>
                  <w:rStyle w:val="Internetverknpfung"/>
                  <w:rFonts w:eastAsia="Times New Roman" w:cs="Calibri Light" w:ascii="Calibri Light" w:hAnsi="Calibri Light"/>
                  <w:lang w:val="de-DE" w:eastAsia="en-US" w:bidi="ar-SA"/>
                </w:rPr>
                <w:t>Kenntnis</w:t>
              </w:r>
            </w:hyperlink>
            <w:r>
              <w:rPr>
                <w:rFonts w:eastAsia="Times New Roman" w:cs="Calibri Light" w:ascii="Calibri Light" w:hAnsi="Calibri Light"/>
                <w:lang w:val="de-DE" w:eastAsia="en-US" w:bidi="ar-SA"/>
              </w:rPr>
              <w:t xml:space="preserve"> von den vermeintlich „zwielichtigen“ Aktivitäten </w:t>
            </w:r>
            <w:hyperlink r:id="rId12">
              <w:r>
                <w:rPr>
                  <w:rStyle w:val="Internetverknpfung"/>
                  <w:rFonts w:eastAsia="Times New Roman" w:cs="Calibri Light" w:ascii="Calibri Light" w:hAnsi="Calibri Light"/>
                  <w:lang w:val="de-DE" w:eastAsia="en-US" w:bidi="ar-SA"/>
                </w:rPr>
                <w:t>gehabt hätte</w:t>
              </w:r>
            </w:hyperlink>
            <w:r>
              <w:rPr>
                <w:rFonts w:eastAsia="Times New Roman" w:cs="Calibri Light" w:ascii="Calibri Light" w:hAnsi="Calibri Light"/>
                <w:lang w:val="de-DE" w:eastAsia="en-US" w:bidi="ar-SA"/>
              </w:rPr>
              <w:t xml:space="preserve"> – während die Polizei in Singapur </w:t>
            </w:r>
            <w:hyperlink r:id="rId13">
              <w:r>
                <w:rPr>
                  <w:rStyle w:val="Internetverknpfung"/>
                  <w:rFonts w:eastAsia="Times New Roman" w:cs="Calibri Light" w:ascii="Calibri Light" w:hAnsi="Calibri Light"/>
                  <w:lang w:val="de-DE" w:eastAsia="en-US" w:bidi="ar-SA"/>
                </w:rPr>
                <w:t xml:space="preserve">eine Ermittlung </w:t>
              </w:r>
            </w:hyperlink>
            <w:hyperlink r:id="rId14">
              <w:r>
                <w:rPr>
                  <w:rStyle w:val="Internetverknpfung"/>
                  <w:rFonts w:eastAsia="Times New Roman" w:cs="Calibri Light" w:ascii="Calibri Light" w:hAnsi="Calibri Light"/>
                  <w:lang w:val="de-DE" w:eastAsia="en-US" w:bidi="ar-SA"/>
                </w:rPr>
                <w:t>einleitete</w:t>
              </w:r>
            </w:hyperlink>
            <w:r>
              <w:rPr>
                <w:rStyle w:val="Funotenanker"/>
                <w:rFonts w:eastAsia="Times New Roman" w:cs="Calibri Light" w:ascii="Calibri Light" w:hAnsi="Calibri Light"/>
                <w:lang w:val="de-DE" w:eastAsia="en-US" w:bidi="ar-SA"/>
              </w:rPr>
              <w:footnoteReference w:id="4"/>
            </w:r>
            <w:r>
              <w:rPr>
                <w:rFonts w:eastAsia="Times New Roman" w:cs="Calibri Light" w:ascii="Calibri Light" w:hAnsi="Calibri Light"/>
                <w:lang w:val="de-DE" w:eastAsia="en-US" w:bidi="ar-SA"/>
              </w:rPr>
              <w:t xml:space="preserve"> und das </w:t>
            </w:r>
            <w:hyperlink r:id="rId15">
              <w:r>
                <w:rPr>
                  <w:rStyle w:val="Internetverknpfung"/>
                  <w:rFonts w:eastAsia="Times New Roman" w:cs="Calibri Light" w:ascii="Calibri Light" w:hAnsi="Calibri Light"/>
                  <w:lang w:val="de-DE" w:eastAsia="en-US" w:bidi="ar-SA"/>
                </w:rPr>
                <w:t>BaFin gegen Journalisten der FT eine Untersuchung</w:t>
              </w:r>
            </w:hyperlink>
            <w:r>
              <w:rPr>
                <w:rFonts w:eastAsia="Times New Roman" w:cs="Calibri Light" w:ascii="Calibri Light" w:hAnsi="Calibri Light"/>
                <w:lang w:val="de-DE" w:eastAsia="en-US" w:bidi="ar-SA"/>
              </w:rPr>
              <w:t xml:space="preserve"> wegen Marktmanipulation in Gang setzte;</w:t>
            </w:r>
            <w:r>
              <w:rPr>
                <w:rStyle w:val="Funotenanker"/>
                <w:rFonts w:eastAsia="Times New Roman" w:cs="Calibri Light" w:ascii="Calibri Light" w:hAnsi="Calibri Light"/>
                <w:lang w:val="de-DE" w:eastAsia="en-US" w:bidi="ar-SA"/>
              </w:rPr>
              <w:footnoteReference w:id="5"/>
            </w:r>
          </w:p>
          <w:p>
            <w:pPr>
              <w:pStyle w:val="ListParagraph"/>
              <w:numPr>
                <w:ilvl w:val="0"/>
                <w:numId w:val="1"/>
              </w:numPr>
              <w:ind w:left="306" w:hanging="284"/>
              <w:jc w:val="both"/>
              <w:rPr/>
            </w:pPr>
            <w:r>
              <w:rPr>
                <w:rFonts w:eastAsia="Times New Roman" w:cs="Calibri Light" w:ascii="Calibri Light" w:hAnsi="Calibri Light"/>
                <w:lang w:val="de-DE" w:eastAsia="en-US" w:bidi="ar-SA"/>
              </w:rPr>
              <w:t xml:space="preserve">Februar 2019: </w:t>
            </w:r>
            <w:hyperlink r:id="rId16">
              <w:r>
                <w:rPr>
                  <w:rStyle w:val="Internetverknpfung"/>
                  <w:rFonts w:eastAsia="Times New Roman" w:cs="Calibri Light" w:ascii="Calibri Light" w:hAnsi="Calibri Light"/>
                  <w:lang w:val="de-DE" w:eastAsia="en-US" w:bidi="ar-SA"/>
                </w:rPr>
                <w:t>Die ESMA</w:t>
              </w:r>
              <w:r>
                <w:rPr>
                  <w:rStyle w:val="Internetverknpfung"/>
                  <w:rFonts w:eastAsia="Times New Roman" w:cs="Calibri Light" w:ascii="Calibri Light" w:hAnsi="Calibri Light"/>
                  <w:b w:val="false"/>
                  <w:bCs w:val="false"/>
                  <w:lang w:val="de-DE" w:eastAsia="en-US" w:bidi="ar-SA"/>
                </w:rPr>
                <w:t xml:space="preserve"> </w:t>
              </w:r>
            </w:hyperlink>
            <w:hyperlink r:id="rId17">
              <w:r>
                <w:rPr>
                  <w:rStyle w:val="Internetverknpfung"/>
                  <w:rFonts w:eastAsia="Times New Roman" w:cs="Calibri Light" w:ascii="Calibri Light" w:hAnsi="Calibri Light"/>
                  <w:b w:val="false"/>
                  <w:bCs w:val="false"/>
                  <w:lang w:val="de-DE" w:eastAsia="en-US" w:bidi="ar-SA"/>
                </w:rPr>
                <w:t xml:space="preserve">genehmigt das vom BaFin </w:t>
              </w:r>
            </w:hyperlink>
            <w:r>
              <w:rPr>
                <w:rStyle w:val="Internetverknpfung"/>
                <w:rFonts w:eastAsia="Times New Roman" w:cs="Calibri Light" w:ascii="Calibri Light" w:hAnsi="Calibri Light"/>
                <w:b w:val="false"/>
                <w:bCs w:val="false"/>
                <w:lang w:val="de-DE" w:eastAsia="en-US" w:bidi="ar-SA"/>
              </w:rPr>
              <w:t>vorläufig verhängte Leerverkaufsverbot</w:t>
            </w:r>
            <w:r>
              <w:rPr>
                <w:rFonts w:eastAsia="Times New Roman" w:cs="Calibri Light" w:ascii="Calibri Light" w:hAnsi="Calibri Light"/>
                <w:lang w:val="de-DE" w:eastAsia="en-US" w:bidi="ar-SA"/>
              </w:rPr>
              <w:t xml:space="preserve"> von WD-Aktien;</w:t>
            </w:r>
          </w:p>
          <w:p>
            <w:pPr>
              <w:pStyle w:val="ListParagraph"/>
              <w:numPr>
                <w:ilvl w:val="0"/>
                <w:numId w:val="1"/>
              </w:numPr>
              <w:ind w:left="306" w:hanging="284"/>
              <w:jc w:val="both"/>
              <w:rPr/>
            </w:pPr>
            <w:r>
              <w:rPr>
                <w:rFonts w:eastAsia="Times New Roman" w:cs="Calibri Light" w:ascii="Calibri Light" w:hAnsi="Calibri Light"/>
                <w:lang w:val="de-DE" w:eastAsia="en-US" w:bidi="ar-SA"/>
              </w:rPr>
              <w:t xml:space="preserve">Anfang 2019: Das </w:t>
            </w:r>
            <w:hyperlink r:id="rId18">
              <w:r>
                <w:rPr>
                  <w:rStyle w:val="Internetverknpfung"/>
                  <w:rFonts w:eastAsia="Times New Roman" w:cs="Calibri Light" w:ascii="Calibri Light" w:hAnsi="Calibri Light"/>
                  <w:lang w:val="de-DE" w:eastAsia="en-US" w:bidi="ar-SA"/>
                </w:rPr>
                <w:t>BaFin ersucht</w:t>
              </w:r>
            </w:hyperlink>
            <w:r>
              <w:rPr>
                <w:rFonts w:eastAsia="Times New Roman" w:cs="Calibri Light" w:ascii="Calibri Light" w:hAnsi="Calibri Light"/>
                <w:lang w:val="de-DE" w:eastAsia="en-US" w:bidi="ar-SA"/>
              </w:rPr>
              <w:t xml:space="preserve"> die </w:t>
            </w:r>
            <w:hyperlink r:id="rId19">
              <w:r>
                <w:rPr>
                  <w:rStyle w:val="Internetverknpfung"/>
                  <w:rFonts w:eastAsia="Times New Roman" w:cs="Calibri Light" w:ascii="Calibri Light" w:hAnsi="Calibri Light"/>
                  <w:lang w:val="de-DE" w:eastAsia="en-US" w:bidi="ar-SA"/>
                </w:rPr>
                <w:t>DPR</w:t>
              </w:r>
            </w:hyperlink>
            <w:r>
              <w:rPr>
                <w:rFonts w:eastAsia="Times New Roman" w:cs="Calibri Light" w:ascii="Calibri Light" w:hAnsi="Calibri Light"/>
                <w:lang w:val="de-DE" w:eastAsia="en-US" w:bidi="ar-SA"/>
              </w:rPr>
              <w:t xml:space="preserve"> um Einleitung einer Untersuchung der FT-Berichte über WD; da nur </w:t>
            </w:r>
            <w:hyperlink r:id="rId20">
              <w:r>
                <w:rPr>
                  <w:rStyle w:val="Internetverknpfung"/>
                  <w:rFonts w:eastAsia="Times New Roman" w:cs="Calibri Light" w:ascii="Calibri Light" w:hAnsi="Calibri Light"/>
                  <w:lang w:val="de-DE" w:eastAsia="en-US" w:bidi="ar-SA"/>
                </w:rPr>
                <w:t>eine</w:t>
              </w:r>
            </w:hyperlink>
            <w:hyperlink r:id="rId21">
              <w:r>
                <w:rPr>
                  <w:rStyle w:val="Internetverknpfung"/>
                  <w:rFonts w:eastAsia="Times New Roman" w:cs="Calibri Light" w:ascii="Calibri Light" w:hAnsi="Calibri Light"/>
                  <w:lang w:val="de-DE" w:eastAsia="en-US" w:bidi="ar-SA"/>
                </w:rPr>
                <w:t xml:space="preserve"> Person</w:t>
              </w:r>
            </w:hyperlink>
            <w:r>
              <w:rPr>
                <w:rFonts w:eastAsia="Times New Roman" w:cs="Calibri Light" w:ascii="Calibri Light" w:hAnsi="Calibri Light"/>
                <w:lang w:val="de-DE" w:eastAsia="en-US" w:bidi="ar-SA"/>
              </w:rPr>
              <w:t xml:space="preserve"> mit der Revision des Kontos </w:t>
            </w:r>
            <w:r>
              <w:rPr>
                <w:rStyle w:val="Internetverknpfung"/>
                <w:rFonts w:cs="Calibri Light" w:ascii="Calibri Light" w:hAnsi="Calibri Light"/>
                <w:lang w:val="de-DE" w:eastAsia="en-US" w:bidi="ar-SA"/>
              </w:rPr>
              <w:t>beauftragt wurde, dauert</w:t>
            </w:r>
            <w:r>
              <w:rPr>
                <w:rFonts w:eastAsia="Times New Roman" w:cs="Calibri Light" w:ascii="Calibri Light" w:hAnsi="Calibri Light"/>
                <w:lang w:val="de-DE" w:eastAsia="en-US" w:bidi="ar-SA"/>
              </w:rPr>
              <w:t xml:space="preserve"> sie unseres Wissens nach </w:t>
            </w:r>
            <w:hyperlink r:id="rId22">
              <w:r>
                <w:rPr>
                  <w:rStyle w:val="Internetverknpfung"/>
                  <w:rFonts w:eastAsia="Times New Roman" w:cs="Calibri Light" w:ascii="Calibri Light" w:hAnsi="Calibri Light"/>
                  <w:lang w:val="de-DE" w:eastAsia="en-US" w:bidi="ar-SA"/>
                </w:rPr>
                <w:t>15 Monaten</w:t>
              </w:r>
            </w:hyperlink>
            <w:r>
              <w:rPr>
                <w:rFonts w:eastAsia="Times New Roman" w:cs="Calibri Light" w:ascii="Calibri Light" w:hAnsi="Calibri Light"/>
                <w:lang w:val="de-DE" w:eastAsia="en-US" w:bidi="ar-SA"/>
              </w:rPr>
              <w:t xml:space="preserve"> noch immer an;</w:t>
            </w:r>
          </w:p>
          <w:p>
            <w:pPr>
              <w:pStyle w:val="ListParagraph"/>
              <w:numPr>
                <w:ilvl w:val="0"/>
                <w:numId w:val="1"/>
              </w:numPr>
              <w:ind w:left="306" w:hanging="284"/>
              <w:jc w:val="both"/>
              <w:rPr/>
            </w:pPr>
            <w:r>
              <w:rPr>
                <w:rFonts w:eastAsia="Times New Roman" w:cs="Calibri Light" w:ascii="Calibri Light" w:hAnsi="Calibri Light"/>
                <w:lang w:val="de-DE" w:eastAsia="en-US" w:bidi="ar-SA"/>
              </w:rPr>
              <w:t xml:space="preserve">Oktober 2019: WD Deutschland </w:t>
            </w:r>
            <w:hyperlink r:id="rId23">
              <w:r>
                <w:rPr>
                  <w:rStyle w:val="Internetverknpfung"/>
                  <w:rFonts w:eastAsia="Times New Roman" w:cs="Calibri Light" w:ascii="Calibri Light" w:hAnsi="Calibri Light"/>
                  <w:lang w:val="de-DE" w:eastAsia="en-US" w:bidi="ar-SA"/>
                </w:rPr>
                <w:t>ernennt eine</w:t>
              </w:r>
            </w:hyperlink>
            <w:hyperlink r:id="rId24">
              <w:r>
                <w:rPr>
                  <w:rStyle w:val="Internetverknpfung"/>
                  <w:rFonts w:eastAsia="Times New Roman" w:cs="Calibri Light" w:ascii="Calibri Light" w:hAnsi="Calibri Light"/>
                  <w:lang w:val="de-DE" w:eastAsia="en-US" w:bidi="ar-SA"/>
                </w:rPr>
                <w:t xml:space="preserve"> weitere</w:t>
              </w:r>
            </w:hyperlink>
            <w:hyperlink r:id="rId25">
              <w:r>
                <w:rPr>
                  <w:rStyle w:val="Internetverknpfung"/>
                  <w:rFonts w:eastAsia="Times New Roman" w:cs="Calibri Light" w:ascii="Calibri Light" w:hAnsi="Calibri Light"/>
                  <w:lang w:val="de-DE" w:eastAsia="en-US" w:bidi="ar-SA"/>
                </w:rPr>
                <w:t xml:space="preserve"> </w:t>
              </w:r>
            </w:hyperlink>
            <w:r>
              <w:rPr>
                <w:rStyle w:val="Internetverknpfung"/>
                <w:rFonts w:eastAsia="Times New Roman" w:cs="Calibri Light" w:ascii="Calibri Light" w:hAnsi="Calibri Light"/>
                <w:lang w:val="de-DE" w:eastAsia="en-US" w:bidi="ar-SA"/>
              </w:rPr>
              <w:t>„</w:t>
            </w:r>
            <w:hyperlink r:id="rId26">
              <w:r>
                <w:rPr>
                  <w:rStyle w:val="Internetverknpfung"/>
                  <w:rFonts w:eastAsia="Times New Roman" w:cs="Calibri Light" w:ascii="Calibri Light" w:hAnsi="Calibri Light"/>
                  <w:lang w:val="de-DE" w:eastAsia="en-US" w:bidi="ar-SA"/>
                </w:rPr>
                <w:t>B</w:t>
              </w:r>
            </w:hyperlink>
            <w:hyperlink r:id="rId27">
              <w:r>
                <w:rPr>
                  <w:rStyle w:val="Internetverknpfung"/>
                  <w:rFonts w:eastAsia="Times New Roman" w:cs="Calibri Light" w:ascii="Calibri Light" w:hAnsi="Calibri Light"/>
                  <w:lang w:val="de-DE" w:eastAsia="en-US" w:bidi="ar-SA"/>
                </w:rPr>
                <w:t>ig</w:t>
              </w:r>
            </w:hyperlink>
            <w:r>
              <w:rPr>
                <w:rStyle w:val="Internetverknpfung"/>
                <w:rFonts w:eastAsia="Times New Roman" w:cs="Calibri Light" w:ascii="Calibri Light" w:hAnsi="Calibri Light"/>
                <w:lang w:val="de-DE" w:eastAsia="en-US" w:bidi="ar-SA"/>
              </w:rPr>
              <w:t xml:space="preserve"> Four“-Prüfungsgesellschaft</w:t>
            </w:r>
            <w:r>
              <w:rPr>
                <w:rFonts w:eastAsia="Times New Roman" w:cs="Calibri Light" w:ascii="Calibri Light" w:hAnsi="Calibri Light"/>
                <w:lang w:val="de-DE" w:eastAsia="en-US" w:bidi="ar-SA"/>
              </w:rPr>
              <w:t xml:space="preserve"> für eine Sonderprüfung, die im April 2020 zu dem Schluss kommt, dass die </w:t>
            </w:r>
            <w:hyperlink r:id="rId28">
              <w:r>
                <w:rPr>
                  <w:rStyle w:val="Internetverknpfung"/>
                  <w:rFonts w:eastAsia="Times New Roman" w:cs="Calibri Light" w:ascii="Calibri Light" w:hAnsi="Calibri Light"/>
                  <w:u w:val="none"/>
                  <w:lang w:val="de-DE" w:eastAsia="en-US" w:bidi="ar-SA"/>
                </w:rPr>
                <w:t>„</w:t>
              </w:r>
              <w:r>
                <w:rPr>
                  <w:rStyle w:val="Internetverknpfung"/>
                  <w:rFonts w:eastAsia="Times New Roman" w:cs="Calibri Light" w:ascii="Calibri Light" w:hAnsi="Calibri Light"/>
                  <w:lang w:val="de-DE" w:eastAsia="en-US" w:bidi="ar-SA"/>
                </w:rPr>
                <w:t xml:space="preserve">Ergebnisse </w:t>
              </w:r>
            </w:hyperlink>
            <w:hyperlink r:id="rId29">
              <w:r>
                <w:rPr>
                  <w:rStyle w:val="Internetverknpfung"/>
                  <w:rFonts w:eastAsia="Times New Roman" w:cs="Calibri Light" w:ascii="Calibri Light" w:hAnsi="Calibri Light"/>
                  <w:lang w:val="de-DE" w:eastAsia="en-US" w:bidi="ar-SA"/>
                </w:rPr>
                <w:t>Dritter</w:t>
              </w:r>
            </w:hyperlink>
            <w:r>
              <w:rPr>
                <w:rStyle w:val="Internetverknpfung"/>
                <w:rFonts w:eastAsia="Times New Roman" w:cs="Calibri Light" w:ascii="Calibri Light" w:hAnsi="Calibri Light"/>
                <w:u w:val="none"/>
                <w:lang w:val="de-DE" w:eastAsia="en-US" w:bidi="ar-SA"/>
              </w:rPr>
              <w:t>“</w:t>
            </w:r>
            <w:r>
              <w:rPr>
                <w:rFonts w:eastAsia="Times New Roman" w:cs="Calibri Light" w:ascii="Calibri Light" w:hAnsi="Calibri Light"/>
                <w:lang w:val="de-DE" w:eastAsia="en-US" w:bidi="ar-SA"/>
              </w:rPr>
              <w:t xml:space="preserve"> nicht überprüft werden können;</w:t>
            </w:r>
            <w:r>
              <w:rPr>
                <w:rStyle w:val="Funotenanker"/>
                <w:rFonts w:eastAsia="Times New Roman" w:cs="Calibri Light" w:ascii="Calibri Light" w:hAnsi="Calibri Light"/>
                <w:lang w:val="de-DE" w:eastAsia="en-US" w:bidi="ar-SA"/>
              </w:rPr>
              <w:footnoteReference w:id="6"/>
            </w:r>
          </w:p>
          <w:p>
            <w:pPr>
              <w:pStyle w:val="ListParagraph"/>
              <w:numPr>
                <w:ilvl w:val="0"/>
                <w:numId w:val="1"/>
              </w:numPr>
              <w:ind w:left="306" w:hanging="284"/>
              <w:jc w:val="both"/>
              <w:rPr/>
            </w:pPr>
            <w:r>
              <w:rPr>
                <w:rFonts w:eastAsia="Times New Roman" w:cs="Calibri Light" w:ascii="Calibri Light" w:hAnsi="Calibri Light"/>
                <w:lang w:val="de-DE" w:eastAsia="en-US" w:bidi="ar-SA"/>
              </w:rPr>
              <w:t xml:space="preserve">18. Juni 2020: Der Rechnungsprüfer </w:t>
            </w:r>
            <w:hyperlink r:id="rId30">
              <w:r>
                <w:rPr>
                  <w:rStyle w:val="Internetverknpfung"/>
                  <w:rFonts w:eastAsia="Times New Roman" w:cs="Calibri Light" w:ascii="Calibri Light" w:hAnsi="Calibri Light"/>
                  <w:lang w:val="de-DE" w:eastAsia="en-US" w:bidi="ar-SA"/>
                </w:rPr>
                <w:t>weigert sich</w:t>
              </w:r>
            </w:hyperlink>
            <w:r>
              <w:rPr>
                <w:rFonts w:eastAsia="Times New Roman" w:cs="Calibri Light" w:ascii="Calibri Light" w:hAnsi="Calibri Light"/>
                <w:lang w:val="de-DE" w:eastAsia="en-US" w:bidi="ar-SA"/>
              </w:rPr>
              <w:t>, den Jahresabschluss 2019 aufgrund des „Fehlens“ von 1,9 Milliarden Euro abzuzeichnen;</w:t>
            </w:r>
          </w:p>
          <w:p>
            <w:pPr>
              <w:pStyle w:val="ListParagraph"/>
              <w:numPr>
                <w:ilvl w:val="0"/>
                <w:numId w:val="1"/>
              </w:numPr>
              <w:ind w:left="306" w:hanging="284"/>
              <w:jc w:val="both"/>
              <w:rPr/>
            </w:pPr>
            <w:r>
              <w:rPr>
                <w:rFonts w:eastAsia="Times New Roman" w:cs="Calibri Light" w:ascii="Calibri Light" w:hAnsi="Calibri Light"/>
                <w:lang w:val="de-DE" w:eastAsia="en-US" w:bidi="ar-SA"/>
              </w:rPr>
              <w:t xml:space="preserve">22. Juni 2020: Wirecard </w:t>
            </w:r>
            <w:r>
              <w:fldChar w:fldCharType="begin"/>
            </w:r>
            <w:r>
              <w:rPr>
                <w:rStyle w:val="Internetverknpfung"/>
                <w:rFonts w:eastAsia="Times New Roman" w:cs="Calibri Light" w:ascii="Calibri Light" w:hAnsi="Calibri Light"/>
                <w:lang w:val="de-DE" w:eastAsia="en-US" w:bidi="ar-SA"/>
              </w:rPr>
              <w:instrText> HYPERLINK "https://www.reuters.com/article/us-wirecard-accounts/wirecard-says-missing-2-1-billion-never-existed-rips-up-earlier-accounts-idUSKBN23T06V?il=0" \l ":~:text=FRANKFURT%2FMANILA (Reuters) -,avert a looming cash crunch."</w:instrText>
            </w:r>
            <w:r>
              <w:rPr>
                <w:rStyle w:val="Internetverknpfung"/>
                <w:rFonts w:eastAsia="Times New Roman" w:cs="Calibri Light" w:ascii="Calibri Light" w:hAnsi="Calibri Light"/>
                <w:lang w:val="de-DE" w:eastAsia="en-US" w:bidi="ar-SA"/>
              </w:rPr>
              <w:fldChar w:fldCharType="separate"/>
            </w:r>
            <w:r>
              <w:rPr>
                <w:rStyle w:val="Internetverknpfung"/>
                <w:rFonts w:eastAsia="Times New Roman" w:cs="Calibri Light" w:ascii="Calibri Light" w:hAnsi="Calibri Light"/>
                <w:lang w:val="de-DE" w:eastAsia="en-US" w:bidi="ar-SA"/>
              </w:rPr>
              <w:t>warnt davor</w:t>
            </w:r>
            <w:r>
              <w:rPr>
                <w:rStyle w:val="Internetverknpfung"/>
                <w:rFonts w:eastAsia="Times New Roman" w:cs="Calibri Light" w:ascii="Calibri Light" w:hAnsi="Calibri Light"/>
                <w:lang w:val="de-DE" w:eastAsia="en-US" w:bidi="ar-SA"/>
              </w:rPr>
              <w:fldChar w:fldCharType="end"/>
            </w:r>
            <w:r>
              <w:rPr>
                <w:rFonts w:eastAsia="Times New Roman" w:cs="Calibri Light" w:ascii="Calibri Light" w:hAnsi="Calibri Light"/>
                <w:lang w:val="de-DE" w:eastAsia="en-US" w:bidi="ar-SA"/>
              </w:rPr>
              <w:t>, dass die fehlenden 1,9 Milliarden Euro wahrscheinlich nie existiert haben;</w:t>
            </w:r>
          </w:p>
          <w:p>
            <w:pPr>
              <w:pStyle w:val="ListParagraph"/>
              <w:numPr>
                <w:ilvl w:val="0"/>
                <w:numId w:val="1"/>
              </w:numPr>
              <w:ind w:left="306" w:hanging="284"/>
              <w:jc w:val="both"/>
              <w:rPr/>
            </w:pPr>
            <w:r>
              <w:rPr>
                <w:rFonts w:eastAsia="Times New Roman" w:cs="Calibri Light" w:ascii="Calibri Light" w:hAnsi="Calibri Light"/>
                <w:lang w:val="de-DE" w:eastAsia="en-US" w:bidi="ar-SA"/>
              </w:rPr>
              <w:t xml:space="preserve">25. Juni: Wirecard </w:t>
            </w:r>
            <w:hyperlink r:id="rId31">
              <w:r>
                <w:rPr>
                  <w:rStyle w:val="Internetverknpfung"/>
                  <w:rFonts w:eastAsia="Times New Roman" w:cs="Calibri Light" w:ascii="Calibri Light" w:hAnsi="Calibri Light"/>
                  <w:lang w:val="de-DE" w:eastAsia="en-US" w:bidi="ar-SA"/>
                </w:rPr>
                <w:t xml:space="preserve">kündigt </w:t>
              </w:r>
            </w:hyperlink>
            <w:r>
              <w:rPr>
                <w:rFonts w:eastAsia="Times New Roman" w:cs="Calibri Light" w:ascii="Calibri Light" w:hAnsi="Calibri Light"/>
                <w:lang w:val="de-DE" w:eastAsia="en-US" w:bidi="ar-SA"/>
              </w:rPr>
              <w:t xml:space="preserve">Insolvenzantrag </w:t>
            </w:r>
            <w:hyperlink r:id="rId32">
              <w:r>
                <w:rPr>
                  <w:rStyle w:val="Internetverknpfung"/>
                  <w:rFonts w:eastAsia="Times New Roman" w:cs="Calibri Light" w:ascii="Calibri Light" w:hAnsi="Calibri Light"/>
                  <w:lang w:val="de-DE" w:eastAsia="en-US" w:bidi="ar-SA"/>
                </w:rPr>
                <w:t>an</w:t>
              </w:r>
            </w:hyperlink>
            <w:r>
              <w:rPr>
                <w:rFonts w:eastAsia="Times New Roman" w:cs="Calibri Light" w:ascii="Calibri Light" w:hAnsi="Calibri Light"/>
                <w:lang w:val="de-DE" w:eastAsia="en-US" w:bidi="ar-SA"/>
              </w:rPr>
              <w:t>.</w:t>
            </w:r>
          </w:p>
        </w:tc>
      </w:tr>
    </w:tbl>
    <w:p>
      <w:pPr>
        <w:pStyle w:val="Normal"/>
        <w:spacing w:before="240" w:after="160"/>
        <w:jc w:val="both"/>
        <w:rPr>
          <w:lang w:val="de-DE" w:eastAsia="en-US" w:bidi="ar-SA"/>
        </w:rPr>
      </w:pPr>
      <w:r>
        <w:rPr>
          <w:rFonts w:cs="Calibri Light" w:ascii="Calibri Light" w:hAnsi="Calibri Light"/>
          <w:color w:val="000000"/>
          <w:lang w:val="de-DE" w:eastAsia="en-US" w:bidi="ar-SA"/>
        </w:rPr>
        <w:t>BETTER FINANCE legt den EU-Behörden mehrere politische Empfehlungen vor, um aus diesem schrecklichen Fall Lehren zu ziehen:</w:t>
      </w:r>
    </w:p>
    <w:p>
      <w:pPr>
        <w:pStyle w:val="Normal"/>
        <w:shd w:val="clear" w:color="auto" w:fill="0070C0"/>
        <w:ind w:left="709" w:hanging="0"/>
        <w:jc w:val="both"/>
        <w:rPr>
          <w:lang w:val="de-DE" w:eastAsia="en-US" w:bidi="ar-SA"/>
        </w:rPr>
      </w:pPr>
      <w:r>
        <w:drawing>
          <wp:anchor behindDoc="0" distT="0" distB="0" distL="114300" distR="114300" simplePos="0" locked="0" layoutInCell="1" allowOverlap="1" relativeHeight="2">
            <wp:simplePos x="0" y="0"/>
            <wp:positionH relativeFrom="margin">
              <wp:posOffset>-635</wp:posOffset>
            </wp:positionH>
            <wp:positionV relativeFrom="paragraph">
              <wp:posOffset>45085</wp:posOffset>
            </wp:positionV>
            <wp:extent cx="255905" cy="255905"/>
            <wp:effectExtent l="0" t="0" r="0" b="0"/>
            <wp:wrapTight wrapText="bothSides">
              <wp:wrapPolygon edited="0">
                <wp:start x="2867" y="0"/>
                <wp:lineTo x="-396" y="6310"/>
                <wp:lineTo x="-396" y="11048"/>
                <wp:lineTo x="2867" y="18967"/>
                <wp:lineTo x="15988" y="18967"/>
                <wp:lineTo x="19279" y="11048"/>
                <wp:lineTo x="19279" y="6310"/>
                <wp:lineTo x="15988" y="0"/>
                <wp:lineTo x="2867" y="0"/>
              </wp:wrapPolygon>
            </wp:wrapTight>
            <wp:docPr id="1" name="Graphic 2" descr="Ba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2" descr="Badge 1"/>
                    <pic:cNvPicPr>
                      <a:picLocks noChangeAspect="1" noChangeArrowheads="1"/>
                    </pic:cNvPicPr>
                  </pic:nvPicPr>
                  <pic:blipFill>
                    <a:blip r:embed="rId33"/>
                    <a:stretch>
                      <a:fillRect/>
                    </a:stretch>
                  </pic:blipFill>
                  <pic:spPr bwMode="auto">
                    <a:xfrm>
                      <a:off x="0" y="0"/>
                      <a:ext cx="255905" cy="255905"/>
                    </a:xfrm>
                    <a:prstGeom prst="rect">
                      <a:avLst/>
                    </a:prstGeom>
                  </pic:spPr>
                </pic:pic>
              </a:graphicData>
            </a:graphic>
          </wp:anchor>
        </w:drawing>
      </w:r>
      <w:r>
        <w:rPr>
          <w:rFonts w:cs="Calibri Light" w:ascii="Calibri Light" w:hAnsi="Calibri Light"/>
          <w:b/>
          <w:bCs/>
          <w:i/>
          <w:iCs/>
          <w:color w:val="FFFFFF"/>
          <w:lang w:val="de-DE" w:eastAsia="en-US" w:bidi="ar-SA"/>
        </w:rPr>
        <w:tab/>
      </w:r>
      <w:r>
        <w:rPr>
          <w:rFonts w:cs="Calibri Light" w:ascii="Calibri Light" w:hAnsi="Calibri Light"/>
          <w:b/>
          <w:bCs/>
          <w:i/>
          <w:iCs/>
          <w:color w:val="FFFFFF"/>
          <w:lang w:val="de-DE" w:eastAsia="en-US" w:bidi="ar-SA"/>
        </w:rPr>
        <w:t>VERSAGEN DER AUFSICHT: DIE NOTWENDIGKEIT EINER KOHÄRENTEN REGULIERUNG UND BEAUFSICHTIGUNG VON FINANZDIENSTLEISTERN, WER AUCH IMMER SIE SIND</w:t>
      </w:r>
    </w:p>
    <w:p>
      <w:pPr>
        <w:pStyle w:val="Normal"/>
        <w:spacing w:before="0" w:after="120"/>
        <w:jc w:val="both"/>
        <w:rPr>
          <w:lang w:val="de-DE" w:eastAsia="en-US" w:bidi="ar-SA"/>
        </w:rPr>
      </w:pPr>
      <w:r>
        <w:rPr>
          <w:rFonts w:cs="Calibri Light" w:ascii="Calibri Light" w:hAnsi="Calibri Light"/>
          <w:color w:val="000000"/>
          <w:lang w:val="de-DE" w:eastAsia="en-US" w:bidi="ar-SA"/>
        </w:rPr>
        <w:t xml:space="preserve">Eine zentrale Empfehlung von BETTER FINANCE seit 2012 besteht darin, dass die finanziellen Regulierungsrahmen der EU und der Mitgliedstaaten </w:t>
      </w:r>
      <w:r>
        <w:rPr>
          <w:rFonts w:cs="Calibri Light" w:ascii="Calibri Light" w:hAnsi="Calibri Light"/>
          <w:b/>
          <w:bCs/>
          <w:i/>
          <w:iCs/>
          <w:color w:val="000000"/>
          <w:u w:val="single"/>
          <w:lang w:val="de-DE" w:eastAsia="en-US" w:bidi="ar-SA"/>
        </w:rPr>
        <w:t>in Umfang und Anwendung konsistent</w:t>
      </w:r>
      <w:r>
        <w:rPr>
          <w:rFonts w:cs="Calibri Light" w:ascii="Calibri Light" w:hAnsi="Calibri Light"/>
          <w:color w:val="000000"/>
          <w:lang w:val="de-DE" w:eastAsia="en-US" w:bidi="ar-SA"/>
        </w:rPr>
        <w:t xml:space="preserve"> sein sollten, unabhängig davon, wer der Vertreiber ist, sofern es sich bei der angebotenen </w:t>
      </w:r>
      <w:r>
        <w:rPr>
          <w:rFonts w:cs="Calibri Light" w:ascii="Calibri Light" w:hAnsi="Calibri Light"/>
          <w:b/>
          <w:bCs/>
          <w:color w:val="000000"/>
          <w:lang w:val="de-DE" w:eastAsia="en-US" w:bidi="ar-SA"/>
        </w:rPr>
        <w:t xml:space="preserve">Schlüsseldienstleistung </w:t>
      </w:r>
      <w:r>
        <w:rPr>
          <w:rFonts w:cs="Calibri Light" w:ascii="Calibri Light" w:hAnsi="Calibri Light"/>
          <w:color w:val="000000"/>
          <w:lang w:val="de-DE" w:eastAsia="en-US" w:bidi="ar-SA"/>
        </w:rPr>
        <w:t>um eine Finanzdienstleistung handelt.</w:t>
      </w:r>
    </w:p>
    <w:p>
      <w:pPr>
        <w:pStyle w:val="Normal"/>
        <w:jc w:val="both"/>
        <w:rPr>
          <w:lang w:val="de-DE" w:eastAsia="en-US" w:bidi="ar-SA"/>
        </w:rPr>
      </w:pPr>
      <w:r>
        <w:rPr>
          <w:rFonts w:cs="Calibri Light" w:ascii="Calibri Light" w:hAnsi="Calibri Light"/>
          <w:color w:val="000000"/>
          <w:lang w:val="de-DE" w:eastAsia="en-US" w:bidi="ar-SA"/>
        </w:rPr>
        <w:t>Nach unserem Verständnis des Sachverhalts war eines der Probleme die beschränkte  Zuständigkeit der Bundesanstalt für Finanzdienstleistungsaufsicht (BaFin) für die direkte Beaufsichtigung der Wirecard AG –  im Gegensatz zu ihrer umfassenden Zuständigkeit für die Wirecard Bank AG –, die in diesem Fall möglicherweise Verzögerungen verursacht hat.</w:t>
      </w:r>
    </w:p>
    <w:p>
      <w:pPr>
        <w:pStyle w:val="Normal"/>
        <w:spacing w:before="0" w:after="120"/>
        <w:jc w:val="both"/>
        <w:rPr>
          <w:lang w:val="de-DE" w:eastAsia="en-US" w:bidi="ar-SA"/>
        </w:rPr>
      </w:pPr>
      <w:r>
        <w:rPr>
          <w:rFonts w:cs="Calibri Light" w:ascii="Calibri Light" w:hAnsi="Calibri Light"/>
          <w:color w:val="000000"/>
          <w:lang w:val="de-DE" w:eastAsia="en-US" w:bidi="ar-SA"/>
        </w:rPr>
        <w:t>Auf der Grundlage der Untersuchungen von BETTER FINANCE</w:t>
      </w:r>
      <w:r>
        <w:rPr>
          <w:rStyle w:val="Funotenanker"/>
          <w:rFonts w:cs="Calibri Light" w:ascii="Calibri Light" w:hAnsi="Calibri Light"/>
          <w:color w:val="000000"/>
          <w:lang w:val="de-DE" w:eastAsia="en-US" w:bidi="ar-SA"/>
        </w:rPr>
        <w:footnoteReference w:id="7"/>
      </w:r>
      <w:r>
        <w:rPr>
          <w:rFonts w:cs="Calibri Light" w:ascii="Calibri Light" w:hAnsi="Calibri Light"/>
          <w:color w:val="000000"/>
          <w:lang w:val="de-DE" w:eastAsia="en-US" w:bidi="ar-SA"/>
        </w:rPr>
        <w:t xml:space="preserve"> werden europäische FinTech-Unternehmen in vielen Fällen als „Technologie“-Unternehmen und nicht als Finanzdienstleister behandelt, selbst wenn sie bei den zuständigen Aufsichtsbehörden ordnungsgemäß als Finanzvermittler (z. B. Berater, Wertpapierfirmen) registriert sind.</w:t>
      </w:r>
    </w:p>
    <w:p>
      <w:pPr>
        <w:pStyle w:val="Normal"/>
        <w:jc w:val="both"/>
        <w:rPr>
          <w:lang w:val="de-DE" w:eastAsia="en-US" w:bidi="ar-SA"/>
        </w:rPr>
      </w:pPr>
      <w:r>
        <w:rPr>
          <w:rFonts w:cs="Calibri Light" w:ascii="Calibri Light" w:hAnsi="Calibri Light"/>
          <w:color w:val="000000"/>
          <w:lang w:val="de-DE" w:eastAsia="en-US" w:bidi="ar-SA"/>
        </w:rPr>
        <w:t>Die Regulierung und Beaufsichtigung durch die EU und die Mitgliedstaaten muss einheitlich für alle Anbieter gelten, die auf einem bestimmten Markt (in diesem Fall Zahlungsdienstleistungen) tätig sind, unabhängig von der Anbieterkategorie (in diesem Fall eine Bank oder eine Nichtbank), um sicherzustellen, dass der hart erkämpfte Besitzstand im Bereich der Finanzregulierung seine beabsichtigte Wirkung entfaltet. Die ESMA muss die konsistente Durchsetzung der EU-Vorschriften in allen Mitgliedstaaten sicherstellen.</w:t>
      </w:r>
    </w:p>
    <w:p>
      <w:pPr>
        <w:pStyle w:val="Normal"/>
        <w:shd w:val="clear" w:color="auto" w:fill="0070C0"/>
        <w:ind w:left="709" w:hanging="0"/>
        <w:jc w:val="both"/>
        <w:rPr>
          <w:lang w:val="de-DE" w:eastAsia="en-US" w:bidi="ar-SA"/>
        </w:rPr>
      </w:pPr>
      <w:r>
        <w:rPr>
          <w:rFonts w:cs="Calibri Light" w:ascii="Calibri Light" w:hAnsi="Calibri Light"/>
          <w:b/>
          <w:bCs/>
          <w:i/>
          <w:iCs/>
          <w:color w:val="FFFFFF"/>
          <w:lang w:val="de-DE" w:eastAsia="en-US" w:bidi="ar-SA"/>
        </w:rPr>
        <w:tab/>
        <w:t xml:space="preserve">VERSAGEN DER AUFSICHT: </w:t>
      </w:r>
      <w:r>
        <w:drawing>
          <wp:anchor behindDoc="0" distT="0" distB="0" distL="114300" distR="114300" simplePos="0" locked="0" layoutInCell="1" allowOverlap="1" relativeHeight="3">
            <wp:simplePos x="0" y="0"/>
            <wp:positionH relativeFrom="margin">
              <wp:posOffset>0</wp:posOffset>
            </wp:positionH>
            <wp:positionV relativeFrom="paragraph">
              <wp:posOffset>48895</wp:posOffset>
            </wp:positionV>
            <wp:extent cx="276225" cy="276225"/>
            <wp:effectExtent l="0" t="0" r="0" b="0"/>
            <wp:wrapTight wrapText="bothSides">
              <wp:wrapPolygon edited="0">
                <wp:start x="2618" y="0"/>
                <wp:lineTo x="-396" y="5839"/>
                <wp:lineTo x="-396" y="11704"/>
                <wp:lineTo x="4140" y="19034"/>
                <wp:lineTo x="16306" y="19034"/>
                <wp:lineTo x="19339" y="11704"/>
                <wp:lineTo x="19339" y="5839"/>
                <wp:lineTo x="14793" y="0"/>
                <wp:lineTo x="2618" y="0"/>
              </wp:wrapPolygon>
            </wp:wrapTight>
            <wp:docPr id="2" name="Graphic 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3" descr="Badge"/>
                    <pic:cNvPicPr>
                      <a:picLocks noChangeAspect="1" noChangeArrowheads="1"/>
                    </pic:cNvPicPr>
                  </pic:nvPicPr>
                  <pic:blipFill>
                    <a:blip r:embed="rId34"/>
                    <a:stretch>
                      <a:fillRect/>
                    </a:stretch>
                  </pic:blipFill>
                  <pic:spPr bwMode="auto">
                    <a:xfrm>
                      <a:off x="0" y="0"/>
                      <a:ext cx="276225" cy="276225"/>
                    </a:xfrm>
                    <a:prstGeom prst="rect">
                      <a:avLst/>
                    </a:prstGeom>
                  </pic:spPr>
                </pic:pic>
              </a:graphicData>
            </a:graphic>
          </wp:anchor>
        </w:drawing>
      </w:r>
      <w:r>
        <w:rPr>
          <w:rFonts w:cs="Calibri Light" w:ascii="Calibri Light" w:hAnsi="Calibri Light"/>
          <w:b/>
          <w:bCs/>
          <w:i/>
          <w:iCs/>
          <w:color w:val="FFFFFF"/>
          <w:lang w:val="de-DE" w:eastAsia="en-US" w:bidi="ar-SA"/>
        </w:rPr>
        <w:t>U</w:t>
      </w:r>
      <w:r>
        <w:rPr>
          <w:rFonts w:cs="Calibri Light" w:ascii="Calibri Light" w:hAnsi="Calibri Light"/>
          <w:b/>
          <w:bCs/>
          <w:i/>
          <w:iCs/>
          <w:color w:val="FFFFFF"/>
          <w:lang w:val="de-DE" w:eastAsia="en-US" w:bidi="ar-SA"/>
        </w:rPr>
        <w:t xml:space="preserve">NTERSUCHUNG DER FUNKTIONSWEISE UND DER ZIELE DER ÖFFENTLICHEN AUFSICHTSBEHÖRDEN IN DIESER ANGELEGENHEIT </w:t>
      </w:r>
    </w:p>
    <w:p>
      <w:pPr>
        <w:pStyle w:val="Normal"/>
        <w:spacing w:before="0" w:after="120"/>
        <w:jc w:val="both"/>
        <w:rPr>
          <w:lang w:val="de-DE" w:eastAsia="en-US" w:bidi="ar-SA"/>
        </w:rPr>
      </w:pPr>
      <w:r>
        <w:rPr>
          <w:rFonts w:eastAsia="Times New Roman" w:cs="Calibri Light" w:ascii="Calibri Light" w:hAnsi="Calibri Light"/>
          <w:lang w:val="de-DE" w:eastAsia="en-US" w:bidi="ar-SA"/>
        </w:rPr>
        <w:t>Verfügt die deutsche Finanzaufsicht über die notwendigen Befugnisse, die Verwaltungsstruktur und die gesetzlichen Ziele, um ein Marktversagen dieser Größenordnung zu verhindern?</w:t>
      </w:r>
    </w:p>
    <w:p>
      <w:pPr>
        <w:pStyle w:val="Normal"/>
        <w:spacing w:before="0" w:after="120"/>
        <w:jc w:val="both"/>
        <w:rPr>
          <w:lang w:val="de-DE" w:eastAsia="en-US" w:bidi="ar-SA"/>
        </w:rPr>
      </w:pPr>
      <w:r>
        <w:rPr>
          <w:rFonts w:eastAsia="Times New Roman" w:cs="Calibri Light" w:ascii="Calibri Light" w:hAnsi="Calibri Light"/>
          <w:lang w:val="de-DE" w:eastAsia="en-US" w:bidi="ar-SA"/>
        </w:rPr>
        <w:t xml:space="preserve">BETTER FINANCE begrüßt, dass die Europäische Kommission umgehend </w:t>
      </w:r>
      <w:r>
        <w:rPr>
          <w:rFonts w:cs="Calibri Light" w:ascii="Calibri Light" w:hAnsi="Calibri Light"/>
          <w:lang w:val="de-DE" w:eastAsia="en-US" w:bidi="ar-SA"/>
        </w:rPr>
        <w:t>eine Analyse angefordert</w:t>
      </w:r>
      <w:r>
        <w:rPr>
          <w:rFonts w:eastAsia="Times New Roman" w:cs="Calibri Light" w:ascii="Calibri Light" w:hAnsi="Calibri Light"/>
          <w:lang w:val="de-DE" w:eastAsia="en-US" w:bidi="ar-SA"/>
        </w:rPr>
        <w:t xml:space="preserve"> hat</w:t>
      </w:r>
      <w:r>
        <w:rPr>
          <w:rFonts w:cs="Calibri Light" w:ascii="Calibri Light" w:hAnsi="Calibri Light"/>
          <w:lang w:val="de-DE" w:eastAsia="en-US" w:bidi="ar-SA"/>
        </w:rPr>
        <w:t>, die „</w:t>
      </w:r>
      <w:r>
        <w:rPr>
          <w:rFonts w:cs="Calibri Light" w:ascii="Calibri Light" w:hAnsi="Calibri Light"/>
          <w:i/>
          <w:iCs/>
          <w:color w:val="0A0A0A"/>
          <w:lang w:val="de-DE" w:eastAsia="en-US" w:bidi="ar-SA"/>
        </w:rPr>
        <w:t xml:space="preserve">eine umfassende Beschreibung und Bewertung der Ereignisse, einschließlich der Angemessenheit der aufsichtlichen Reaktion auf diese Ereignisse, zum Ziel haben sollte“, </w:t>
      </w:r>
      <w:r>
        <w:rPr>
          <w:rFonts w:cs="Calibri Light" w:ascii="Calibri Light" w:hAnsi="Calibri Light"/>
          <w:color w:val="0A0A0A"/>
          <w:lang w:val="de-DE" w:eastAsia="en-US" w:bidi="ar-SA"/>
        </w:rPr>
        <w:t xml:space="preserve">und hofft, dass sie bald Antworten liefern wird. </w:t>
      </w:r>
    </w:p>
    <w:p>
      <w:pPr>
        <w:pStyle w:val="Normal"/>
        <w:shd w:val="clear" w:color="auto" w:fill="0070C0"/>
        <w:jc w:val="both"/>
        <w:rPr>
          <w:lang w:val="de-DE" w:eastAsia="en-US" w:bidi="ar-SA"/>
        </w:rPr>
      </w:pPr>
      <w:r>
        <w:drawing>
          <wp:anchor behindDoc="0" distT="0" distB="0" distL="0" distR="114300" simplePos="0" locked="0" layoutInCell="1" allowOverlap="1" relativeHeight="4">
            <wp:simplePos x="0" y="0"/>
            <wp:positionH relativeFrom="margin">
              <wp:align>left</wp:align>
            </wp:positionH>
            <wp:positionV relativeFrom="paragraph">
              <wp:posOffset>43180</wp:posOffset>
            </wp:positionV>
            <wp:extent cx="271145" cy="271145"/>
            <wp:effectExtent l="0" t="0" r="0" b="0"/>
            <wp:wrapTight wrapText="bothSides">
              <wp:wrapPolygon edited="0">
                <wp:start x="2661" y="0"/>
                <wp:lineTo x="-396" y="5940"/>
                <wp:lineTo x="-396" y="11907"/>
                <wp:lineTo x="4216" y="19355"/>
                <wp:lineTo x="16590" y="19355"/>
                <wp:lineTo x="19666" y="11907"/>
                <wp:lineTo x="19666" y="5940"/>
                <wp:lineTo x="15034" y="0"/>
                <wp:lineTo x="2661" y="0"/>
              </wp:wrapPolygon>
            </wp:wrapTight>
            <wp:docPr id="3" name="Graphic 4" descr="Bad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4" descr="Badge 3"/>
                    <pic:cNvPicPr>
                      <a:picLocks noChangeAspect="1" noChangeArrowheads="1"/>
                    </pic:cNvPicPr>
                  </pic:nvPicPr>
                  <pic:blipFill>
                    <a:blip r:embed="rId35"/>
                    <a:stretch>
                      <a:fillRect/>
                    </a:stretch>
                  </pic:blipFill>
                  <pic:spPr bwMode="auto">
                    <a:xfrm>
                      <a:off x="0" y="0"/>
                      <a:ext cx="271145" cy="271145"/>
                    </a:xfrm>
                    <a:prstGeom prst="rect">
                      <a:avLst/>
                    </a:prstGeom>
                  </pic:spPr>
                </pic:pic>
              </a:graphicData>
            </a:graphic>
          </wp:anchor>
        </w:drawing>
      </w:r>
      <w:r>
        <w:rPr>
          <w:rFonts w:cs="Calibri Light" w:ascii="Calibri Light" w:hAnsi="Calibri Light"/>
          <w:b/>
          <w:bCs/>
          <w:i/>
          <w:iCs/>
          <w:color w:val="FFFFFF"/>
          <w:lang w:val="de-DE" w:eastAsia="en-US" w:bidi="ar-SA"/>
        </w:rPr>
        <w:t>V</w:t>
      </w:r>
      <w:r>
        <w:rPr>
          <w:rFonts w:cs="Calibri Light" w:ascii="Calibri Light" w:hAnsi="Calibri Light"/>
          <w:b/>
          <w:bCs/>
          <w:i/>
          <w:iCs/>
          <w:color w:val="FFFFFF"/>
          <w:lang w:val="de-DE" w:eastAsia="en-US" w:bidi="ar-SA"/>
        </w:rPr>
        <w:t xml:space="preserve">ERSAGEN BEI EXTERNEN REVISIONEN: UNTERSUCHUNG DES VERSAGENS DER PRÜFUNGSGESELLSCHAFT UND DER AUSWIRKUNGEN „LANGFRISTIGER BEZIEHUNGEN“ ZWISCHEN PRÜFUNGSGESELLSCHAFTEN UND BÖRSENNOTIERTEN UNTERNEHMEN </w:t>
      </w:r>
    </w:p>
    <w:p>
      <w:pPr>
        <w:pStyle w:val="Normal"/>
        <w:spacing w:before="0" w:after="120"/>
        <w:jc w:val="both"/>
        <w:rPr>
          <w:lang w:val="de-DE" w:eastAsia="en-US" w:bidi="ar-SA"/>
        </w:rPr>
      </w:pPr>
      <w:r>
        <w:rPr>
          <w:rFonts w:cs="Calibri Light" w:ascii="Calibri Light" w:hAnsi="Calibri Light"/>
          <w:color w:val="000000"/>
          <w:lang w:val="de-DE" w:eastAsia="en-US" w:bidi="ar-SA"/>
        </w:rPr>
        <w:t>Die Europäische Wertpapier- und Marktaufsichtsbehörde (ESMA) sollte in Zusammenarbeit mit den nationalen Aufsichtsbehörden (NSA) die oft zu langen und engen Beziehungen der Prüfungsgesellschaften zu ihren „Kunden“, d. h. börsennotierten Unternehmen, koordinieren, um sie durch Finanzkontrollen in Schranken zu halten.</w:t>
      </w:r>
    </w:p>
    <w:p>
      <w:pPr>
        <w:pStyle w:val="Normal"/>
        <w:jc w:val="both"/>
        <w:rPr>
          <w:lang w:val="de-DE" w:eastAsia="en-US" w:bidi="ar-SA"/>
        </w:rPr>
      </w:pPr>
      <w:r>
        <w:drawing>
          <wp:anchor behindDoc="0" distT="0" distB="0" distL="114300" distR="114300" simplePos="0" locked="0" layoutInCell="1" allowOverlap="1" relativeHeight="5">
            <wp:simplePos x="0" y="0"/>
            <wp:positionH relativeFrom="margin">
              <wp:posOffset>0</wp:posOffset>
            </wp:positionH>
            <wp:positionV relativeFrom="paragraph">
              <wp:posOffset>617220</wp:posOffset>
            </wp:positionV>
            <wp:extent cx="271145" cy="271145"/>
            <wp:effectExtent l="0" t="0" r="0" b="0"/>
            <wp:wrapTight wrapText="bothSides">
              <wp:wrapPolygon edited="0">
                <wp:start x="2661" y="0"/>
                <wp:lineTo x="-396" y="5940"/>
                <wp:lineTo x="-396" y="11907"/>
                <wp:lineTo x="4216" y="19355"/>
                <wp:lineTo x="16590" y="19355"/>
                <wp:lineTo x="19666" y="11907"/>
                <wp:lineTo x="19666" y="5940"/>
                <wp:lineTo x="15034" y="0"/>
                <wp:lineTo x="2661" y="0"/>
              </wp:wrapPolygon>
            </wp:wrapTight>
            <wp:docPr id="4" name="Graphic 5" descr="Bad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5" descr="Badge 4"/>
                    <pic:cNvPicPr>
                      <a:picLocks noChangeAspect="1" noChangeArrowheads="1"/>
                    </pic:cNvPicPr>
                  </pic:nvPicPr>
                  <pic:blipFill>
                    <a:blip r:embed="rId36"/>
                    <a:stretch>
                      <a:fillRect/>
                    </a:stretch>
                  </pic:blipFill>
                  <pic:spPr bwMode="auto">
                    <a:xfrm>
                      <a:off x="0" y="0"/>
                      <a:ext cx="271145" cy="271145"/>
                    </a:xfrm>
                    <a:prstGeom prst="rect">
                      <a:avLst/>
                    </a:prstGeom>
                  </pic:spPr>
                </pic:pic>
              </a:graphicData>
            </a:graphic>
          </wp:anchor>
        </w:drawing>
      </w:r>
      <w:r>
        <w:rPr>
          <w:rFonts w:cs="Calibri Light" w:ascii="Calibri Light" w:hAnsi="Calibri Light"/>
          <w:color w:val="000000"/>
          <w:lang w:val="de-DE" w:eastAsia="en-US" w:bidi="ar-SA"/>
        </w:rPr>
        <w:t>O</w:t>
      </w:r>
      <w:r>
        <w:rPr>
          <w:rFonts w:cs="Calibri Light" w:ascii="Calibri Light" w:hAnsi="Calibri Light"/>
          <w:color w:val="000000"/>
          <w:lang w:val="de-DE" w:eastAsia="en-US" w:bidi="ar-SA"/>
        </w:rPr>
        <w:t>bwohl die verfügbaren Informationen nicht ausreichen, um eine Haftung des für 12 Jahres bestellten Prüfers zu bestimmen, hat BETTER FINANCE seit der EU-Audit-Reform von 2012 die Notwendigkeit betont, sicherzustellen, dass die Wirtschaftsprüfung, insbesondere die Finanzprüfung, wirklich unparteiisch und unabhängig vom geprüften Unternehmen bleiben muss.</w:t>
      </w:r>
    </w:p>
    <w:p>
      <w:pPr>
        <w:pStyle w:val="Normal"/>
        <w:shd w:val="clear" w:color="auto" w:fill="0070C0"/>
        <w:ind w:left="709" w:hanging="0"/>
        <w:jc w:val="both"/>
        <w:rPr>
          <w:lang w:val="de-DE" w:eastAsia="en-US" w:bidi="ar-SA"/>
        </w:rPr>
      </w:pPr>
      <w:r>
        <w:rPr>
          <w:rFonts w:cs="Calibri Light" w:ascii="Calibri Light" w:hAnsi="Calibri Light"/>
          <w:b/>
          <w:bCs/>
          <w:i/>
          <w:iCs/>
          <w:color w:val="FFFFFF"/>
          <w:lang w:val="de-DE" w:eastAsia="en-US" w:bidi="ar-SA"/>
        </w:rPr>
        <w:t>VERSAGEN DER UNTERNEHMENSFÜHRUNG: ÜBERPRÜFUNG DER UNTERNEHMENSFÜHRUNGSREGELN</w:t>
      </w:r>
    </w:p>
    <w:p>
      <w:pPr>
        <w:pStyle w:val="Normal"/>
        <w:jc w:val="both"/>
        <w:rPr>
          <w:lang w:val="de-DE" w:eastAsia="en-US" w:bidi="ar-SA"/>
        </w:rPr>
      </w:pPr>
      <w:r>
        <w:rPr>
          <w:rFonts w:cs="Calibri Light" w:ascii="Calibri Light" w:hAnsi="Calibri Light"/>
          <w:color w:val="000000"/>
          <w:lang w:val="de-DE" w:eastAsia="en-US" w:bidi="ar-SA"/>
        </w:rPr>
        <w:t>Obwohl die Haftung der Leitung der Wirecard AG bis heute nicht nachgewiesen ist und die verfügbaren Informationen zudem nicht ausreichen, um sie zu belegen, hätte die Tatsache, dass fast ein Viertel der Gesamtbilanz des Unternehmens angeblich auf undurchsichtigen Treuhandkonten im asiatisch-pazifischen Raum gehalten wurde, zumindest beim Vorstand dieses Unternehmens einen Verdacht erhärten müssen, insbesondere angesichts seiner Verantwortung im Bereich Risikomanagement.</w:t>
      </w:r>
    </w:p>
    <w:p>
      <w:pPr>
        <w:pStyle w:val="Normal"/>
        <w:jc w:val="both"/>
        <w:rPr>
          <w:lang w:val="de-DE" w:eastAsia="en-US" w:bidi="ar-SA"/>
        </w:rPr>
      </w:pPr>
      <w:r>
        <w:drawing>
          <wp:anchor behindDoc="0" distT="0" distB="0" distL="114300" distR="114300" simplePos="0" locked="0" layoutInCell="1" allowOverlap="1" relativeHeight="6">
            <wp:simplePos x="0" y="0"/>
            <wp:positionH relativeFrom="margin">
              <wp:posOffset>-5715</wp:posOffset>
            </wp:positionH>
            <wp:positionV relativeFrom="paragraph">
              <wp:posOffset>6985</wp:posOffset>
            </wp:positionV>
            <wp:extent cx="271145" cy="271145"/>
            <wp:effectExtent l="0" t="0" r="0" b="0"/>
            <wp:wrapTight wrapText="bothSides">
              <wp:wrapPolygon edited="0">
                <wp:start x="2661" y="0"/>
                <wp:lineTo x="-396" y="5940"/>
                <wp:lineTo x="-396" y="11907"/>
                <wp:lineTo x="4216" y="19355"/>
                <wp:lineTo x="16590" y="19355"/>
                <wp:lineTo x="19666" y="11907"/>
                <wp:lineTo x="19666" y="5940"/>
                <wp:lineTo x="15034" y="0"/>
                <wp:lineTo x="2661" y="0"/>
              </wp:wrapPolygon>
            </wp:wrapTight>
            <wp:docPr id="5" name="Graphic 6" descr="Bad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6" descr="Badge 5"/>
                    <pic:cNvPicPr>
                      <a:picLocks noChangeAspect="1" noChangeArrowheads="1"/>
                    </pic:cNvPicPr>
                  </pic:nvPicPr>
                  <pic:blipFill>
                    <a:blip r:embed="rId37"/>
                    <a:stretch>
                      <a:fillRect/>
                    </a:stretch>
                  </pic:blipFill>
                  <pic:spPr bwMode="auto">
                    <a:xfrm>
                      <a:off x="0" y="0"/>
                      <a:ext cx="271145" cy="271145"/>
                    </a:xfrm>
                    <a:prstGeom prst="rect">
                      <a:avLst/>
                    </a:prstGeom>
                  </pic:spPr>
                </pic:pic>
              </a:graphicData>
            </a:graphic>
          </wp:anchor>
        </w:drawing>
      </w:r>
      <w:r>
        <w:rPr>
          <w:rFonts w:eastAsia="Times New Roman" w:cs="Calibri Light" w:ascii="Calibri Light" w:hAnsi="Calibri Light"/>
          <w:b/>
          <w:bCs/>
          <w:i/>
          <w:iCs/>
          <w:color w:val="FFFFFF"/>
          <w:shd w:fill="0070C0" w:val="clear"/>
          <w:lang w:val="de-DE" w:eastAsia="en-US" w:bidi="ar-SA"/>
        </w:rPr>
        <w:t>E</w:t>
      </w:r>
      <w:r>
        <w:rPr>
          <w:rFonts w:eastAsia="Times New Roman" w:cs="Calibri Light" w:ascii="Calibri Light" w:hAnsi="Calibri Light"/>
          <w:b/>
          <w:bCs/>
          <w:i/>
          <w:iCs/>
          <w:color w:val="FFFFFF"/>
          <w:shd w:fill="0070C0" w:val="clear"/>
          <w:lang w:val="de-DE" w:eastAsia="en-US" w:bidi="ar-SA"/>
        </w:rPr>
        <w:t>NTSCHÄDIGUNG DER OPFER: ENDE DER BENACHTEILIGUNG PRIVATER KAPITALANLEGER IM EU-ENTWURF FÜR VORSCHRIFTEN ZUR KOLLEKTIVEN RECHTSDURCHSETZUNG</w:t>
      </w:r>
    </w:p>
    <w:p>
      <w:pPr>
        <w:pStyle w:val="Normal"/>
        <w:jc w:val="both"/>
        <w:rPr>
          <w:lang w:val="de-DE" w:eastAsia="en-US" w:bidi="ar-SA"/>
        </w:rPr>
      </w:pPr>
      <w:r>
        <w:drawing>
          <wp:anchor behindDoc="0" distT="0" distB="0" distL="114300" distR="114300" simplePos="0" locked="0" layoutInCell="1" allowOverlap="1" relativeHeight="11">
            <wp:simplePos x="0" y="0"/>
            <wp:positionH relativeFrom="margin">
              <wp:posOffset>0</wp:posOffset>
            </wp:positionH>
            <wp:positionV relativeFrom="paragraph">
              <wp:posOffset>1508760</wp:posOffset>
            </wp:positionV>
            <wp:extent cx="295275" cy="295275"/>
            <wp:effectExtent l="0" t="0" r="0" b="0"/>
            <wp:wrapSquare wrapText="bothSides"/>
            <wp:docPr id="6" name="Graphic 9" descr="Bad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9" descr="Badge 6"/>
                    <pic:cNvPicPr>
                      <a:picLocks noChangeAspect="1" noChangeArrowheads="1"/>
                    </pic:cNvPicPr>
                  </pic:nvPicPr>
                  <pic:blipFill>
                    <a:blip r:embed="rId38"/>
                    <a:stretch>
                      <a:fillRect/>
                    </a:stretch>
                  </pic:blipFill>
                  <pic:spPr bwMode="auto">
                    <a:xfrm>
                      <a:off x="0" y="0"/>
                      <a:ext cx="295275" cy="295275"/>
                    </a:xfrm>
                    <a:prstGeom prst="rect">
                      <a:avLst/>
                    </a:prstGeom>
                  </pic:spPr>
                </pic:pic>
              </a:graphicData>
            </a:graphic>
          </wp:anchor>
        </w:drawing>
      </w:r>
      <w:r>
        <w:rPr>
          <w:rFonts w:eastAsia="Times New Roman" w:cs="Calibri Light" w:ascii="Calibri Light" w:hAnsi="Calibri Light"/>
          <w:lang w:val="de-DE" w:eastAsia="en-US" w:bidi="ar-SA"/>
        </w:rPr>
        <w:t>M</w:t>
      </w:r>
      <w:r>
        <w:rPr>
          <w:rFonts w:eastAsia="Times New Roman" w:cs="Calibri Light" w:ascii="Calibri Light" w:hAnsi="Calibri Light"/>
          <w:lang w:val="de-DE" w:eastAsia="en-US" w:bidi="ar-SA"/>
        </w:rPr>
        <w:t xml:space="preserve">it Ausnahme der Niederlande </w:t>
      </w:r>
      <w:r>
        <w:rPr>
          <w:rFonts w:cs="Calibri Light" w:ascii="Calibri Light" w:hAnsi="Calibri Light"/>
          <w:color w:val="000000"/>
          <w:lang w:val="de-DE" w:eastAsia="en-US" w:bidi="ar-SA"/>
        </w:rPr>
        <w:t xml:space="preserve">hat Europa </w:t>
      </w:r>
      <w:r>
        <w:rPr>
          <w:rFonts w:eastAsia="Times New Roman" w:cs="Calibri Light" w:ascii="Calibri Light" w:hAnsi="Calibri Light"/>
          <w:lang w:val="de-DE" w:eastAsia="en-US" w:bidi="ar-SA"/>
        </w:rPr>
        <w:t xml:space="preserve">die Opfer solcher Missbrauchsfälle </w:t>
      </w:r>
      <w:r>
        <w:rPr>
          <w:rFonts w:cs="Calibri Light" w:ascii="Calibri Light" w:hAnsi="Calibri Light"/>
          <w:color w:val="000000"/>
          <w:lang w:val="de-DE" w:eastAsia="en-US" w:bidi="ar-SA"/>
        </w:rPr>
        <w:t xml:space="preserve">stets </w:t>
      </w:r>
      <w:r>
        <w:rPr>
          <w:rFonts w:eastAsia="Times New Roman" w:cs="Calibri Light" w:ascii="Calibri Light" w:hAnsi="Calibri Light"/>
          <w:lang w:val="de-DE" w:eastAsia="en-US" w:bidi="ar-SA"/>
        </w:rPr>
        <w:t xml:space="preserve">wohlwollend vernachlässigt: Anleger und Altersvorsorgesparer, die darauf angewiesen sind. Dabei wundert man sich immer, warum Letztere kein Vertrauen in die Finanzmärkte haben. </w:t>
      </w:r>
      <w:r>
        <w:rPr>
          <w:rFonts w:cs="Calibri Light" w:ascii="Calibri Light" w:hAnsi="Calibri Light"/>
          <w:color w:val="000000"/>
          <w:lang w:val="de-DE" w:eastAsia="en-US" w:bidi="ar-SA"/>
        </w:rPr>
        <w:t>Der derzeitige Entwurf einer „</w:t>
      </w:r>
      <w:r>
        <w:rPr>
          <w:rFonts w:cs="Calibri Light" w:ascii="Calibri Light" w:hAnsi="Calibri Light"/>
          <w:i/>
          <w:iCs/>
          <w:lang w:val="de-DE" w:eastAsia="en-US" w:bidi="ar-SA"/>
        </w:rPr>
        <w:t>Richtlinie über Verbandsklagen zum Schutz der Kollektivinteressen der Verbraucher</w:t>
      </w:r>
      <w:r>
        <w:rPr>
          <w:rFonts w:cs="Calibri Light" w:ascii="Calibri Light" w:hAnsi="Calibri Light"/>
          <w:lang w:val="de-DE" w:eastAsia="en-US" w:bidi="ar-SA"/>
        </w:rPr>
        <w:t xml:space="preserve">“ </w:t>
      </w:r>
      <w:r>
        <w:rPr>
          <w:rFonts w:cs="Calibri Light" w:ascii="Calibri Light" w:hAnsi="Calibri Light"/>
          <w:color w:val="000000"/>
          <w:lang w:val="de-DE" w:eastAsia="en-US" w:bidi="ar-SA"/>
        </w:rPr>
        <w:t>schließt auch jetzt wieder nicht-professionelle Privatanleger in Aktien aus seinem Anwendungsbereich aus und benachteiligt sie gegenüber Anlegern, die in vermittelte verpackte Anlageprodukte wie Fonds und Lebensversicherungen investieren. Das Hochrangige Forum zur Kapitalmarktunion hat soeben empfohlen, Aktienanleger wieder in seinen Anwendungsbereich einzubeziehen. Reicht der Fall Wirecard aus, um nochmals daran zu erinnern, dass es für die EU-Behörden an der Zeit wäre, diesem Beispiel zu folgen?</w:t>
      </w:r>
    </w:p>
    <w:p>
      <w:pPr>
        <w:pStyle w:val="Normal"/>
        <w:shd w:val="clear" w:color="auto" w:fill="0070C0"/>
        <w:jc w:val="both"/>
        <w:rPr>
          <w:lang w:val="de-DE" w:eastAsia="en-US" w:bidi="ar-SA"/>
        </w:rPr>
      </w:pPr>
      <w:r>
        <w:rPr>
          <w:rFonts w:cs="Calibri Light" w:ascii="Calibri Light" w:hAnsi="Calibri Light"/>
          <w:b/>
          <w:bCs/>
          <w:i/>
          <w:iCs/>
          <w:color w:val="FFFFFF"/>
          <w:lang w:val="de-DE" w:eastAsia="en-US" w:bidi="ar-SA"/>
        </w:rPr>
        <w:t>BÖRSENINDIZES MÜSSEN BEIM LISTING UND DE-LISTING FLEXIBLER SEIN</w:t>
      </w:r>
    </w:p>
    <w:p>
      <w:pPr>
        <w:pStyle w:val="Normal"/>
        <w:spacing w:before="0" w:after="120"/>
        <w:jc w:val="both"/>
        <w:rPr>
          <w:lang w:val="de-DE" w:eastAsia="en-US" w:bidi="ar-SA"/>
        </w:rPr>
      </w:pPr>
      <w:r>
        <w:rPr>
          <w:rFonts w:cs="Calibri Light" w:ascii="Calibri Light" w:hAnsi="Calibri Light"/>
          <w:color w:val="000000"/>
          <w:lang w:val="de-DE" w:eastAsia="en-US" w:bidi="ar-SA"/>
        </w:rPr>
        <w:t>Mit einer Marktkapitalisierung von 22,5 Milliarden Euro im Jahr 2018 verdrängte die Wirecard AG ein anderes großes Unternehmen aus dem deutschen Blue-Chip-Index (DAX 30). Die Wirecard AG ist jedoch nach wie vor in diesem Index vertreten, zumindest bis zur Revision im September 2020.</w:t>
      </w:r>
    </w:p>
    <w:p>
      <w:pPr>
        <w:pStyle w:val="Normal"/>
        <w:spacing w:before="0" w:after="120"/>
        <w:jc w:val="both"/>
        <w:rPr>
          <w:lang w:val="de-DE" w:eastAsia="en-US" w:bidi="ar-SA"/>
        </w:rPr>
      </w:pPr>
      <w:r>
        <w:rPr>
          <w:rFonts w:cs="Calibri Light" w:ascii="Calibri Light" w:hAnsi="Calibri Light"/>
          <w:color w:val="000000"/>
          <w:lang w:val="de-DE" w:eastAsia="en-US" w:bidi="ar-SA"/>
        </w:rPr>
        <w:t>Für nicht-professionelle private Anleger ist dies von großer Bedeutung, da viele Finanzprodukte für Kleinanleger, wie OGAW, OGAW-ETF, Pensionsfonds oder Versicherungsanlageprodukte (IBIP) Komponenten von Blue-Chip-Indizes verfolgen und versuchen, sie nachzubilden, sodass sie vorerst mit erheblichen Verlusten behaftet sind.</w:t>
      </w:r>
    </w:p>
    <w:p>
      <w:pPr>
        <w:pStyle w:val="Normal"/>
        <w:jc w:val="both"/>
        <w:rPr>
          <w:lang w:val="de-DE" w:eastAsia="en-US" w:bidi="ar-SA"/>
        </w:rPr>
      </w:pPr>
      <w:r>
        <w:rPr>
          <w:rFonts w:cs="Calibri Light" w:ascii="Calibri Light" w:hAnsi="Calibri Light"/>
          <w:color w:val="000000"/>
          <w:lang w:val="de-DE" w:eastAsia="en-US" w:bidi="ar-SA"/>
        </w:rPr>
        <w:t>Obwohl nicht für alle Börsengruppen die gleichen Regeln gelten, sollte die EU-Finanzregulierung die Verpflichtung der Betreiber von Handelseinrichtungen harmonisieren, um den sofortigen Ausschluss von Unternehmen in Fällen zuzulassen, in denen aus unterschiedlichen Gründen ein erheblicher Rückgang des Aktienkurses eintritt.</w:t>
      </w:r>
    </w:p>
    <w:p>
      <w:pPr>
        <w:pStyle w:val="Normal"/>
        <w:jc w:val="both"/>
        <w:rPr>
          <w:rFonts w:ascii="Calibri Light" w:hAnsi="Calibri Light" w:cs="Calibri Light"/>
          <w:color w:val="000000"/>
          <w:lang w:val="de-DE" w:eastAsia="en-US" w:bidi="ar-SA"/>
        </w:rPr>
      </w:pPr>
      <w:r>
        <w:rPr>
          <w:rFonts w:cs="Calibri Light" w:ascii="Calibri Light" w:hAnsi="Calibri Light"/>
          <w:color w:val="000000"/>
          <w:lang w:val="de-DE" w:eastAsia="en-US" w:bidi="ar-SA"/>
        </w:rPr>
      </w:r>
    </w:p>
    <w:p>
      <w:pPr>
        <w:pStyle w:val="Normal"/>
        <w:jc w:val="both"/>
        <w:rPr>
          <w:lang w:val="de-DE" w:eastAsia="en-US" w:bidi="ar-SA"/>
        </w:rPr>
      </w:pPr>
      <w:r>
        <w:rPr>
          <w:rFonts w:cs="Calibri Light" w:ascii="Calibri Light" w:hAnsi="Calibri Light"/>
          <w:color w:val="000000"/>
          <w:lang w:val="de-DE" w:eastAsia="en-US" w:bidi="ar-SA"/>
        </w:rPr>
        <w:t>Guillaume Prache, Geschäftsführer von BETTER FINANCE, warnte: „</w:t>
      </w:r>
      <w:r>
        <w:rPr>
          <w:rFonts w:cs="Calibri Light" w:ascii="Calibri Light" w:hAnsi="Calibri Light"/>
          <w:i/>
          <w:iCs/>
          <w:color w:val="000000"/>
          <w:lang w:val="de-DE" w:eastAsia="en-US" w:bidi="ar-SA"/>
        </w:rPr>
        <w:t>Wirecard ist ein schrecklicher Fall einer Häufung von Versäumnissen durch Aufsichtsbehörden, Wirtschaftsprüfer und Corporate-Governance-Aufsichtsorganen, die für Anleger, die nicht über Insider-Informationen verfügen, sowie für Altersvorsorgesparer erhebliche Schäden verursachen. Die politischen Entscheidungsträger der EU müssen die Lehren daraus ziehen und schnell handeln. Andernfalls werden ihre erklärten Ziele, eine Kapitalmarktunion zu verwirklichen, die „für die Menschen arbeitet“, und das Vertrauen der Anleger wiederherzustellen, Wunschdenken bleiben.“</w:t>
      </w:r>
    </w:p>
    <w:p>
      <w:pPr>
        <w:pStyle w:val="Normal"/>
        <w:jc w:val="both"/>
        <w:rPr>
          <w:rFonts w:ascii="Calibri Light" w:hAnsi="Calibri Light" w:cs="Calibri Light"/>
          <w:color w:val="000000"/>
          <w:lang w:val="de-DE" w:eastAsia="en-US" w:bidi="ar-SA"/>
        </w:rPr>
      </w:pPr>
      <w:r>
        <w:rPr>
          <w:rFonts w:cs="Calibri Light" w:ascii="Calibri Light" w:hAnsi="Calibri Light"/>
          <w:color w:val="000000"/>
          <w:lang w:val="de-DE" w:eastAsia="en-US" w:bidi="ar-SA"/>
        </w:rPr>
      </w:r>
    </w:p>
    <w:p>
      <w:pPr>
        <w:pStyle w:val="Normal"/>
        <w:spacing w:lineRule="auto" w:line="240" w:before="0" w:after="0"/>
        <w:jc w:val="center"/>
        <w:rPr>
          <w:lang w:val="de-DE" w:eastAsia="en-US" w:bidi="ar-SA"/>
        </w:rPr>
      </w:pPr>
      <w:r>
        <w:rPr>
          <w:rFonts w:cs="Calibri Light" w:ascii="Calibri Light" w:hAnsi="Calibri Light"/>
          <w:lang w:val="de-DE" w:eastAsia="en-US" w:bidi="ar-SA"/>
        </w:rPr>
        <w:t>***</w:t>
      </w:r>
    </w:p>
    <w:p>
      <w:pPr>
        <w:pStyle w:val="Textkrper"/>
        <w:spacing w:lineRule="auto" w:line="240" w:before="120" w:after="0"/>
        <w:jc w:val="center"/>
        <w:rPr/>
      </w:pPr>
      <w:r>
        <w:rPr>
          <w:rFonts w:cs="Calibri Light" w:ascii="Calibri Light" w:hAnsi="Calibri Light"/>
          <w:sz w:val="20"/>
          <w:u w:val="single"/>
          <w:lang w:val="de-DE" w:eastAsia="en-US" w:bidi="ar-SA"/>
        </w:rPr>
        <w:t>Kontakt</w:t>
      </w:r>
      <w:r>
        <w:rPr>
          <w:rFonts w:cs="Calibri Light" w:ascii="Calibri Light" w:hAnsi="Calibri Light"/>
          <w:sz w:val="20"/>
          <w:lang w:val="de-DE" w:eastAsia="en-US" w:bidi="ar-SA"/>
        </w:rPr>
        <w:t xml:space="preserve">: Leiter der Kommunikationsabteilung ǀ Arnaud Houdmont ǀ +32 (0)2 514 37 77 ǀ </w:t>
      </w:r>
      <w:hyperlink r:id="rId39">
        <w:r>
          <w:rPr>
            <w:rStyle w:val="Internetverknpfung"/>
            <w:rFonts w:cs="Calibri Light" w:ascii="Calibri Light" w:hAnsi="Calibri Light"/>
            <w:sz w:val="20"/>
            <w:lang w:val="de-DE" w:eastAsia="en-US" w:bidi="ar-SA"/>
          </w:rPr>
          <w:t>houdmont@betterfinance.eu</w:t>
        </w:r>
      </w:hyperlink>
    </w:p>
    <w:p>
      <w:pPr>
        <w:pStyle w:val="Normal"/>
        <w:spacing w:before="0" w:after="160"/>
        <w:jc w:val="both"/>
        <w:rPr>
          <w:lang w:val="de-DE" w:eastAsia="en-US" w:bidi="ar-SA"/>
        </w:rPr>
      </w:pPr>
      <w:r>
        <w:rPr/>
      </w:r>
    </w:p>
    <w:sectPr>
      <w:headerReference w:type="default" r:id="rId40"/>
      <w:footerReference w:type="default" r:id="rId41"/>
      <w:footnotePr>
        <w:numFmt w:val="decimal"/>
      </w:footnotePr>
      <w:type w:val="nextPage"/>
      <w:pgSz w:w="11906" w:h="16838"/>
      <w:pgMar w:left="1417" w:right="1417" w:header="708" w:top="1417" w:footer="708"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libri Light">
    <w:charset w:val="01"/>
    <w:family w:val="swiss"/>
    <w:pitch w:val="default"/>
  </w:font>
  <w:font w:name="Segoe UI">
    <w:charset w:val="01"/>
    <w:family w:val="swiss"/>
    <w:pitch w:val="default"/>
  </w:font>
  <w:font w:name="Tahoma">
    <w:charset w:val="01"/>
    <w:family w:val="swiss"/>
    <w:pitch w:val="default"/>
  </w:font>
  <w:font w:name="Arial">
    <w:charset w:val="01"/>
    <w:family w:val="swiss"/>
    <w:pitch w:val="default"/>
  </w:font>
  <w:font w:name="Times New Roman">
    <w:charset w:val="01"/>
    <w:family w:val="swiss"/>
    <w:pitch w:val="default"/>
  </w:font>
  <w:font w:name="Cambria">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120" w:after="0"/>
      <w:ind w:left="-567" w:hanging="0"/>
      <w:jc w:val="center"/>
      <w:rPr>
        <w:b/>
        <w:b/>
        <w:color w:val="006FB4"/>
        <w:sz w:val="16"/>
        <w:szCs w:val="16"/>
        <w:lang w:val="en-US"/>
      </w:rPr>
    </w:pPr>
    <w:r>
      <w:rPr>
        <w:b/>
        <w:color w:val="006FB4"/>
        <w:sz w:val="16"/>
        <w:szCs w:val="16"/>
        <w:lang w:val="en-US"/>
      </w:rPr>
      <w:t>Europäische</w:t>
    </w:r>
    <w:r>
      <w:rPr>
        <w:b/>
        <w:color w:val="006FB4"/>
        <w:sz w:val="16"/>
        <w:szCs w:val="16"/>
        <w:lang w:val="de-DE"/>
      </w:rPr>
      <w:t>r Verband der Anleger</w:t>
    </w:r>
    <w:r>
      <w:rPr>
        <w:b/>
        <w:color w:val="006FB4"/>
        <w:sz w:val="16"/>
        <w:szCs w:val="16"/>
        <w:lang w:val="en-US"/>
      </w:rPr>
      <w:t xml:space="preserve"> und Nutzer von Finanzdienstleistungen</w:t>
    </w:r>
  </w:p>
  <w:p>
    <w:pPr>
      <w:pStyle w:val="Normal"/>
      <w:spacing w:lineRule="auto" w:line="240" w:before="0" w:after="0"/>
      <w:ind w:left="-567" w:hanging="0"/>
      <w:jc w:val="center"/>
      <w:rPr>
        <w:color w:val="006FB4"/>
        <w:sz w:val="16"/>
        <w:szCs w:val="16"/>
        <w:lang w:val="de-DE"/>
      </w:rPr>
    </w:pPr>
    <w:r>
      <w:rPr>
        <w:color w:val="006FB4"/>
        <w:sz w:val="16"/>
        <w:szCs w:val="16"/>
        <w:lang w:val="de-DE"/>
      </w:rPr>
      <w:t>44, Rue d'Arenberg, 1000 Brüssel - Belgien</w:t>
    </w:r>
  </w:p>
  <w:p>
    <w:pPr>
      <w:pStyle w:val="Normal"/>
      <w:spacing w:lineRule="auto" w:line="240" w:before="0" w:after="0"/>
      <w:ind w:left="-567" w:hanging="0"/>
      <w:jc w:val="center"/>
      <w:rPr/>
    </w:pPr>
    <w:r>
      <w:rPr>
        <w:color w:val="006FB4"/>
        <w:sz w:val="16"/>
        <w:szCs w:val="16"/>
        <w:lang w:val="de-DE"/>
      </w:rPr>
      <w:t xml:space="preserve">Tel. (+32) 02 514 37 77 - Fax. </w:t>
    </w:r>
    <w:r>
      <w:rPr>
        <w:color w:val="006FB4"/>
        <w:sz w:val="16"/>
        <w:szCs w:val="16"/>
        <w:lang w:val="pt-PT"/>
      </w:rPr>
      <w:t>(+32) 02 514 36 66</w:t>
    </w:r>
  </w:p>
  <w:p>
    <w:pPr>
      <w:pStyle w:val="Normal"/>
      <w:spacing w:lineRule="auto" w:line="240" w:before="0" w:after="0"/>
      <w:ind w:left="-567" w:hanging="0"/>
      <w:jc w:val="center"/>
      <w:rPr/>
    </w:pPr>
    <w:r>
      <w:rPr>
        <w:color w:val="006FB4"/>
        <w:sz w:val="16"/>
        <w:szCs w:val="16"/>
        <w:lang w:val="pt-PT"/>
      </w:rPr>
      <w:t>E-Mail: info@betterfinance.eu -</w:t>
    </w:r>
    <w:bookmarkStart w:id="0" w:name="_Hlk944867"/>
    <w:r>
      <w:rPr>
        <w:color w:val="006FB4"/>
        <w:sz w:val="16"/>
        <w:szCs w:val="16"/>
        <w:lang w:val="pt-PT"/>
      </w:rPr>
      <w:t xml:space="preserve"> </w:t>
    </w:r>
    <w:hyperlink r:id="rId1">
      <w:r>
        <w:rPr>
          <w:color w:val="006FB4"/>
          <w:sz w:val="16"/>
          <w:szCs w:val="16"/>
          <w:u w:val="single"/>
          <w:lang w:val="it-IT"/>
        </w:rPr>
        <w:t xml:space="preserve">http://www.betterfinance.eu </w:t>
      </w:r>
    </w:hyperlink>
    <w:bookmarkEnd w:id="0"/>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jc w:val="both"/>
        <w:rPr/>
      </w:pPr>
      <w:r>
        <w:rPr>
          <w:rStyle w:val="Funotenzeichen"/>
        </w:rPr>
        <w:footnoteRef/>
      </w:r>
      <w:hyperlink r:id="rId1">
        <w:r>
          <w:rPr>
            <w:rStyle w:val="Internetverknpfung"/>
            <w:rFonts w:cs="Calibri Light" w:ascii="Calibri Light" w:hAnsi="Calibri Light"/>
            <w:sz w:val="16"/>
            <w:szCs w:val="16"/>
          </w:rPr>
          <w:t xml:space="preserve"> </w:t>
        </w:r>
      </w:hyperlink>
      <w:r>
        <w:rPr>
          <w:rFonts w:cs="Calibri Light" w:ascii="Calibri Light" w:hAnsi="Calibri Light"/>
          <w:sz w:val="16"/>
          <w:szCs w:val="16"/>
        </w:rPr>
        <w:t xml:space="preserve">Siehe FT-Artikel: </w:t>
      </w:r>
      <w:hyperlink r:id="rId2">
        <w:r>
          <w:rPr>
            <w:rStyle w:val="Internetverknpfung"/>
            <w:rFonts w:cs="Calibri Light" w:ascii="Calibri Light" w:hAnsi="Calibri Light"/>
            <w:sz w:val="16"/>
            <w:szCs w:val="16"/>
          </w:rPr>
          <w:t>https://ftalphaville.ft.com/2015/11/20/2145256/jcap-on-wirecard-a-search-for-the-asian-business/</w:t>
        </w:r>
      </w:hyperlink>
      <w:r>
        <w:rPr>
          <w:rFonts w:cs="Calibri Light" w:ascii="Calibri Light" w:hAnsi="Calibri Light"/>
          <w:sz w:val="16"/>
          <w:szCs w:val="16"/>
          <w:lang w:val="de-DE"/>
        </w:rPr>
        <w:t xml:space="preserve"> (von</w:t>
      </w:r>
      <w:r>
        <w:rPr>
          <w:rFonts w:cs="Calibri Light" w:ascii="Calibri Light" w:hAnsi="Calibri Light"/>
          <w:sz w:val="16"/>
          <w:szCs w:val="16"/>
        </w:rPr>
        <w:t xml:space="preserve"> Dan McCrum, </w:t>
      </w:r>
      <w:r>
        <w:rPr>
          <w:rFonts w:cs="Calibri Light" w:ascii="Calibri Light" w:hAnsi="Calibri Light"/>
          <w:sz w:val="16"/>
          <w:szCs w:val="16"/>
          <w:lang w:val="de-DE"/>
        </w:rPr>
        <w:t>„</w:t>
      </w:r>
      <w:r>
        <w:rPr>
          <w:rFonts w:cs="Calibri Light" w:ascii="Calibri Light" w:hAnsi="Calibri Light"/>
          <w:sz w:val="16"/>
          <w:szCs w:val="16"/>
        </w:rPr>
        <w:t>JCap on Wirecard: A Search for the Asian Business</w:t>
      </w:r>
      <w:r>
        <w:rPr>
          <w:rFonts w:cs="Calibri Light" w:ascii="Calibri Light" w:hAnsi="Calibri Light"/>
          <w:sz w:val="16"/>
          <w:szCs w:val="16"/>
          <w:lang w:val="de-DE"/>
        </w:rPr>
        <w:t>“,</w:t>
      </w:r>
      <w:r>
        <w:rPr>
          <w:rFonts w:cs="Calibri Light" w:ascii="Calibri Light" w:hAnsi="Calibri Light"/>
          <w:sz w:val="16"/>
          <w:szCs w:val="16"/>
        </w:rPr>
        <w:t xml:space="preserve"> 20</w:t>
      </w:r>
      <w:r>
        <w:rPr>
          <w:rFonts w:cs="Calibri Light" w:ascii="Calibri Light" w:hAnsi="Calibri Light"/>
          <w:sz w:val="16"/>
          <w:szCs w:val="16"/>
          <w:lang w:val="de-DE"/>
        </w:rPr>
        <w:t>.</w:t>
      </w:r>
      <w:r>
        <w:rPr>
          <w:rFonts w:cs="Calibri Light" w:ascii="Calibri Light" w:hAnsi="Calibri Light"/>
          <w:sz w:val="16"/>
          <w:szCs w:val="16"/>
        </w:rPr>
        <w:t>11</w:t>
      </w:r>
      <w:r>
        <w:rPr>
          <w:rFonts w:cs="Calibri Light" w:ascii="Calibri Light" w:hAnsi="Calibri Light"/>
          <w:sz w:val="16"/>
          <w:szCs w:val="16"/>
          <w:lang w:val="de-DE"/>
        </w:rPr>
        <w:t>.</w:t>
      </w:r>
      <w:r>
        <w:rPr>
          <w:rFonts w:cs="Calibri Light" w:ascii="Calibri Light" w:hAnsi="Calibri Light"/>
          <w:sz w:val="16"/>
          <w:szCs w:val="16"/>
        </w:rPr>
        <w:t>2015)</w:t>
      </w:r>
    </w:p>
  </w:footnote>
  <w:footnote w:id="3">
    <w:p>
      <w:pPr>
        <w:pStyle w:val="Normal"/>
        <w:shd w:val="clear" w:color="auto" w:fill="FFFFFF"/>
        <w:spacing w:before="0" w:after="0"/>
        <w:rPr/>
      </w:pPr>
      <w:r>
        <w:rPr>
          <w:rStyle w:val="Funotenzeichen"/>
        </w:rPr>
        <w:footnoteRef/>
      </w:r>
      <w:hyperlink r:id="rId3">
        <w:r>
          <w:rPr>
            <w:rStyle w:val="Internetverknpfung"/>
            <w:rFonts w:cs="Calibri Light" w:ascii="Calibri Light" w:hAnsi="Calibri Light"/>
            <w:color w:val="0070C0"/>
            <w:sz w:val="16"/>
            <w:szCs w:val="16"/>
          </w:rPr>
          <w:t xml:space="preserve"> </w:t>
        </w:r>
      </w:hyperlink>
      <w:r>
        <w:rPr>
          <w:rFonts w:cs="Calibri Light" w:ascii="Calibri Light" w:hAnsi="Calibri Light"/>
          <w:color w:val="000000"/>
          <w:sz w:val="16"/>
          <w:szCs w:val="16"/>
        </w:rPr>
        <w:t xml:space="preserve">Siehe REUTERS-Artikel: </w:t>
      </w:r>
      <w:hyperlink r:id="rId4">
        <w:r>
          <w:rPr>
            <w:rStyle w:val="Internetverknpfung"/>
            <w:rFonts w:cs="Calibri Light" w:ascii="Calibri Light" w:hAnsi="Calibri Light"/>
            <w:color w:val="0070C0"/>
            <w:sz w:val="16"/>
            <w:szCs w:val="16"/>
          </w:rPr>
          <w:t>https://uk.reuters.com/article/uk-wirecard-report/head-of-germanys-wirecard-rejects-fraud-allegations-by-short-seller-idUKKCN0WH1I4</w:t>
        </w:r>
        <w:r>
          <w:rPr>
            <w:rStyle w:val="Internetverknpfung"/>
            <w:rFonts w:cs="Calibri Light" w:ascii="Calibri Light" w:hAnsi="Calibri Light"/>
            <w:color w:val="0070C0"/>
            <w:sz w:val="16"/>
            <w:szCs w:val="16"/>
            <w:u w:val="none"/>
          </w:rPr>
          <w:t xml:space="preserve"> </w:t>
        </w:r>
      </w:hyperlink>
      <w:r>
        <w:rPr>
          <w:rFonts w:cs="Calibri Light" w:ascii="Calibri Light" w:hAnsi="Calibri Light"/>
          <w:color w:val="000000"/>
          <w:sz w:val="16"/>
          <w:szCs w:val="16"/>
        </w:rPr>
        <w:t>(E. Auchard, J. Poltz, A. Pal, Leiter Wirecard</w:t>
      </w:r>
      <w:r>
        <w:rPr>
          <w:rFonts w:cs="Calibri Light" w:ascii="Calibri Light" w:hAnsi="Calibri Light"/>
          <w:color w:val="000000"/>
          <w:sz w:val="16"/>
          <w:szCs w:val="16"/>
          <w:lang w:val="de-DE"/>
        </w:rPr>
        <w:t xml:space="preserve"> Deutschland,</w:t>
      </w:r>
      <w:r>
        <w:rPr>
          <w:rFonts w:cs="Calibri Light" w:ascii="Calibri Light" w:hAnsi="Calibri Light"/>
          <w:color w:val="000000"/>
          <w:sz w:val="16"/>
          <w:szCs w:val="16"/>
        </w:rPr>
        <w:t xml:space="preserve"> weist Betrugsvorwürfe von Short-Sellern zurück</w:t>
      </w:r>
      <w:r>
        <w:rPr>
          <w:rFonts w:cs="Calibri Light" w:ascii="Calibri Light" w:hAnsi="Calibri Light"/>
          <w:color w:val="000000"/>
          <w:sz w:val="16"/>
          <w:szCs w:val="16"/>
          <w:lang w:val="de-DE"/>
        </w:rPr>
        <w:t>,</w:t>
      </w:r>
      <w:r>
        <w:rPr>
          <w:rFonts w:cs="Calibri Light" w:ascii="Calibri Light" w:hAnsi="Calibri Light"/>
          <w:color w:val="000000"/>
          <w:sz w:val="16"/>
          <w:szCs w:val="16"/>
        </w:rPr>
        <w:t xml:space="preserve"> 15.03.2016)</w:t>
      </w:r>
    </w:p>
  </w:footnote>
  <w:footnote w:id="4">
    <w:p>
      <w:pPr>
        <w:pStyle w:val="Funote"/>
        <w:jc w:val="both"/>
        <w:rPr/>
      </w:pPr>
      <w:r>
        <w:rPr>
          <w:rStyle w:val="Funotenzeichen"/>
        </w:rPr>
        <w:footnoteRef/>
      </w:r>
      <w:r>
        <w:rPr>
          <w:rFonts w:cs="Calibri Light" w:ascii="Calibri Light" w:hAnsi="Calibri Light"/>
          <w:sz w:val="16"/>
          <w:szCs w:val="16"/>
        </w:rPr>
        <w:t xml:space="preserve"> </w:t>
      </w:r>
      <w:r>
        <w:rPr>
          <w:rFonts w:cs="Calibri Light" w:ascii="Calibri Light" w:hAnsi="Calibri Light"/>
          <w:sz w:val="16"/>
          <w:szCs w:val="16"/>
        </w:rPr>
        <w:t xml:space="preserve">Siehe FT-Artikel: </w:t>
      </w:r>
      <w:hyperlink r:id="rId5">
        <w:r>
          <w:rPr>
            <w:rStyle w:val="Internetverknpfung"/>
            <w:rFonts w:cs="Calibri Light" w:ascii="Calibri Light" w:hAnsi="Calibri Light"/>
            <w:sz w:val="16"/>
            <w:szCs w:val="16"/>
          </w:rPr>
          <w:t>https://www.ft.com/content/79bd8da2-2830-11e9-a5ab-ff8ef2b976c7</w:t>
        </w:r>
        <w:r>
          <w:rPr>
            <w:rStyle w:val="Internetverknpfung"/>
            <w:rFonts w:cs="Calibri Light" w:ascii="Calibri Light" w:hAnsi="Calibri Light"/>
            <w:sz w:val="16"/>
            <w:szCs w:val="16"/>
            <w:u w:val="none"/>
          </w:rPr>
          <w:t xml:space="preserve"> </w:t>
        </w:r>
      </w:hyperlink>
      <w:r>
        <w:rPr>
          <w:rFonts w:cs="Calibri Light" w:ascii="Calibri Light" w:hAnsi="Calibri Light"/>
          <w:sz w:val="16"/>
          <w:szCs w:val="16"/>
        </w:rPr>
        <w:t xml:space="preserve">(Olaf Storbeck, Stephania Palma, </w:t>
      </w:r>
      <w:r>
        <w:rPr>
          <w:rFonts w:cs="Calibri Light" w:ascii="Calibri Light" w:hAnsi="Calibri Light"/>
          <w:sz w:val="16"/>
          <w:szCs w:val="16"/>
          <w:lang w:val="de-DE"/>
        </w:rPr>
        <w:t>„</w:t>
      </w:r>
      <w:r>
        <w:rPr>
          <w:rFonts w:cs="Calibri Light" w:ascii="Calibri Light" w:hAnsi="Calibri Light"/>
          <w:sz w:val="16"/>
          <w:szCs w:val="16"/>
        </w:rPr>
        <w:t>Wirecard legt Untersuchung von Buchhaltungsvorwürfen offen</w:t>
      </w:r>
      <w:r>
        <w:rPr>
          <w:rFonts w:cs="Calibri Light" w:ascii="Calibri Light" w:hAnsi="Calibri Light"/>
          <w:sz w:val="16"/>
          <w:szCs w:val="16"/>
          <w:lang w:val="de-DE"/>
        </w:rPr>
        <w:t>“,</w:t>
      </w:r>
      <w:r>
        <w:rPr>
          <w:rFonts w:cs="Calibri Light" w:ascii="Calibri Light" w:hAnsi="Calibri Light"/>
          <w:sz w:val="16"/>
          <w:szCs w:val="16"/>
        </w:rPr>
        <w:t xml:space="preserve"> 04</w:t>
      </w:r>
      <w:r>
        <w:rPr>
          <w:rFonts w:cs="Calibri Light" w:ascii="Calibri Light" w:hAnsi="Calibri Light"/>
          <w:sz w:val="16"/>
          <w:szCs w:val="16"/>
          <w:lang w:val="de-DE"/>
        </w:rPr>
        <w:t>.</w:t>
      </w:r>
      <w:r>
        <w:rPr>
          <w:rFonts w:cs="Calibri Light" w:ascii="Calibri Light" w:hAnsi="Calibri Light"/>
          <w:sz w:val="16"/>
          <w:szCs w:val="16"/>
        </w:rPr>
        <w:t>02</w:t>
      </w:r>
      <w:r>
        <w:rPr>
          <w:rFonts w:cs="Calibri Light" w:ascii="Calibri Light" w:hAnsi="Calibri Light"/>
          <w:sz w:val="16"/>
          <w:szCs w:val="16"/>
          <w:lang w:val="de-DE"/>
        </w:rPr>
        <w:t>.</w:t>
      </w:r>
      <w:r>
        <w:rPr>
          <w:rFonts w:cs="Calibri Light" w:ascii="Calibri Light" w:hAnsi="Calibri Light"/>
          <w:sz w:val="16"/>
          <w:szCs w:val="16"/>
        </w:rPr>
        <w:t>2019)</w:t>
      </w:r>
    </w:p>
  </w:footnote>
  <w:footnote w:id="5">
    <w:p>
      <w:pPr>
        <w:pStyle w:val="Funote"/>
        <w:jc w:val="both"/>
        <w:rPr/>
      </w:pPr>
      <w:r>
        <w:rPr>
          <w:rStyle w:val="Funotenzeichen"/>
        </w:rPr>
        <w:footnoteRef/>
      </w:r>
      <w:r>
        <w:rPr>
          <w:rFonts w:cs="Calibri Light" w:ascii="Calibri Light" w:hAnsi="Calibri Light"/>
          <w:sz w:val="16"/>
          <w:szCs w:val="16"/>
        </w:rPr>
        <w:t xml:space="preserve"> </w:t>
      </w:r>
      <w:r>
        <w:rPr>
          <w:rFonts w:cs="Calibri Light" w:ascii="Calibri Light" w:hAnsi="Calibri Light"/>
          <w:sz w:val="16"/>
          <w:szCs w:val="16"/>
        </w:rPr>
        <w:t xml:space="preserve">Siehe FT-Artikel: </w:t>
      </w:r>
      <w:hyperlink r:id="rId6">
        <w:r>
          <w:rPr>
            <w:rStyle w:val="Internetverknpfung"/>
            <w:rFonts w:cs="Calibri Light" w:ascii="Calibri Light" w:hAnsi="Calibri Light"/>
            <w:sz w:val="16"/>
            <w:szCs w:val="16"/>
          </w:rPr>
          <w:t>https://www.ft.com/content/2997a4b2-255f-11e9-8ce6-5db4543da632</w:t>
        </w:r>
        <w:r>
          <w:rPr>
            <w:rStyle w:val="Internetverknpfung"/>
            <w:rFonts w:cs="Calibri Light" w:ascii="Calibri Light" w:hAnsi="Calibri Light"/>
            <w:sz w:val="16"/>
            <w:szCs w:val="16"/>
            <w:u w:val="none"/>
          </w:rPr>
          <w:t xml:space="preserve"> </w:t>
        </w:r>
      </w:hyperlink>
      <w:r>
        <w:rPr>
          <w:rFonts w:cs="Calibri Light" w:ascii="Calibri Light" w:hAnsi="Calibri Light"/>
          <w:sz w:val="16"/>
          <w:szCs w:val="16"/>
        </w:rPr>
        <w:t xml:space="preserve">(Olaf Storbeck, </w:t>
      </w:r>
      <w:r>
        <w:rPr>
          <w:rFonts w:cs="Calibri Light" w:ascii="Calibri Light" w:hAnsi="Calibri Light"/>
          <w:sz w:val="16"/>
          <w:szCs w:val="16"/>
          <w:lang w:val="de-DE"/>
        </w:rPr>
        <w:t>„</w:t>
      </w:r>
      <w:r>
        <w:rPr>
          <w:rFonts w:cs="Calibri Light" w:ascii="Calibri Light" w:hAnsi="Calibri Light"/>
          <w:sz w:val="16"/>
          <w:szCs w:val="16"/>
        </w:rPr>
        <w:t xml:space="preserve">Deutsche Regulierungsbehörden </w:t>
      </w:r>
      <w:r>
        <w:rPr>
          <w:rFonts w:cs="Calibri Light" w:ascii="Calibri Light" w:hAnsi="Calibri Light"/>
          <w:sz w:val="16"/>
          <w:szCs w:val="16"/>
          <w:lang w:val="de-DE"/>
        </w:rPr>
        <w:t xml:space="preserve">ermitteln nach Kursrutsch </w:t>
      </w:r>
      <w:r>
        <w:rPr>
          <w:rFonts w:cs="Calibri Light" w:ascii="Calibri Light" w:hAnsi="Calibri Light"/>
          <w:sz w:val="16"/>
          <w:szCs w:val="16"/>
        </w:rPr>
        <w:t>bei Wirecard</w:t>
      </w:r>
      <w:r>
        <w:rPr>
          <w:rFonts w:cs="Calibri Light" w:ascii="Calibri Light" w:hAnsi="Calibri Light"/>
          <w:sz w:val="16"/>
          <w:szCs w:val="16"/>
          <w:lang w:val="de-DE"/>
        </w:rPr>
        <w:t>“,</w:t>
      </w:r>
      <w:r>
        <w:rPr>
          <w:rFonts w:cs="Calibri Light" w:ascii="Calibri Light" w:hAnsi="Calibri Light"/>
          <w:sz w:val="16"/>
          <w:szCs w:val="16"/>
        </w:rPr>
        <w:t xml:space="preserve"> 31.01.2019) </w:t>
      </w:r>
    </w:p>
  </w:footnote>
  <w:footnote w:id="6">
    <w:p>
      <w:pPr>
        <w:pStyle w:val="Funote"/>
        <w:jc w:val="both"/>
        <w:rPr/>
      </w:pPr>
      <w:r>
        <w:rPr>
          <w:rStyle w:val="Funotenzeichen"/>
        </w:rPr>
        <w:footnoteRef/>
      </w:r>
      <w:hyperlink r:id="rId7">
        <w:r>
          <w:rPr>
            <w:rStyle w:val="Internetverknpfung"/>
            <w:rFonts w:cs="Calibri Light" w:ascii="Calibri Light" w:hAnsi="Calibri Light"/>
            <w:sz w:val="16"/>
            <w:szCs w:val="16"/>
          </w:rPr>
          <w:t xml:space="preserve"> </w:t>
        </w:r>
      </w:hyperlink>
      <w:r>
        <w:rPr>
          <w:rFonts w:cs="Calibri Light" w:ascii="Calibri Light" w:hAnsi="Calibri Light"/>
          <w:sz w:val="16"/>
          <w:szCs w:val="16"/>
        </w:rPr>
        <w:t xml:space="preserve">Siehe FT-Artikel: </w:t>
      </w:r>
      <w:hyperlink r:id="rId8">
        <w:r>
          <w:rPr>
            <w:rStyle w:val="Internetverknpfung"/>
            <w:rFonts w:cs="Calibri Light" w:ascii="Calibri Light" w:hAnsi="Calibri Light"/>
            <w:sz w:val="16"/>
            <w:szCs w:val="16"/>
          </w:rPr>
          <w:t>https://www.ft.com/content/4bed8775-01aa-457f-9dbb-1740e67a684d</w:t>
        </w:r>
        <w:r>
          <w:rPr>
            <w:rStyle w:val="Internetverknpfung"/>
            <w:rFonts w:cs="Calibri Light" w:ascii="Calibri Light" w:hAnsi="Calibri Light"/>
            <w:sz w:val="16"/>
            <w:szCs w:val="16"/>
            <w:u w:val="none"/>
          </w:rPr>
          <w:t xml:space="preserve"> </w:t>
        </w:r>
      </w:hyperlink>
      <w:r>
        <w:rPr>
          <w:rFonts w:cs="Calibri Light" w:ascii="Calibri Light" w:hAnsi="Calibri Light"/>
          <w:sz w:val="16"/>
          <w:szCs w:val="16"/>
        </w:rPr>
        <w:t xml:space="preserve">(Dan McCrum, Olaf Storbeck, </w:t>
      </w:r>
      <w:r>
        <w:rPr>
          <w:rFonts w:cs="Calibri Light" w:ascii="Calibri Light" w:hAnsi="Calibri Light"/>
          <w:sz w:val="16"/>
          <w:szCs w:val="16"/>
          <w:lang w:val="de-DE"/>
        </w:rPr>
        <w:t>„</w:t>
      </w:r>
      <w:r>
        <w:rPr>
          <w:rFonts w:cs="Calibri Light" w:ascii="Calibri Light" w:hAnsi="Calibri Light"/>
          <w:sz w:val="16"/>
          <w:szCs w:val="16"/>
        </w:rPr>
        <w:t>Wirecard: What KPMG's Report Found</w:t>
      </w:r>
      <w:r>
        <w:rPr>
          <w:rFonts w:cs="Calibri Light" w:ascii="Calibri Light" w:hAnsi="Calibri Light"/>
          <w:sz w:val="16"/>
          <w:szCs w:val="16"/>
          <w:lang w:val="de-DE"/>
        </w:rPr>
        <w:t>“,</w:t>
      </w:r>
      <w:r>
        <w:rPr>
          <w:rFonts w:cs="Calibri Light" w:ascii="Calibri Light" w:hAnsi="Calibri Light"/>
          <w:sz w:val="16"/>
          <w:szCs w:val="16"/>
        </w:rPr>
        <w:t xml:space="preserve"> 29</w:t>
      </w:r>
      <w:r>
        <w:rPr>
          <w:rFonts w:cs="Calibri Light" w:ascii="Calibri Light" w:hAnsi="Calibri Light"/>
          <w:sz w:val="16"/>
          <w:szCs w:val="16"/>
          <w:lang w:val="de-DE"/>
        </w:rPr>
        <w:t>.</w:t>
      </w:r>
      <w:r>
        <w:rPr>
          <w:rFonts w:cs="Calibri Light" w:ascii="Calibri Light" w:hAnsi="Calibri Light"/>
          <w:sz w:val="16"/>
          <w:szCs w:val="16"/>
        </w:rPr>
        <w:t>04</w:t>
      </w:r>
      <w:r>
        <w:rPr>
          <w:rFonts w:cs="Calibri Light" w:ascii="Calibri Light" w:hAnsi="Calibri Light"/>
          <w:sz w:val="16"/>
          <w:szCs w:val="16"/>
          <w:lang w:val="de-DE"/>
        </w:rPr>
        <w:t>.</w:t>
      </w:r>
      <w:r>
        <w:rPr>
          <w:rFonts w:cs="Calibri Light" w:ascii="Calibri Light" w:hAnsi="Calibri Light"/>
          <w:sz w:val="16"/>
          <w:szCs w:val="16"/>
        </w:rPr>
        <w:t>2020)</w:t>
      </w:r>
    </w:p>
  </w:footnote>
  <w:footnote w:id="7">
    <w:p>
      <w:pPr>
        <w:pStyle w:val="Funote"/>
        <w:jc w:val="both"/>
        <w:rPr/>
      </w:pPr>
      <w:r>
        <w:rPr>
          <w:rStyle w:val="Funotenzeichen"/>
        </w:rPr>
        <w:footnoteRef/>
      </w:r>
      <w:r>
        <w:rPr>
          <w:rFonts w:ascii="Calibri Light" w:hAnsi="Calibri Light"/>
          <w:sz w:val="16"/>
          <w:szCs w:val="16"/>
        </w:rPr>
        <w:t xml:space="preserve"> </w:t>
      </w:r>
      <w:r>
        <w:rPr>
          <w:rFonts w:ascii="Calibri Light" w:hAnsi="Calibri Light"/>
          <w:sz w:val="16"/>
          <w:szCs w:val="16"/>
        </w:rPr>
        <w:t xml:space="preserve">Siehe z. B. den </w:t>
      </w:r>
      <w:r>
        <w:rPr>
          <w:rFonts w:ascii="Calibri Light" w:hAnsi="Calibri Light"/>
          <w:i/>
          <w:iCs/>
          <w:sz w:val="16"/>
          <w:szCs w:val="16"/>
        </w:rPr>
        <w:t xml:space="preserve">Robo-Advice-Bericht </w:t>
      </w:r>
      <w:r>
        <w:rPr>
          <w:rFonts w:ascii="Calibri Light" w:hAnsi="Calibri Light"/>
          <w:sz w:val="16"/>
          <w:szCs w:val="16"/>
        </w:rPr>
        <w:t xml:space="preserve">2019 von BETTER FINANCE: </w:t>
      </w:r>
      <w:hyperlink r:id="rId9">
        <w:r>
          <w:rPr>
            <w:rStyle w:val="Internetverknpfung"/>
            <w:rFonts w:ascii="Calibri Light" w:hAnsi="Calibri Light"/>
            <w:sz w:val="16"/>
            <w:szCs w:val="16"/>
          </w:rPr>
          <w:t>https:</w:t>
        </w:r>
      </w:hyperlink>
      <w:r>
        <w:rPr>
          <w:rFonts w:ascii="Calibri Light" w:hAnsi="Calibri Light"/>
          <w:sz w:val="16"/>
          <w:szCs w:val="16"/>
        </w:rPr>
        <w:t xml:space="preserve">//betterfinance.eu/wp-content/uploads/Robo-Advice-Report-2019-FINAL.pdf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0" w:after="120"/>
      <w:jc w:val="center"/>
      <w:rPr/>
    </w:pPr>
    <w:r>
      <w:rPr/>
      <w:drawing>
        <wp:anchor behindDoc="1" distT="0" distB="0" distL="114300" distR="114300" simplePos="0" locked="0" layoutInCell="1" allowOverlap="1" relativeHeight="10">
          <wp:simplePos x="0" y="0"/>
          <wp:positionH relativeFrom="margin">
            <wp:posOffset>2617470</wp:posOffset>
          </wp:positionH>
          <wp:positionV relativeFrom="paragraph">
            <wp:posOffset>-219710</wp:posOffset>
          </wp:positionV>
          <wp:extent cx="3138170" cy="645160"/>
          <wp:effectExtent l="0" t="0" r="0" b="0"/>
          <wp:wrapSquare wrapText="bothSides"/>
          <wp:docPr id="7"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
                  <pic:cNvPicPr>
                    <a:picLocks noChangeAspect="1" noChangeArrowheads="1"/>
                  </pic:cNvPicPr>
                </pic:nvPicPr>
                <pic:blipFill>
                  <a:blip r:embed="rId1"/>
                  <a:stretch>
                    <a:fillRect/>
                  </a:stretch>
                </pic:blipFill>
                <pic:spPr bwMode="auto">
                  <a:xfrm>
                    <a:off x="0" y="0"/>
                    <a:ext cx="3138170" cy="645160"/>
                  </a:xfrm>
                  <a:prstGeom prst="rect">
                    <a:avLst/>
                  </a:prstGeom>
                </pic:spPr>
              </pic:pic>
            </a:graphicData>
          </a:graphic>
        </wp:anchor>
      </w:drawing>
    </w:r>
  </w:p>
  <w:p>
    <w:pPr>
      <w:pStyle w:val="Kopfzeile"/>
      <w:rPr>
        <w:sz w:val="20"/>
        <w:szCs w:val="20"/>
      </w:rPr>
    </w:pPr>
    <w:r>
      <w:rPr>
        <w:sz w:val="20"/>
        <w:szCs w:val="20"/>
      </w:rPr>
    </w:r>
  </w:p>
  <w:p>
    <w:pPr>
      <w:pStyle w:val="Kopfzeile"/>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useWord2013TrackBottomHyphenation" w:uri="http://schemas.microsoft.com/office/word" w:val="1"/>
  </w:compat>
  <w:themeFontLang w:val="en-B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2" w:before="0" w:after="160"/>
      <w:jc w:val="left"/>
      <w:textAlignment w:val="baseline"/>
    </w:pPr>
    <w:rPr>
      <w:rFonts w:ascii="Calibri" w:hAnsi="Calibri" w:eastAsia="Calibri" w:cs="Times New Roman"/>
      <w:color w:val="auto"/>
      <w:kern w:val="0"/>
      <w:sz w:val="22"/>
      <w:szCs w:val="22"/>
      <w:lang w:val="en-GB" w:eastAsia="en-US" w:bidi="ar-SA"/>
    </w:rPr>
  </w:style>
  <w:style w:type="paragraph" w:styleId="Berschrift2">
    <w:name w:val="Heading 2"/>
    <w:basedOn w:val="Normal"/>
    <w:next w:val="Normal"/>
    <w:uiPriority w:val="9"/>
    <w:unhideWhenUsed/>
    <w:qFormat/>
    <w:pPr>
      <w:keepNext w:val="true"/>
      <w:keepLines/>
      <w:spacing w:lineRule="auto" w:line="276" w:before="40" w:after="0"/>
      <w:outlineLvl w:val="1"/>
    </w:pPr>
    <w:rPr>
      <w:rFonts w:ascii="Calibri Light" w:hAnsi="Calibri Light" w:eastAsia="Times New Roman"/>
      <w:color w:val="2F5496"/>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FootnoteTextChar" w:customStyle="1">
    <w:name w:val="Footnote Text Char"/>
    <w:basedOn w:val="DefaultParagraphFont"/>
    <w:qFormat/>
    <w:rPr>
      <w:sz w:val="20"/>
      <w:szCs w:val="20"/>
    </w:rPr>
  </w:style>
  <w:style w:type="character" w:styleId="Funotenanker">
    <w:name w:val="Fußnotenanker"/>
    <w:rPr>
      <w:vertAlign w:val="superscript"/>
    </w:rPr>
  </w:style>
  <w:style w:type="character" w:styleId="FootnoteCharacters">
    <w:name w:val="Footnote Characters"/>
    <w:basedOn w:val="DefaultParagraphFont"/>
    <w:qFormat/>
    <w:rPr>
      <w:vertAlign w:val="superscript"/>
    </w:rPr>
  </w:style>
  <w:style w:type="character" w:styleId="Internetverknpfung">
    <w:name w:val="Internetverknüpfung"/>
    <w:basedOn w:val="DefaultParagraphFont"/>
    <w:rPr>
      <w:color w:val="0563C1"/>
      <w:u w:val="single"/>
    </w:rPr>
  </w:style>
  <w:style w:type="character" w:styleId="UnresolvedMention">
    <w:name w:val="Unresolved Mention"/>
    <w:basedOn w:val="DefaultParagraphFont"/>
    <w:qFormat/>
    <w:rPr>
      <w:color w:val="605E5C"/>
      <w:shd w:fill="E1DFDD" w:val="clear"/>
    </w:rPr>
  </w:style>
  <w:style w:type="character" w:styleId="BalloonTextChar" w:customStyle="1">
    <w:name w:val="Balloon Text Char"/>
    <w:basedOn w:val="DefaultParagraphFont"/>
    <w:qFormat/>
    <w:rPr>
      <w:rFonts w:ascii="Segoe UI" w:hAnsi="Segoe UI" w:cs="Segoe UI"/>
      <w:sz w:val="18"/>
      <w:szCs w:val="18"/>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sz w:val="20"/>
      <w:szCs w:val="20"/>
    </w:rPr>
  </w:style>
  <w:style w:type="character" w:styleId="CommentSubjectChar" w:customStyle="1">
    <w:name w:val="Comment Subject Char"/>
    <w:basedOn w:val="CommentTextChar"/>
    <w:qFormat/>
    <w:rPr>
      <w:b/>
      <w:bCs/>
      <w:sz w:val="20"/>
      <w:szCs w:val="20"/>
    </w:rPr>
  </w:style>
  <w:style w:type="character" w:styleId="Heading2Char" w:customStyle="1">
    <w:name w:val="Heading 2 Char"/>
    <w:basedOn w:val="DefaultParagraphFont"/>
    <w:qFormat/>
    <w:rPr>
      <w:rFonts w:ascii="Calibri Light" w:hAnsi="Calibri Light" w:eastAsia="Times New Roman" w:cs="Times New Roman"/>
      <w:color w:val="2F5496"/>
      <w:sz w:val="26"/>
      <w:szCs w:val="26"/>
    </w:rPr>
  </w:style>
  <w:style w:type="character" w:styleId="BodyTextChar" w:customStyle="1">
    <w:name w:val="Body Text Char"/>
    <w:basedOn w:val="DefaultParagraphFont"/>
    <w:qFormat/>
    <w:rPr>
      <w:rFonts w:ascii="Tahoma" w:hAnsi="Tahoma" w:eastAsia="Times New Roman" w:cs="Times New Roman"/>
      <w:spacing w:val="10"/>
      <w:sz w:val="17"/>
      <w:szCs w:val="20"/>
      <w:lang w:val="en-US"/>
    </w:rPr>
  </w:style>
  <w:style w:type="character" w:styleId="Strong">
    <w:name w:val="Strong"/>
    <w:qFormat/>
    <w:rPr>
      <w:b/>
      <w:bCs/>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lineRule="exact" w:line="240" w:before="0" w:after="200"/>
    </w:pPr>
    <w:rPr>
      <w:rFonts w:ascii="Tahoma" w:hAnsi="Tahoma" w:eastAsia="Times New Roman"/>
      <w:spacing w:val="10"/>
      <w:sz w:val="17"/>
      <w:szCs w:val="20"/>
      <w:lang w:val="en-US"/>
    </w:rPr>
  </w:style>
  <w:style w:type="paragraph" w:styleId="Liste">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KopfundFuzeile">
    <w:name w:val="Kopf- und Fußzeile"/>
    <w:basedOn w:val="Normal"/>
    <w:qFormat/>
    <w:pPr/>
    <w:rPr/>
  </w:style>
  <w:style w:type="paragraph" w:styleId="Kopfzeile">
    <w:name w:val="Header"/>
    <w:basedOn w:val="Normal"/>
    <w:pPr>
      <w:tabs>
        <w:tab w:val="clear" w:pos="720"/>
        <w:tab w:val="center" w:pos="4536" w:leader="none"/>
        <w:tab w:val="right" w:pos="9072" w:leader="none"/>
      </w:tabs>
      <w:spacing w:lineRule="auto" w:line="240" w:before="0" w:after="0"/>
    </w:pPr>
    <w:rPr/>
  </w:style>
  <w:style w:type="paragraph" w:styleId="Fuzeile">
    <w:name w:val="Footer"/>
    <w:basedOn w:val="Normal"/>
    <w:pPr>
      <w:tabs>
        <w:tab w:val="clear" w:pos="720"/>
        <w:tab w:val="center" w:pos="4536" w:leader="none"/>
        <w:tab w:val="right" w:pos="9072" w:leader="none"/>
      </w:tabs>
      <w:spacing w:lineRule="auto" w:line="240" w:before="0" w:after="0"/>
    </w:pPr>
    <w:rPr/>
  </w:style>
  <w:style w:type="paragraph" w:styleId="Funote">
    <w:name w:val="Footnote Text"/>
    <w:basedOn w:val="Normal"/>
    <w:pPr>
      <w:spacing w:lineRule="auto" w:line="240" w:before="0" w:after="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ListParagraph">
    <w:name w:val="List Paragraph"/>
    <w:basedOn w:val="Normal"/>
    <w:qFormat/>
    <w:pPr>
      <w:spacing w:lineRule="auto" w:line="240" w:before="0" w:after="0"/>
      <w:ind w:left="720" w:hanging="0"/>
    </w:pPr>
    <w:rPr>
      <w:rFonts w:cs="Calibri"/>
      <w:lang w:val="fr-BE"/>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NormalWeb">
    <w:name w:val="Normal (Web)"/>
    <w:basedOn w:val="Normal"/>
    <w:qFormat/>
    <w:pPr>
      <w:spacing w:lineRule="auto" w:line="240" w:before="100" w:after="100"/>
    </w:pPr>
    <w:rPr>
      <w:rFonts w:ascii="Times New Roman" w:hAnsi="Times New Roman" w:eastAsia="Times New Roman"/>
      <w:sz w:val="24"/>
      <w:szCs w:val="24"/>
      <w:lang w:val="fr-BE" w:eastAsia="fr-BE"/>
    </w:rPr>
  </w:style>
  <w:style w:type="paragraph" w:styleId="Bylinebarreadingtime" w:customStyle="1">
    <w:name w:val="bylinebar_reading-time"/>
    <w:basedOn w:val="Normal"/>
    <w:qFormat/>
    <w:pPr>
      <w:spacing w:lineRule="auto" w:line="240" w:before="100" w:after="100"/>
    </w:pPr>
    <w:rPr>
      <w:rFonts w:ascii="Times New Roman" w:hAnsi="Times New Roman" w:eastAsia="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fr.com/companies/financial-services/aussie-researcher-questioned-embattled-german-fintech-wirecard-20200622-p554v7" TargetMode="External"/><Relationship Id="rId3" Type="http://schemas.openxmlformats.org/officeDocument/2006/relationships/hyperlink" Target="https://ftalphaville.ft.com/series/House of Wirecard" TargetMode="External"/><Relationship Id="rId4" Type="http://schemas.openxmlformats.org/officeDocument/2006/relationships/hyperlink" Target="https://ftalphaville.ft.com/2019/10/14/1571059326000/The-Wirecard-documents--explained/" TargetMode="External"/><Relationship Id="rId5" Type="http://schemas.openxmlformats.org/officeDocument/2006/relationships/hyperlink" Target="https://ftalphaville.ft.com/2015/04/27/2126473/the-wirecard-documents/" TargetMode="External"/><Relationship Id="rId6" Type="http://schemas.openxmlformats.org/officeDocument/2006/relationships/hyperlink" Target="https://www.ft.com/content/284fb1ad-ddc0-45df-a075-0709b36868db" TargetMode="External"/><Relationship Id="rId7" Type="http://schemas.openxmlformats.org/officeDocument/2006/relationships/hyperlink" Target="https://www.sueddeutsche.de/wirtschaft/wirecard-angriff-aus-dem-hinterhalt-1.2878377" TargetMode="External"/><Relationship Id="rId8" Type="http://schemas.openxmlformats.org/officeDocument/2006/relationships/hyperlink" Target="https://www.ft.com/content/d51a012e-1d6f-11e9-b126-46fc3ad87c65" TargetMode="External"/><Relationship Id="rId9" Type="http://schemas.openxmlformats.org/officeDocument/2006/relationships/hyperlink" Target="https://www.ft.com/content/d51a012e-1d6f-11e9-b126-46fc3ad87c65" TargetMode="External"/><Relationship Id="rId10" Type="http://schemas.openxmlformats.org/officeDocument/2006/relationships/hyperlink" Target="https://www.ft.com/content/03a5e318-2479-11e9-8ce6-5db4543da632" TargetMode="External"/><Relationship Id="rId11" Type="http://schemas.openxmlformats.org/officeDocument/2006/relationships/hyperlink" Target="https://www.ft.com/content/d51a012e-1d6f-11e9-b126-46fc3ad87c65" TargetMode="External"/><Relationship Id="rId12" Type="http://schemas.openxmlformats.org/officeDocument/2006/relationships/hyperlink" Target="https://www.ft.com/content/d51a012e-1d6f-11e9-b126-46fc3ad87c65" TargetMode="External"/><Relationship Id="rId13" Type="http://schemas.openxmlformats.org/officeDocument/2006/relationships/hyperlink" Target="https://www.ft.com/content/f6e8a58a-2b93-11e9-88a4-c32129756dd8" TargetMode="External"/><Relationship Id="rId14" Type="http://schemas.openxmlformats.org/officeDocument/2006/relationships/hyperlink" Target="https://www.ft.com/content/f6e8a58a-2b93-11e9-88a4-c32129756dd8" TargetMode="External"/><Relationship Id="rId15" Type="http://schemas.openxmlformats.org/officeDocument/2006/relationships/hyperlink" Target="https://www.ft.com/content/8e1948be-6060-11e9-b285-3acd5d43599e" TargetMode="External"/><Relationship Id="rId16" Type="http://schemas.openxmlformats.org/officeDocument/2006/relationships/hyperlink" Target="https://www.esma.europa.eu/press-news/esma-news/esma-issues-positive-opinion-short-selling-ban-bafin" TargetMode="External"/><Relationship Id="rId17" Type="http://schemas.openxmlformats.org/officeDocument/2006/relationships/hyperlink" Target="https://www.reuters.com/article/us-wirecard-stocks-idUSKCN1Q70GZ" TargetMode="External"/><Relationship Id="rId18" Type="http://schemas.openxmlformats.org/officeDocument/2006/relationships/hyperlink" Target="https://www.ft.com/content/0026b76c-d062-44e4-85b8-23a454534170" TargetMode="External"/><Relationship Id="rId19" Type="http://schemas.openxmlformats.org/officeDocument/2006/relationships/hyperlink" Target="https://www.frep.info/" TargetMode="External"/><Relationship Id="rId20" Type="http://schemas.openxmlformats.org/officeDocument/2006/relationships/hyperlink" Target="https://www.reuters.com/article/us-wirecard-accounts/wirecard-collapse-leads-to-call-for-german-parliamentary-inquiry-idUSKBN2401Y7" TargetMode="External"/><Relationship Id="rId21" Type="http://schemas.openxmlformats.org/officeDocument/2006/relationships/hyperlink" Target="https://www.reuters.com/article/us-wirecard-accounts/wirecard-collapse-leads-to-call-for-german-parliamentary-inquiry-idUSKBN2401Y7" TargetMode="External"/><Relationship Id="rId22" Type="http://schemas.openxmlformats.org/officeDocument/2006/relationships/hyperlink" Target="https://www.nytimes.com/reuters/2020/06/29/business/29reuters-wirecard-accounts.html" TargetMode="External"/><Relationship Id="rId23" Type="http://schemas.openxmlformats.org/officeDocument/2006/relationships/hyperlink" Target="https://www.ft.com/content/eeb18c70-f3ce-11e9-a79c-bc9acae3b654" TargetMode="External"/><Relationship Id="rId24" Type="http://schemas.openxmlformats.org/officeDocument/2006/relationships/hyperlink" Target="https://www.ft.com/content/eeb18c70-f3ce-11e9-a79c-bc9acae3b654" TargetMode="External"/><Relationship Id="rId25" Type="http://schemas.openxmlformats.org/officeDocument/2006/relationships/hyperlink" Target="https://www.ft.com/content/eeb18c70-f3ce-11e9-a79c-bc9acae3b654" TargetMode="External"/><Relationship Id="rId26" Type="http://schemas.openxmlformats.org/officeDocument/2006/relationships/hyperlink" Target="https://www.ft.com/content/eeb18c70-f3ce-11e9-a79c-bc9acae3b654" TargetMode="External"/><Relationship Id="rId27" Type="http://schemas.openxmlformats.org/officeDocument/2006/relationships/hyperlink" Target="https://www.ft.com/content/eeb18c70-f3ce-11e9-a79c-bc9acae3b654" TargetMode="External"/><Relationship Id="rId28" Type="http://schemas.openxmlformats.org/officeDocument/2006/relationships/hyperlink" Target="https://www.ft.com/content/56a2057c-b975-4965-b0cf-641b83ee0f82" TargetMode="External"/><Relationship Id="rId29" Type="http://schemas.openxmlformats.org/officeDocument/2006/relationships/hyperlink" Target="https://www.ft.com/content/56a2057c-b975-4965-b0cf-641b83ee0f82" TargetMode="External"/><Relationship Id="rId30" Type="http://schemas.openxmlformats.org/officeDocument/2006/relationships/hyperlink" Target="https://www.ft.com/content/1e753e2b-f576-4f32-aa19-d240be26e773" TargetMode="External"/><Relationship Id="rId31" Type="http://schemas.openxmlformats.org/officeDocument/2006/relationships/hyperlink" Target="https://ir.wirecard.com/websites/wirecard/English/5110/news-detail.html?newsID=1988247&amp;fromID=5000" TargetMode="External"/><Relationship Id="rId32" Type="http://schemas.openxmlformats.org/officeDocument/2006/relationships/hyperlink" Target="https://ir.wirecard.com/websites/wirecard/English/5110/news-detail.html?newsID=1988247&amp;fromID=5000" TargetMode="External"/><Relationship Id="rId33" Type="http://schemas.openxmlformats.org/officeDocument/2006/relationships/image" Target="media/image1.png"/><Relationship Id="rId34" Type="http://schemas.openxmlformats.org/officeDocument/2006/relationships/image" Target="media/image2.png"/><Relationship Id="rId35" Type="http://schemas.openxmlformats.org/officeDocument/2006/relationships/image" Target="media/image3.png"/><Relationship Id="rId36" Type="http://schemas.openxmlformats.org/officeDocument/2006/relationships/image" Target="media/image4.png"/><Relationship Id="rId37" Type="http://schemas.openxmlformats.org/officeDocument/2006/relationships/image" Target="media/image5.png"/><Relationship Id="rId38" Type="http://schemas.openxmlformats.org/officeDocument/2006/relationships/image" Target="media/image6.png"/><Relationship Id="rId39" Type="http://schemas.openxmlformats.org/officeDocument/2006/relationships/hyperlink" Target="mailto:houdmont@betterfinance.eu"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otnotes" Target="footnotes.xm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Relationship Id="rId47" Type="http://schemas.openxmlformats.org/officeDocument/2006/relationships/customXml" Target="../customXml/item1.xml"/><Relationship Id="rId48" Type="http://schemas.openxmlformats.org/officeDocument/2006/relationships/customXml" Target="../customXml/item2.xml"/><Relationship Id="rId49"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hyperlink" Target="http://www.eurofinuse.org/" TargetMode="External"/>
</Relationships>
</file>

<file path=word/_rels/footnotes.xml.rels><?xml version="1.0" encoding="UTF-8"?>
<Relationships xmlns="http://schemas.openxmlformats.org/package/2006/relationships"><Relationship Id="rId1" Type="http://schemas.openxmlformats.org/officeDocument/2006/relationships/hyperlink" Target="https://ftalphaville.ft.com/2015/11/20/2145256/jcap-on-wirecard-a-search-for-the-asian-business/" TargetMode="External"/><Relationship Id="rId2" Type="http://schemas.openxmlformats.org/officeDocument/2006/relationships/hyperlink" Target="https://ftalphaville.ft.com/2015/11/20/2145256/jcap-on-wirecard-a-search-for-the-asian-business/" TargetMode="External"/><Relationship Id="rId3" Type="http://schemas.openxmlformats.org/officeDocument/2006/relationships/hyperlink" Target="https://uk.reuters.com/article/uk-wirecard-report/head-of-germanys-wirecard-rejects-fraud-allegations-by-short-seller-idUKKCN0WH1I4" TargetMode="External"/><Relationship Id="rId4" Type="http://schemas.openxmlformats.org/officeDocument/2006/relationships/hyperlink" Target="https://uk.reuters.com/article/uk-wirecard-report/head-of-germanys-wirecard-rejects-fraud-allegations-by-short-seller-idUKKCN0WH1I4" TargetMode="External"/><Relationship Id="rId5" Type="http://schemas.openxmlformats.org/officeDocument/2006/relationships/hyperlink" Target="https://www.ft.com/content/79bd8da2-2830-11e9-a5ab-ff8ef2b976c7" TargetMode="External"/><Relationship Id="rId6" Type="http://schemas.openxmlformats.org/officeDocument/2006/relationships/hyperlink" Target="https://www.ft.com/content/2997a4b2-255f-11e9-8ce6-5db4543da632" TargetMode="External"/><Relationship Id="rId7" Type="http://schemas.openxmlformats.org/officeDocument/2006/relationships/hyperlink" Target="https://www.ft.com/content/4bed8775-01aa-457f-9dbb-1740e67a684d" TargetMode="External"/><Relationship Id="rId8" Type="http://schemas.openxmlformats.org/officeDocument/2006/relationships/hyperlink" Target="https://www.ft.com/content/4bed8775-01aa-457f-9dbb-1740e67a684d" TargetMode="External"/><Relationship Id="rId9" Type="http://schemas.openxmlformats.org/officeDocument/2006/relationships/hyperlink" Target="https://betterfinance.eu/wp-content/uploads/Robo-Advice-Report-2019-FINAL.pdf" TargetMode="External"/>
</Relationships>
</file>

<file path=word/_rels/header1.xml.rels><?xml version="1.0" encoding="UTF-8"?>
<Relationships xmlns="http://schemas.openxmlformats.org/package/2006/relationships"><Relationship Id="rId1" Type="http://schemas.openxmlformats.org/officeDocument/2006/relationships/image" Target="media/image7.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06044-F90E-4DD1-B8D2-23DEEBB7E79A}"/>
</file>

<file path=customXml/itemProps2.xml><?xml version="1.0" encoding="utf-8"?>
<ds:datastoreItem xmlns:ds="http://schemas.openxmlformats.org/officeDocument/2006/customXml" ds:itemID="{EE5B020D-9594-497F-84E7-459BFD5F97CC}"/>
</file>

<file path=customXml/itemProps3.xml><?xml version="1.0" encoding="utf-8"?>
<ds:datastoreItem xmlns:ds="http://schemas.openxmlformats.org/officeDocument/2006/customXml" ds:itemID="{90C033D1-A213-4F48-8B41-34DB3265715D}"/>
</file>

<file path=docProps/app.xml><?xml version="1.0" encoding="utf-8"?>
<Properties xmlns="http://schemas.openxmlformats.org/officeDocument/2006/extended-properties" xmlns:vt="http://schemas.openxmlformats.org/officeDocument/2006/docPropsVTypes">
  <Template>Normal</Template>
  <TotalTime>125</TotalTime>
  <Application>LibreOffice/6.4.6.2$Windows_X86_64 LibreOffice_project/0ce51a4fd21bff07a5c061082cc82c5ed232f115</Application>
  <Pages>2</Pages>
  <Words>1324</Words>
  <Characters>9617</Characters>
  <CharactersWithSpaces>10897</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2020-11-19T19:02:00Z</dcterms:created>
  <dc:creator>Stefan Voicu</dc:creator>
  <dc:description/>
  <dc:language>de-DE</dc:language>
  <cp:lastModifiedBy/>
  <cp:lastPrinted>2020-12-21T06:06:18Z</cp:lastPrinted>
  <dcterms:modified xsi:type="dcterms:W3CDTF">2020-12-21T06:27:57Z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0x010100B5308A9776426D41840A8C2CCB15B3F3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