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de-DE" w:eastAsia="en-US" w:bidi="ar-SA"/>
        </w:rPr>
      </w:pPr>
      <w:r>
        <w:rPr>
          <w:lang w:val="de-DE" w:eastAsia="en-US" w:bidi="ar-SA"/>
        </w:rPr>
      </w:r>
    </w:p>
    <w:p>
      <w:pPr>
        <w:pStyle w:val="Berschrift2"/>
        <w:spacing w:before="40" w:after="80"/>
        <w:jc w:val="both"/>
        <w:rPr>
          <w:lang w:val="de-DE" w:eastAsia="en-US" w:bidi="ar-SA"/>
        </w:rPr>
      </w:pPr>
      <w:r>
        <w:rPr>
          <w:rFonts w:eastAsia="Times New Roman" w:cs="Calibri Light" w:ascii="Calibri Light" w:hAnsi="Calibri Light"/>
          <w:b/>
          <w:bCs/>
          <w:color w:val="auto"/>
          <w:sz w:val="24"/>
          <w:szCs w:val="24"/>
          <w:lang w:val="de-DE" w:eastAsia="en-US" w:bidi="ar-SA"/>
        </w:rPr>
        <w:t>PRESSEMITTEILUNG</w:t>
      </w:r>
    </w:p>
    <w:p>
      <w:pPr>
        <w:pStyle w:val="Berschrift2"/>
        <w:spacing w:before="40" w:after="240"/>
        <w:jc w:val="both"/>
        <w:rPr>
          <w:lang w:val="de-DE" w:eastAsia="en-US" w:bidi="ar-SA"/>
        </w:rPr>
      </w:pPr>
      <w:r>
        <w:rPr>
          <w:rFonts w:eastAsia="Calibri" w:cs="Calibri Light" w:ascii="Calibri Light" w:hAnsi="Calibri Light"/>
          <w:b/>
          <w:spacing w:val="20"/>
          <w:kern w:val="2"/>
          <w:sz w:val="28"/>
          <w:szCs w:val="28"/>
          <w:lang w:val="de-DE" w:eastAsia="en-US" w:bidi="ar-SA"/>
        </w:rPr>
        <w:t>Das EU-Maßnahmenpaket für die Erholung der Kapitalmärkte sollte private Anleger und den Fall Wirecard berücksichtigen</w:t>
      </w:r>
    </w:p>
    <w:p>
      <w:pPr>
        <w:pStyle w:val="Normal"/>
        <w:jc w:val="both"/>
        <w:rPr/>
      </w:pPr>
      <w:bookmarkStart w:id="0" w:name="_Hlk4143464"/>
      <w:r>
        <w:rPr>
          <w:rFonts w:eastAsia="Times New Roman" w:cs="Calibri Light" w:ascii="Calibri Light" w:hAnsi="Calibri Light"/>
          <w:b/>
          <w:bCs/>
          <w:lang w:val="de-DE" w:eastAsia="en-US" w:bidi="ar-SA"/>
        </w:rPr>
        <w:t xml:space="preserve">Brüssel, 31. Juli 2020 </w:t>
      </w:r>
      <w:bookmarkEnd w:id="0"/>
      <w:r>
        <w:rPr>
          <w:rFonts w:eastAsia="Times New Roman" w:cs="Calibri Light" w:ascii="Calibri Light" w:hAnsi="Calibri Light"/>
          <w:lang w:val="de-DE" w:eastAsia="en-US" w:bidi="ar-SA"/>
        </w:rPr>
        <w:t xml:space="preserve">- </w:t>
      </w:r>
      <w:r>
        <w:rPr>
          <w:rFonts w:cs="Calibri Light" w:ascii="Calibri Light" w:hAnsi="Calibri Light"/>
          <w:lang w:val="de-DE" w:eastAsia="en-US" w:bidi="ar-SA"/>
        </w:rPr>
        <w:t>Am 24. Juli 2020 kündigte die Europäische Kommission im Rahmen ihrer allgemeinen Strategie zur Erholung von der Corona-Krise das „</w:t>
      </w:r>
      <w:hyperlink r:id="rId2">
        <w:r>
          <w:rPr>
            <w:rStyle w:val="Internetverknpfung"/>
            <w:rFonts w:cs="Calibri Light" w:ascii="Calibri Light" w:hAnsi="Calibri Light"/>
            <w:lang w:val="de-DE" w:eastAsia="en-US" w:bidi="ar-SA"/>
          </w:rPr>
          <w:t>Maßnahmenpaket für die Erholung der Kapitalmärkte</w:t>
        </w:r>
      </w:hyperlink>
      <w:r>
        <w:rPr>
          <w:rFonts w:cs="Calibri Light" w:ascii="Calibri Light" w:hAnsi="Calibri Light"/>
          <w:lang w:val="de-DE" w:eastAsia="en-US" w:bidi="ar-SA"/>
        </w:rPr>
        <w:t xml:space="preserve">“ an. Durch dieses Maßnahmenpaket sollen die Kapitalmärkte die europäischen Unternehmen bei ihrer Erholung von den Folgen der anhaltenden Corona-Krise leichter unterstützen können. Zu diesem Zweck schlägt die Europäische Kommission Änderungen der Kapitalmarktregeln vor, einschließlich einer Verringerung des Schutzniveaus für Anleger. </w:t>
      </w:r>
    </w:p>
    <w:p>
      <w:pPr>
        <w:pStyle w:val="Normal"/>
        <w:jc w:val="both"/>
        <w:rPr/>
      </w:pPr>
      <w:r>
        <w:rPr>
          <w:rFonts w:cs="Calibri Light" w:ascii="Calibri Light" w:hAnsi="Calibri Light"/>
          <w:lang w:val="de-DE" w:eastAsia="en-US" w:bidi="ar-SA"/>
        </w:rPr>
        <w:t xml:space="preserve">Als Vertreter der EU-Bürger als Nutzer von Finanzdienstleistungen hat BETTER FINANCE Verständnis für die Notwendigkeit derartiger vorübergehender Maßnahmen und die Priorität, die der verstärkten Finanzierung der Realwirtschaft eingeräumt wird. Diese Maßnahmen, die notwendig sind, könnten jedoch für private Anleger zusätzliche Risiken bergen und ihr Vertrauen in die Kapitalmärkte erneut untergraben. Daher ist BETTER FINANCE enttäuscht über die Tatsache, dass das Maßnahmenpaket keine Vorkehrungen vorsieht, um diesen Rückgang des Anlegerschutzes auszugleichen, und die jüngsten Empfehlungen des </w:t>
      </w:r>
      <w:hyperlink r:id="rId3">
        <w:r>
          <w:rPr>
            <w:rStyle w:val="Internetverknpfung"/>
            <w:rFonts w:cs="Calibri Light" w:ascii="Calibri Light" w:hAnsi="Calibri Light"/>
            <w:lang w:val="de-DE" w:eastAsia="en-US" w:bidi="ar-SA"/>
          </w:rPr>
          <w:t>Hochrangigen Forums</w:t>
        </w:r>
      </w:hyperlink>
      <w:r>
        <w:rPr>
          <w:rFonts w:cs="Calibri Light" w:ascii="Calibri Light" w:hAnsi="Calibri Light"/>
          <w:lang w:val="de-DE" w:eastAsia="en-US" w:bidi="ar-SA"/>
        </w:rPr>
        <w:t xml:space="preserve"> der Europäischen Kommission </w:t>
      </w:r>
      <w:hyperlink r:id="rId4">
        <w:r>
          <w:rPr>
            <w:rStyle w:val="Internetverknpfung"/>
            <w:rFonts w:cs="Calibri Light" w:ascii="Calibri Light" w:hAnsi="Calibri Light"/>
            <w:lang w:val="de-DE" w:eastAsia="en-US" w:bidi="ar-SA"/>
          </w:rPr>
          <w:t>zur Kapitalmarktunion</w:t>
        </w:r>
      </w:hyperlink>
      <w:r>
        <w:rPr>
          <w:rFonts w:cs="Calibri Light" w:ascii="Calibri Light" w:hAnsi="Calibri Light"/>
          <w:lang w:val="de-DE" w:eastAsia="en-US" w:bidi="ar-SA"/>
        </w:rPr>
        <w:t xml:space="preserve"> außer Acht lässt, die den EU-Bürgern als Anlegern auf den Kapitalmärkten endlich die Möglichkeit geben könnten, Wiedergutmachung zu erhalten, falls sie von Marktmissbrauch betroffen sind.</w:t>
      </w:r>
    </w:p>
    <w:p>
      <w:pPr>
        <w:pStyle w:val="Normal"/>
        <w:jc w:val="both"/>
        <w:rPr/>
      </w:pPr>
      <w:r>
        <w:rPr>
          <w:rFonts w:cs="Calibri Light" w:ascii="Calibri Light" w:hAnsi="Calibri Light"/>
          <w:lang w:val="de-DE" w:eastAsia="en-US" w:bidi="ar-SA"/>
        </w:rPr>
        <w:t xml:space="preserve">Konkret fordert BETTER FINANCE die Europäische Kommission auf, der </w:t>
      </w:r>
      <w:hyperlink r:id="rId5">
        <w:r>
          <w:rPr>
            <w:rStyle w:val="Internetverknpfung"/>
            <w:rFonts w:cs="Calibri Light" w:ascii="Calibri Light" w:hAnsi="Calibri Light"/>
            <w:lang w:val="de-DE" w:eastAsia="en-US" w:bidi="ar-SA"/>
          </w:rPr>
          <w:t>Empfehlung des Hochrangigen Forums zur Kapitalmarktunion (KMU)</w:t>
        </w:r>
      </w:hyperlink>
      <w:r>
        <w:rPr>
          <w:rFonts w:cs="Calibri Light" w:ascii="Calibri Light" w:hAnsi="Calibri Light"/>
          <w:lang w:val="de-DE" w:eastAsia="en-US" w:bidi="ar-SA"/>
        </w:rPr>
        <w:t xml:space="preserve"> zu folgen und endlich zuzulassen, dass nicht-professionelle Privatanleger in Kapitalmarktinstrumente in den Anwendungsbereich der geplanten </w:t>
      </w:r>
      <w:hyperlink r:id="rId6">
        <w:r>
          <w:rPr>
            <w:rStyle w:val="Internetverknpfung"/>
            <w:rFonts w:cs="Calibri Light" w:ascii="Calibri Light" w:hAnsi="Calibri Light"/>
            <w:lang w:val="de-DE" w:eastAsia="en-US" w:bidi="ar-SA"/>
          </w:rPr>
          <w:t>EU-weiten</w:t>
        </w:r>
      </w:hyperlink>
      <w:r>
        <w:rPr>
          <w:rFonts w:cs="Calibri Light" w:ascii="Calibri Light" w:hAnsi="Calibri Light"/>
          <w:lang w:val="de-DE" w:eastAsia="en-US" w:bidi="ar-SA"/>
        </w:rPr>
        <w:t xml:space="preserve"> Richtlinie über </w:t>
      </w:r>
      <w:hyperlink r:id="rId7">
        <w:r>
          <w:rPr>
            <w:rStyle w:val="Internetverknpfung"/>
            <w:rFonts w:cs="Calibri Light" w:ascii="Calibri Light" w:hAnsi="Calibri Light"/>
            <w:lang w:val="de-DE" w:eastAsia="en-US" w:bidi="ar-SA"/>
          </w:rPr>
          <w:t>kollektive Rechtsdurchsetzungsverfahren</w:t>
        </w:r>
      </w:hyperlink>
      <w:r>
        <w:rPr>
          <w:rFonts w:cs="Calibri Light" w:ascii="Calibri Light" w:hAnsi="Calibri Light"/>
          <w:lang w:val="de-DE" w:eastAsia="en-US" w:bidi="ar-SA"/>
        </w:rPr>
        <w:t>, die derzeit auf dem Tisch der europäischen Mitgesetzgeber liegt, einbezogen werden, und sicherzustellen, dass sie bei Marktmissbrauch Zugang zu Rechtsmitteln haben.</w:t>
      </w:r>
    </w:p>
    <w:p>
      <w:pPr>
        <w:pStyle w:val="Normal"/>
        <w:jc w:val="both"/>
        <w:rPr>
          <w:lang w:val="de-DE" w:eastAsia="en-US" w:bidi="ar-SA"/>
        </w:rPr>
      </w:pPr>
      <w:r>
        <w:rPr>
          <w:rFonts w:cs="Calibri Light" w:ascii="Calibri Light" w:hAnsi="Calibri Light"/>
          <w:lang w:val="de-DE" w:eastAsia="en-US" w:bidi="ar-SA"/>
        </w:rPr>
        <w:t>Der Bericht des Hochrangigen Forums zur Kapitalmarktunion sieht kollektive Rechtsdurchsetzungsverfahren als eine zentrale Empfehlung vor, um das Vertrauen der Finanzverbraucher wiederherzustellen und Investitionen von EU-Haushalten in die Realwirtschaft über die Kapitalmärkte attraktiver zu gestalten.</w:t>
      </w:r>
    </w:p>
    <w:p>
      <w:pPr>
        <w:pStyle w:val="Normal"/>
        <w:jc w:val="both"/>
        <w:rPr/>
      </w:pPr>
      <w:r>
        <w:rPr>
          <w:rFonts w:cs="Calibri Light" w:ascii="Calibri Light" w:hAnsi="Calibri Light"/>
          <w:lang w:val="de-DE" w:eastAsia="en-US" w:bidi="ar-SA"/>
        </w:rPr>
        <w:t>Guillaume Prache, Geschäftsführer von BETTER FINANCE, wies darauf hin, dass „</w:t>
      </w:r>
      <w:r>
        <w:rPr>
          <w:rFonts w:cs="Calibri Light" w:ascii="Calibri Light" w:hAnsi="Calibri Light"/>
          <w:i/>
          <w:iCs/>
          <w:lang w:val="de-DE" w:eastAsia="en-US" w:bidi="ar-SA"/>
        </w:rPr>
        <w:t xml:space="preserve">die jüngsten </w:t>
      </w:r>
      <w:hyperlink r:id="rId8">
        <w:r>
          <w:rPr>
            <w:rStyle w:val="Internetverknpfung"/>
            <w:rFonts w:cs="Calibri Light" w:ascii="Calibri Light" w:hAnsi="Calibri Light"/>
            <w:i/>
            <w:iCs/>
            <w:lang w:val="de-DE" w:eastAsia="en-US" w:bidi="ar-SA"/>
          </w:rPr>
          <w:t>empörenden Versäumnisse in den Bereichen Corporate Governance, externe Rechnungsprüfung und Aufsicht im Zusammenhang mit dem plötzlichen Zusammenbruch der Wirecard AG</w:t>
        </w:r>
      </w:hyperlink>
      <w:r>
        <w:rPr>
          <w:rFonts w:cs="Calibri Light" w:ascii="Calibri Light" w:hAnsi="Calibri Light"/>
          <w:i/>
          <w:iCs/>
          <w:lang w:val="de-DE" w:eastAsia="en-US" w:bidi="ar-SA"/>
        </w:rPr>
        <w:t xml:space="preserve"> –  bei dem Altersvorsorgeersparnisse von EU-Bürgern in Höhe von rund 20 Milliarden Euro zunichte gemacht wurden – deutlich zeigen, dass die EU-Regulierungsbehörden mehr unternehmen müssen, angefangen bei der Umsetzung eines ausgewogeneren Sanierungsplans für die Kapitalmarktunion, in dem die EU-Bürger als private Anleger und Altersvorsorgesparer nicht vergessen werden“</w:t>
      </w:r>
      <w:r>
        <w:rPr>
          <w:rFonts w:cs="Calibri Light" w:ascii="Calibri Light" w:hAnsi="Calibri Light"/>
          <w:lang w:val="de-DE" w:eastAsia="en-US" w:bidi="ar-SA"/>
        </w:rPr>
        <w:t xml:space="preserve">. </w:t>
      </w:r>
    </w:p>
    <w:p>
      <w:pPr>
        <w:pStyle w:val="Normal"/>
        <w:spacing w:lineRule="auto" w:line="240" w:before="0" w:after="0"/>
        <w:jc w:val="center"/>
        <w:rPr>
          <w:lang w:val="de-DE" w:eastAsia="en-US" w:bidi="ar-SA"/>
        </w:rPr>
      </w:pPr>
      <w:r>
        <w:rPr>
          <w:rFonts w:cs="Calibri Light" w:ascii="Calibri Light" w:hAnsi="Calibri Light"/>
          <w:lang w:val="de-DE" w:eastAsia="en-US" w:bidi="ar-SA"/>
        </w:rPr>
        <w:t>***</w:t>
      </w:r>
    </w:p>
    <w:p>
      <w:pPr>
        <w:pStyle w:val="Textkrper"/>
        <w:spacing w:lineRule="auto" w:line="240" w:before="0" w:after="0"/>
        <w:jc w:val="center"/>
        <w:rPr/>
      </w:pPr>
      <w:r>
        <w:rPr>
          <w:rFonts w:cs="Calibri Light" w:ascii="Calibri Light" w:hAnsi="Calibri Light"/>
          <w:sz w:val="20"/>
          <w:u w:val="single"/>
          <w:lang w:val="de-DE" w:eastAsia="en-US" w:bidi="ar-SA"/>
        </w:rPr>
        <w:t>Kontakt</w:t>
      </w:r>
      <w:r>
        <w:rPr>
          <w:rFonts w:cs="Calibri Light" w:ascii="Calibri Light" w:hAnsi="Calibri Light"/>
          <w:sz w:val="20"/>
          <w:lang w:val="de-DE" w:eastAsia="en-US" w:bidi="ar-SA"/>
        </w:rPr>
        <w:t xml:space="preserve">: Leiter der Kommunikationsabteilung ǀ Arnaud Houdmont ǀ +32 (0)2 514 37 77 ǀ </w:t>
      </w:r>
      <w:hyperlink r:id="rId9">
        <w:r>
          <w:rPr>
            <w:rStyle w:val="Internetverknpfung"/>
            <w:rFonts w:cs="Calibri Light" w:ascii="Calibri Light" w:hAnsi="Calibri Light"/>
            <w:sz w:val="20"/>
            <w:lang w:val="de-DE" w:eastAsia="en-US" w:bidi="ar-SA"/>
          </w:rPr>
          <w:t>houdmont@betterfinance.eu</w:t>
        </w:r>
      </w:hyperlink>
    </w:p>
    <w:p>
      <w:pPr>
        <w:sectPr>
          <w:headerReference w:type="default" r:id="rId10"/>
          <w:footerReference w:type="default" r:id="rId11"/>
          <w:type w:val="nextPage"/>
          <w:pgSz w:w="11906" w:h="16838"/>
          <w:pgMar w:left="1440" w:right="1440" w:header="708" w:top="1440" w:footer="708" w:bottom="1440" w:gutter="0"/>
          <w:pgNumType w:fmt="decimal"/>
          <w:formProt w:val="false"/>
          <w:textDirection w:val="lrTb"/>
          <w:docGrid w:type="default" w:linePitch="100" w:charSpace="4096"/>
        </w:sectPr>
      </w:pPr>
    </w:p>
    <w:p>
      <w:pPr>
        <w:pStyle w:val="Berschrift2"/>
        <w:spacing w:before="40" w:after="80"/>
        <w:ind w:left="567" w:hanging="0"/>
        <w:rPr>
          <w:lang w:val="de-DE" w:eastAsia="en-US" w:bidi="ar-SA"/>
        </w:rPr>
      </w:pPr>
      <w:r>
        <w:rPr>
          <w:lang w:val="de-DE" w:eastAsia="en-US" w:bidi="ar-SA"/>
        </w:rPr>
      </w:r>
    </w:p>
    <w:p>
      <w:pPr>
        <w:pStyle w:val="Normal"/>
        <w:spacing w:before="0" w:after="200"/>
        <w:ind w:left="567" w:right="827" w:hanging="0"/>
        <w:rPr>
          <w:lang w:val="de-DE" w:eastAsia="en-US" w:bidi="ar-SA"/>
        </w:rPr>
      </w:pPr>
      <w:r>
        <w:rPr/>
      </w:r>
    </w:p>
    <w:sectPr>
      <w:type w:val="continuous"/>
      <w:pgSz w:w="11906" w:h="16838"/>
      <w:pgMar w:left="1440" w:right="1440" w:header="708" w:top="1440" w:footer="708" w:bottom="14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Calibri Light">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nl-BE"/>
      </w:rPr>
    </w:pPr>
    <w:r>
      <w:rPr>
        <w:b/>
        <w:color w:val="006FB4"/>
        <w:sz w:val="16"/>
        <w:szCs w:val="16"/>
        <w:lang w:val="nl-BE"/>
      </w:rPr>
      <w:t>Europäischer Verband der Anleger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E-Mail: info@betterfinance.eu -</w:t>
    </w:r>
    <w:bookmarkStart w:id="1" w:name="_Hlk944867"/>
    <w:r>
      <w:rPr>
        <w:color w:val="006FB4"/>
        <w:sz w:val="16"/>
        <w:szCs w:val="16"/>
        <w:lang w:val="pt-PT"/>
      </w:rPr>
      <w:t xml:space="preserve"> </w:t>
    </w:r>
    <w:hyperlink r:id="rId1">
      <w:r>
        <w:rPr>
          <w:color w:val="006FB4"/>
          <w:sz w:val="16"/>
          <w:szCs w:val="16"/>
          <w:u w:val="single"/>
          <w:lang w:val="it-IT"/>
        </w:rPr>
        <w:t xml:space="preserve">http://www.betterfinance.eu </w:t>
      </w:r>
    </w:hyperlin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3">
          <wp:simplePos x="0" y="0"/>
          <wp:positionH relativeFrom="margin">
            <wp:posOffset>2564130</wp:posOffset>
          </wp:positionH>
          <wp:positionV relativeFrom="paragraph">
            <wp:posOffset>-189230</wp:posOffset>
          </wp:positionV>
          <wp:extent cx="3138170" cy="645160"/>
          <wp:effectExtent l="0" t="0" r="0" b="0"/>
          <wp:wrapSquare wrapText="bothSides"/>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3138170" cy="645160"/>
                  </a:xfrm>
                  <a:prstGeom prst="rect">
                    <a:avLst/>
                  </a:prstGeom>
                </pic:spPr>
              </pic:pic>
            </a:graphicData>
          </a:graphic>
        </wp:anchor>
      </w:drawing>
    </w:r>
  </w:p>
  <w:p>
    <w:pPr>
      <w:pStyle w:val="Kopfzeile"/>
      <w:rPr/>
    </w:pPr>
    <w:r>
      <w:rPr/>
    </w:r>
  </w:p>
  <w:p>
    <w:pPr>
      <w:pStyle w:val="Kopfzeile"/>
      <w:rPr>
        <w:sz w:val="12"/>
        <w:szCs w:val="12"/>
      </w:rPr>
    </w:pPr>
    <w:r>
      <w:rPr>
        <w:sz w:val="12"/>
        <w:szCs w:val="12"/>
      </w:rPr>
    </w:r>
  </w:p>
  <w:p>
    <w:pPr>
      <w:pStyle w:val="Kopfzeile"/>
      <w:rPr>
        <w:sz w:val="12"/>
        <w:szCs w:val="12"/>
      </w:rPr>
    </w:pPr>
    <w:r>
      <w:rPr>
        <w:sz w:val="12"/>
        <w:szCs w:val="12"/>
      </w:rPr>
    </w:r>
  </w:p>
  <w:p>
    <w:pPr>
      <w:pStyle w:val="Kopfzeile"/>
      <w:rPr>
        <w:sz w:val="12"/>
        <w:szCs w:val="12"/>
      </w:rPr>
    </w:pPr>
    <w:r>
      <w:rPr>
        <w:sz w:val="12"/>
        <w:szCs w:val="12"/>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useWord2013TrackBottomHyphenation" w:uri="http://schemas.microsoft.com/office/word" w:val="1"/>
  </w:compat>
  <w:themeFontLang w:val="en-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Arial"/>
      <w:color w:val="auto"/>
      <w:kern w:val="0"/>
      <w:sz w:val="22"/>
      <w:szCs w:val="22"/>
      <w:lang w:val="en-GB" w:eastAsia="en-US" w:bidi="ar-SA"/>
    </w:rPr>
  </w:style>
  <w:style w:type="paragraph" w:styleId="Berschrift1">
    <w:name w:val="Heading 1"/>
    <w:basedOn w:val="Normal"/>
    <w:next w:val="Normal"/>
    <w:uiPriority w:val="9"/>
    <w:qFormat/>
    <w:pPr>
      <w:keepNext w:val="true"/>
      <w:keepLines/>
      <w:spacing w:before="240" w:after="0"/>
      <w:outlineLvl w:val="0"/>
    </w:pPr>
    <w:rPr>
      <w:rFonts w:ascii="Cambria" w:hAnsi="Cambria" w:eastAsia="SimSun" w:cs="Times New Roman"/>
      <w:color w:val="365F91"/>
      <w:sz w:val="32"/>
      <w:szCs w:val="32"/>
    </w:rPr>
  </w:style>
  <w:style w:type="paragraph" w:styleId="Berschrift2">
    <w:name w:val="Heading 2"/>
    <w:basedOn w:val="Normal"/>
    <w:next w:val="Normal"/>
    <w:uiPriority w:val="9"/>
    <w:unhideWhenUsed/>
    <w:qFormat/>
    <w:pPr>
      <w:keepNext w:val="true"/>
      <w:keepLines/>
      <w:spacing w:before="40" w:after="0"/>
      <w:outlineLvl w:val="1"/>
    </w:pPr>
    <w:rPr>
      <w:rFonts w:ascii="Cambria" w:hAnsi="Cambria" w:eastAsia="SimSun" w:cs="Times New Roman"/>
      <w:color w:val="365F9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odyTextChar" w:customStyle="1">
    <w:name w:val="Body Text Char"/>
    <w:basedOn w:val="DefaultParagraphFont"/>
    <w:qFormat/>
    <w:rPr>
      <w:rFonts w:ascii="Tahoma" w:hAnsi="Tahoma" w:eastAsia="Times New Roman" w:cs="Times New Roman"/>
      <w:spacing w:val="10"/>
      <w:sz w:val="17"/>
      <w:szCs w:val="20"/>
      <w:lang w:val="en-US"/>
    </w:rPr>
  </w:style>
  <w:style w:type="character" w:styleId="TitleChar" w:customStyle="1">
    <w:name w:val="Title Char"/>
    <w:basedOn w:val="DefaultParagraphFont"/>
    <w:qFormat/>
    <w:rPr>
      <w:rFonts w:ascii="Cambria" w:hAnsi="Cambria" w:eastAsia="SimSun" w:cs="Times New Roman"/>
      <w:spacing w:val="-10"/>
      <w:kern w:val="2"/>
      <w:sz w:val="56"/>
      <w:szCs w:val="56"/>
    </w:rPr>
  </w:style>
  <w:style w:type="character" w:styleId="BalloonTextChar" w:customStyle="1">
    <w:name w:val="Balloon Text Char"/>
    <w:basedOn w:val="DefaultParagraphFont"/>
    <w:qFormat/>
    <w:rPr>
      <w:rFonts w:ascii="Times New Roman" w:hAnsi="Times New Roman" w:cs="Times New Roman"/>
      <w:sz w:val="18"/>
      <w:szCs w:val="18"/>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FootnoteTextChar" w:customStyle="1">
    <w:name w:val="Footnote Text Char"/>
    <w:basedOn w:val="DefaultParagraphFont"/>
    <w:qFormat/>
    <w:rPr>
      <w:sz w:val="20"/>
      <w:szCs w:val="20"/>
    </w:rPr>
  </w:style>
  <w:style w:type="character" w:styleId="Funotenanker">
    <w:name w:val="Fußnotenanker"/>
    <w:rPr>
      <w:vertAlign w:val="superscript"/>
    </w:rPr>
  </w:style>
  <w:style w:type="character" w:styleId="FootnoteCharacters">
    <w:name w:val="Footnote Characters"/>
    <w:basedOn w:val="DefaultParagraphFont"/>
    <w:qFormat/>
    <w:rPr>
      <w:vertAlign w:val="superscript"/>
    </w:rPr>
  </w:style>
  <w:style w:type="character" w:styleId="Strong">
    <w:name w:val="Strong"/>
    <w:qFormat/>
    <w:rPr>
      <w:b/>
      <w:bCs/>
    </w:rPr>
  </w:style>
  <w:style w:type="character" w:styleId="Internetverknpfung">
    <w:name w:val="Internetverknüpfung"/>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BesuchteInternetverknpfung">
    <w:name w:val="Besuchte Internetverknüpfung"/>
    <w:basedOn w:val="DefaultParagraphFont"/>
    <w:rPr>
      <w:color w:val="800080"/>
      <w:u w:val="single"/>
    </w:rPr>
  </w:style>
  <w:style w:type="character" w:styleId="Heading2Char" w:customStyle="1">
    <w:name w:val="Heading 2 Char"/>
    <w:basedOn w:val="DefaultParagraphFont"/>
    <w:qFormat/>
    <w:rPr>
      <w:rFonts w:ascii="Cambria" w:hAnsi="Cambria" w:eastAsia="SimSun" w:cs="Times New Roman"/>
      <w:color w:val="365F91"/>
      <w:sz w:val="26"/>
      <w:szCs w:val="26"/>
    </w:rPr>
  </w:style>
  <w:style w:type="character" w:styleId="Heading1Char" w:customStyle="1">
    <w:name w:val="Heading 1 Char"/>
    <w:basedOn w:val="DefaultParagraphFont"/>
    <w:qFormat/>
    <w:rPr>
      <w:rFonts w:ascii="Cambria" w:hAnsi="Cambria" w:eastAsia="SimSun" w:cs="Times New Roman"/>
      <w:color w:val="365F91"/>
      <w:sz w:val="32"/>
      <w:szCs w:val="32"/>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exact" w:line="240"/>
    </w:pPr>
    <w:rPr>
      <w:rFonts w:ascii="Tahoma" w:hAnsi="Tahoma" w:eastAsia="Times New Roman" w:cs="Times New Roman"/>
      <w:spacing w:val="10"/>
      <w:sz w:val="17"/>
      <w:szCs w:val="20"/>
      <w:lang w:val="en-US"/>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undFuzeile">
    <w:name w:val="Kopf- und Fußzeile"/>
    <w:basedOn w:val="Normal"/>
    <w:qFormat/>
    <w:pPr/>
    <w:rPr/>
  </w:style>
  <w:style w:type="paragraph" w:styleId="Kopfzeile">
    <w:name w:val="Header"/>
    <w:basedOn w:val="Normal"/>
    <w:pPr>
      <w:tabs>
        <w:tab w:val="clear" w:pos="720"/>
        <w:tab w:val="center" w:pos="4536" w:leader="none"/>
        <w:tab w:val="right" w:pos="9072" w:leader="none"/>
      </w:tabs>
      <w:spacing w:lineRule="auto" w:line="240" w:before="0" w:after="0"/>
    </w:pPr>
    <w:rPr/>
  </w:style>
  <w:style w:type="paragraph" w:styleId="Fuzeile">
    <w:name w:val="Footer"/>
    <w:basedOn w:val="Normal"/>
    <w:pPr>
      <w:tabs>
        <w:tab w:val="clear" w:pos="720"/>
        <w:tab w:val="center" w:pos="4536" w:leader="none"/>
        <w:tab w:val="right" w:pos="9072" w:leader="none"/>
      </w:tabs>
      <w:spacing w:lineRule="auto" w:line="240" w:before="0" w:after="0"/>
    </w:pPr>
    <w:rPr/>
  </w:style>
  <w:style w:type="paragraph" w:styleId="Titel">
    <w:name w:val="Title"/>
    <w:basedOn w:val="Normal"/>
    <w:next w:val="Normal"/>
    <w:uiPriority w:val="10"/>
    <w:qFormat/>
    <w:pPr>
      <w:spacing w:lineRule="auto" w:line="240" w:before="0" w:after="0"/>
    </w:pPr>
    <w:rPr>
      <w:rFonts w:ascii="Cambria" w:hAnsi="Cambria" w:eastAsia="SimSun" w:cs="Times New Roman"/>
      <w:spacing w:val="-10"/>
      <w:kern w:val="2"/>
      <w:sz w:val="56"/>
      <w:szCs w:val="56"/>
    </w:rPr>
  </w:style>
  <w:style w:type="paragraph" w:styleId="BalloonText">
    <w:name w:val="Balloon Text"/>
    <w:basedOn w:val="Normal"/>
    <w:qFormat/>
    <w:pPr>
      <w:spacing w:lineRule="auto" w:line="240" w:before="0" w:after="0"/>
    </w:pPr>
    <w:rPr>
      <w:rFonts w:ascii="Times New Roman" w:hAnsi="Times New Roman" w:cs="Times New Roman"/>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Funote">
    <w:name w:val="Footnote Text"/>
    <w:basedOn w:val="Normal"/>
    <w:pPr>
      <w:spacing w:lineRule="auto" w:line="240" w:before="0" w:after="0"/>
    </w:pPr>
    <w:rPr>
      <w:sz w:val="20"/>
      <w:szCs w:val="20"/>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lineRule="auto" w:line="240" w:before="0" w:after="0"/>
      <w:jc w:val="left"/>
      <w:textAlignment w:val="baseline"/>
    </w:pPr>
    <w:rPr>
      <w:rFonts w:ascii="Times New Roman" w:hAnsi="Times New Roman" w:eastAsia="Calibri" w:cs="Times New Roman"/>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info/publications/200722-proposal-capital-markets-recovery_en" TargetMode="External"/><Relationship Id="rId3" Type="http://schemas.openxmlformats.org/officeDocument/2006/relationships/hyperlink" Target="https://ec.europa.eu/info/publications/cmu-high-level-forum_en" TargetMode="External"/><Relationship Id="rId4" Type="http://schemas.openxmlformats.org/officeDocument/2006/relationships/hyperlink" Target="https://ec.europa.eu/info/publications/cmu-high-level-forum_en" TargetMode="External"/><Relationship Id="rId5" Type="http://schemas.openxmlformats.org/officeDocument/2006/relationships/hyperlink" Target="https://ec.europa.eu/info/sites/info/files/business_economy_euro/growth_and_investment/documents/200610-cmu-high-level-forum-final-report_en.pdf" TargetMode="External"/><Relationship Id="rId6" Type="http://schemas.openxmlformats.org/officeDocument/2006/relationships/hyperlink" Target="https://betterfinance.eu/wp-content/uploads/Joint-BF-BEUC-letter-on-Collective-Redress-HLF-CMU-10-June-2020.pdf" TargetMode="External"/><Relationship Id="rId7" Type="http://schemas.openxmlformats.org/officeDocument/2006/relationships/hyperlink" Target="https://betterfinance.eu/wp-content/uploads/Joint-BF-BEUC-letter-on-Collective-Redress-HLF-CMU-10-June-2020.pdf" TargetMode="External"/><Relationship Id="rId8" Type="http://schemas.openxmlformats.org/officeDocument/2006/relationships/hyperlink" Target="https://betterfinance.eu/publication/wirecard-ag-an-outrageous-case-of-corporate-governance-external-auditing-and-supervisory-failures-once-again-at-the-expense-of-investors-and-pension-savers/" TargetMode="External"/><Relationship Id="rId9" Type="http://schemas.openxmlformats.org/officeDocument/2006/relationships/hyperlink" Target="mailto:houdmont@betterfinance.e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F73FC-29E9-4A83-85B1-063F2B042122}"/>
</file>

<file path=customXml/itemProps2.xml><?xml version="1.0" encoding="utf-8"?>
<ds:datastoreItem xmlns:ds="http://schemas.openxmlformats.org/officeDocument/2006/customXml" ds:itemID="{4C44F973-6E07-4921-8B70-E431C48D934C}"/>
</file>

<file path=customXml/itemProps3.xml><?xml version="1.0" encoding="utf-8"?>
<ds:datastoreItem xmlns:ds="http://schemas.openxmlformats.org/officeDocument/2006/customXml" ds:itemID="{BE99939C-D145-4C15-B59A-AE3827979FEA}"/>
</file>

<file path=docProps/app.xml><?xml version="1.0" encoding="utf-8"?>
<Properties xmlns="http://schemas.openxmlformats.org/officeDocument/2006/extended-properties" xmlns:vt="http://schemas.openxmlformats.org/officeDocument/2006/docPropsVTypes">
  <Template>Normal</Template>
  <TotalTime>34</TotalTime>
  <Application>LibreOffice/6.4.6.2$Windows_X86_64 LibreOffice_project/0ce51a4fd21bff07a5c061082cc82c5ed232f115</Application>
  <Pages>2</Pages>
  <Words>409</Words>
  <Characters>2893</Characters>
  <CharactersWithSpaces>3295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2020-11-19T19:01:00Z</dcterms:created>
  <dc:creator>Arnaud Houdmont</dc:creator>
  <dc:description/>
  <dc:language>de-DE</dc:language>
  <cp:lastModifiedBy/>
  <cp:lastPrinted>2020-12-21T05:58:20Z</cp:lastPrinted>
  <dcterms:modified xsi:type="dcterms:W3CDTF">2020-12-21T06:04:32Z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0x010100B5308A9776426D41840A8C2CCB15B3F3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