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de-DE" w:bidi="ar-SA"/>
        </w:rPr>
      </w:pPr>
      <w:r>
        <w:rPr>
          <w:lang w:val="de-DE" w:bidi="ar-SA"/>
        </w:rPr>
      </w:r>
    </w:p>
    <w:p>
      <w:pPr>
        <w:pStyle w:val="Berschrift2"/>
        <w:spacing w:before="40" w:after="80"/>
        <w:jc w:val="both"/>
        <w:rPr>
          <w:lang w:val="de-DE" w:bidi="ar-SA"/>
        </w:rPr>
      </w:pPr>
      <w:r>
        <w:rPr>
          <w:rFonts w:eastAsia="Calibri" w:cs="Calibri Light" w:ascii="Calibri Light" w:hAnsi="Calibri Light"/>
          <w:b/>
          <w:spacing w:val="20"/>
          <w:kern w:val="2"/>
          <w:lang w:val="de-DE" w:bidi="ar-SA"/>
        </w:rPr>
        <w:t>Nationale Aufsichtsbehörden lehnen Regeln für Basisinformationsblätter bei Anlageprodukten für Kleinanleger ab: Es ist höchste Zeit, die Empfehlungen des Hochrangigen Forums der Europäischen Kommission umzusetzen</w:t>
      </w:r>
    </w:p>
    <w:p>
      <w:pPr>
        <w:pStyle w:val="Xmsonormal"/>
        <w:spacing w:before="0" w:after="240"/>
        <w:jc w:val="both"/>
        <w:rPr/>
      </w:pPr>
      <w:bookmarkStart w:id="0" w:name="_Hlk4143464"/>
      <w:r>
        <w:rPr>
          <w:rFonts w:eastAsia="Times New Roman" w:cs="Calibri Light" w:ascii="Calibri Light" w:hAnsi="Calibri Light"/>
          <w:b/>
          <w:bCs/>
          <w:lang w:val="de-DE" w:bidi="ar-SA"/>
        </w:rPr>
        <w:t xml:space="preserve">Brüssel, 31. Juli 2020 </w:t>
      </w:r>
      <w:bookmarkEnd w:id="0"/>
      <w:r>
        <w:rPr>
          <w:rFonts w:eastAsia="Times New Roman" w:cs="Calibri Light" w:ascii="Calibri Light" w:hAnsi="Calibri Light"/>
          <w:lang w:val="de-DE" w:bidi="ar-SA"/>
        </w:rPr>
        <w:t xml:space="preserve">- </w:t>
      </w:r>
      <w:r>
        <w:rPr>
          <w:rFonts w:cs="Calibri Light" w:ascii="Calibri Light" w:hAnsi="Calibri Light"/>
          <w:lang w:val="de-DE" w:bidi="ar-SA"/>
        </w:rPr>
        <w:t xml:space="preserve">In einem </w:t>
      </w:r>
      <w:hyperlink r:id="rId2">
        <w:r>
          <w:rPr>
            <w:rStyle w:val="Internetverknpfung"/>
            <w:rFonts w:cs="Calibri Light" w:ascii="Calibri Light" w:hAnsi="Calibri Light"/>
            <w:lang w:val="de-DE" w:bidi="ar-SA"/>
          </w:rPr>
          <w:t>Schreiben</w:t>
        </w:r>
      </w:hyperlink>
      <w:r>
        <w:rPr>
          <w:rFonts w:cs="Calibri Light" w:ascii="Calibri Light" w:hAnsi="Calibri Light"/>
          <w:lang w:val="de-DE" w:bidi="ar-SA"/>
        </w:rPr>
        <w:t xml:space="preserve"> vom 20. Juni 2020 an die für Finanzstabilität, Finanzdienstleistungen und Kapitalmarktunion (DG FISMA) zuständige Generaldirektion der Europäischen Kommission teilten die Europäischen Aufsichtsbehörden (European Supervisory Authorities, ESA) mit, dass einer ihrer Aufsichtsräte den Entwurf zu technischen Regulierungsstandards </w:t>
      </w:r>
      <w:r>
        <w:rPr>
          <w:rFonts w:cs="Calibri Light" w:ascii="Calibri Light" w:hAnsi="Calibri Light"/>
          <w:sz w:val="22"/>
          <w:szCs w:val="22"/>
          <w:lang w:val="de-DE" w:eastAsia="en-GB" w:bidi="ar-SA"/>
        </w:rPr>
        <w:t>(</w:t>
      </w:r>
      <w:r>
        <w:rPr>
          <w:rFonts w:cs="Calibri Light" w:ascii="Calibri Light" w:hAnsi="Calibri Light"/>
          <w:color w:val="000000"/>
          <w:sz w:val="22"/>
          <w:szCs w:val="22"/>
          <w:lang w:val="de-DE" w:eastAsia="en-GB" w:bidi="ar-SA"/>
        </w:rPr>
        <w:t>Regulatory Technical Standards – RTS</w:t>
      </w:r>
      <w:r>
        <w:rPr>
          <w:rFonts w:cs="Calibri Light" w:ascii="Calibri Light" w:hAnsi="Calibri Light"/>
          <w:sz w:val="22"/>
          <w:szCs w:val="22"/>
          <w:lang w:val="de-DE" w:eastAsia="en-GB" w:bidi="ar-SA"/>
        </w:rPr>
        <w:t>) der „Level-2-Maßnahme“ für die Delegierte Verordnung über</w:t>
      </w:r>
      <w:r>
        <w:rPr>
          <w:rFonts w:cs="Calibri Light" w:ascii="Calibri Light" w:hAnsi="Calibri Light"/>
          <w:b w:val="false"/>
          <w:bCs w:val="false"/>
          <w:sz w:val="22"/>
          <w:szCs w:val="22"/>
          <w:lang w:val="de-DE" w:eastAsia="en-GB" w:bidi="ar-SA"/>
        </w:rPr>
        <w:t xml:space="preserve"> </w:t>
      </w:r>
      <w:r>
        <w:rPr>
          <w:rFonts w:cs="Calibri Light" w:ascii="Calibri Light" w:hAnsi="Calibri Light"/>
          <w:sz w:val="22"/>
          <w:szCs w:val="22"/>
          <w:lang w:val="de-DE" w:eastAsia="en-GB" w:bidi="ar-SA"/>
        </w:rPr>
        <w:t>Basisinformationsblätter (</w:t>
      </w:r>
      <w:r>
        <w:rPr>
          <w:rFonts w:cs="Calibri Light" w:ascii="Calibri Light" w:hAnsi="Calibri Light"/>
          <w:color w:val="000000"/>
          <w:sz w:val="22"/>
          <w:szCs w:val="22"/>
          <w:lang w:val="de-DE" w:eastAsia="en-GB" w:bidi="ar-SA"/>
        </w:rPr>
        <w:t>Key Inform</w:t>
      </w:r>
      <w:r>
        <w:rPr>
          <w:rFonts w:ascii="Calibri Light" w:hAnsi="Calibri Light"/>
          <w:color w:val="000000"/>
          <w:sz w:val="22"/>
          <w:szCs w:val="22"/>
          <w:lang w:val="de-DE" w:bidi="ar-SA"/>
        </w:rPr>
        <w:t xml:space="preserve">ation Document - KID) </w:t>
      </w:r>
      <w:r>
        <w:rPr>
          <w:rFonts w:cs="Calibri Light" w:ascii="Calibri Light" w:hAnsi="Calibri Light"/>
          <w:sz w:val="22"/>
          <w:szCs w:val="22"/>
          <w:lang w:val="de-DE" w:eastAsia="en-GB" w:bidi="ar-SA"/>
        </w:rPr>
        <w:t>für verpackte Anlageprodukte für Kleinanleger und Versicherungsanlageprodukte (</w:t>
      </w:r>
      <w:r>
        <w:rPr>
          <w:rFonts w:cs="Calibri Light" w:ascii="Calibri Light" w:hAnsi="Calibri Light"/>
          <w:color w:val="000000"/>
          <w:sz w:val="22"/>
          <w:szCs w:val="22"/>
          <w:lang w:val="de-DE" w:eastAsia="en-GB" w:bidi="ar-SA"/>
        </w:rPr>
        <w:t xml:space="preserve">Packaged Retail and Insurance-based Investment </w:t>
      </w:r>
      <w:r>
        <w:rPr>
          <w:rFonts w:ascii="Calibri Light" w:hAnsi="Calibri Light"/>
          <w:color w:val="000000"/>
          <w:sz w:val="22"/>
          <w:szCs w:val="22"/>
          <w:lang w:val="de-DE" w:bidi="ar-SA"/>
        </w:rPr>
        <w:t>Products – PRIIP</w:t>
      </w:r>
      <w:r>
        <w:rPr>
          <w:rFonts w:cs="Calibri Light" w:ascii="Calibri Light" w:hAnsi="Calibri Light"/>
          <w:sz w:val="22"/>
          <w:szCs w:val="22"/>
          <w:lang w:val="de-DE" w:eastAsia="en-GB" w:bidi="ar-SA"/>
        </w:rPr>
        <w:t>)</w:t>
      </w:r>
      <w:r>
        <w:rPr>
          <w:rFonts w:cs="Calibri Light" w:ascii="Calibri Light" w:hAnsi="Calibri Light"/>
          <w:sz w:val="21"/>
          <w:lang w:val="de-DE" w:eastAsia="en-GB" w:bidi="ar-SA"/>
        </w:rPr>
        <w:t xml:space="preserve"> </w:t>
      </w:r>
      <w:r>
        <w:rPr>
          <w:rFonts w:cs="Calibri Light" w:ascii="Calibri Light" w:hAnsi="Calibri Light"/>
          <w:lang w:val="de-DE" w:bidi="ar-SA"/>
        </w:rPr>
        <w:t xml:space="preserve"> nicht genehmigt hat. Diese festgefahrene Situation ist darauf zurückzuführen, dass sich die Vorsitzenden verschiedener nationaler Aufsichtsbehörden weder darüber einigen können, dass vor Level 2 Level 1 zu überprüfen ist, noch darüber, wie der Abschnitt zur Wertentwicklung des Basisinformationsblatts gestaltet werden soll.</w:t>
      </w:r>
      <w:r>
        <w:rPr>
          <w:rStyle w:val="Funotenanker"/>
          <w:rFonts w:cs="Calibri Light" w:ascii="Calibri Light" w:hAnsi="Calibri Light"/>
          <w:lang w:val="de-DE" w:bidi="ar-SA"/>
        </w:rPr>
        <w:footnoteReference w:id="2"/>
      </w:r>
    </w:p>
    <w:p>
      <w:pPr>
        <w:pStyle w:val="Xmsonormal"/>
        <w:spacing w:before="0" w:after="240"/>
        <w:jc w:val="both"/>
        <w:rPr/>
      </w:pPr>
      <w:r>
        <w:rPr>
          <w:rFonts w:cs="Calibri Light" w:ascii="Calibri Light" w:hAnsi="Calibri Light"/>
          <w:lang w:val="de-DE" w:bidi="ar-SA"/>
        </w:rPr>
        <w:t xml:space="preserve">BETTER FINANCE nimmt mit Bedauern, jedoch ohne überrascht zu sein, zur Kenntnis, dass der Entwurf der geänderten Regeln für Level 2 nach einem derart langen Zeitraum (2 Jahre) intensiver Konsultationen mit Interessengruppen und Verbrauchertests durch die ESA und die GD FISMA letztlich  abgelehnt worden ist. Wie bei vielen Anlässen erwähnt, können die größten Probleme im Zusammenhang mit den PRIIP von den Mitgesetzgebern nur auf Level 1 behandelt werden, wie von den ESA selbst hervorgehoben worden ist. Angesichts dieser Ablehnung und im Einklang mit der Empfehlung im </w:t>
      </w:r>
      <w:hyperlink r:id="rId3">
        <w:r>
          <w:rPr>
            <w:rStyle w:val="Internetverknpfung"/>
            <w:rFonts w:cs="Calibri Light" w:ascii="Calibri Light" w:hAnsi="Calibri Light"/>
            <w:lang w:val="de-DE" w:bidi="ar-SA"/>
          </w:rPr>
          <w:t>Abschlussbericht des Hochrangigen Forums zur</w:t>
        </w:r>
      </w:hyperlink>
      <w:hyperlink r:id="rId4">
        <w:r>
          <w:rPr>
            <w:rStyle w:val="Internetverknpfung"/>
            <w:rFonts w:cs="Calibri Light" w:ascii="Calibri Light" w:hAnsi="Calibri Light"/>
            <w:lang w:val="de-DE" w:bidi="ar-SA"/>
          </w:rPr>
          <w:t xml:space="preserve"> Kapitalmarktunion</w:t>
        </w:r>
      </w:hyperlink>
      <w:r>
        <w:rPr>
          <w:rFonts w:cs="Calibri Light" w:ascii="Calibri Light" w:hAnsi="Calibri Light"/>
          <w:lang w:val="de-DE" w:bidi="ar-SA"/>
        </w:rPr>
        <w:t xml:space="preserve"> fordert BETTER FINANCE die Mitgesetzgeber nachdrücklich auf, die derzeitige Ausnahme für Organismen für gemeinsame Anlagen in Wertpapieren (OGAW) von der Verpflichtung zur Erstellung von Basisinformationsblättern für PRIIP unverzüglich zu verlängern, zumindest bis die Überprüfungen der Level-1- und 2-Maßnahmen vollständig abgeschlossen sind. </w:t>
      </w:r>
    </w:p>
    <w:p>
      <w:pPr>
        <w:pStyle w:val="Xmsonormal"/>
        <w:spacing w:before="0" w:after="240"/>
        <w:jc w:val="both"/>
        <w:rPr/>
      </w:pPr>
      <w:r>
        <w:rPr>
          <w:rFonts w:cs="Calibri Light" w:ascii="Calibri Light" w:hAnsi="Calibri Light"/>
          <w:lang w:val="de-DE" w:bidi="ar-SA"/>
        </w:rPr>
        <w:t xml:space="preserve">Jede Überprüfung sollte mit Level 1 beginnen, nicht umgekehrt. Wie aus den von den Interessengruppen und den zuständigen nationalen Behörden (National Competent Authorities, NCA) vorgelegten Beweisen immer deutlicher hervorgeht und von den ESA vorgeschlagen wird, sollte bei der Überprüfung dringend die Anforderung wieder eingeführt werden, die </w:t>
      </w:r>
      <w:r>
        <w:rPr>
          <w:rFonts w:eastAsia="Times New Roman" w:cs="Calibri Light" w:ascii="Calibri Light" w:hAnsi="Calibri Light"/>
          <w:lang w:val="de-DE" w:bidi="ar-SA"/>
        </w:rPr>
        <w:t xml:space="preserve">tatsächliche langfristige bisherige Wertentwicklung gegenüber dem Vergleichsindex des Anlageverwalters </w:t>
      </w:r>
      <w:r>
        <w:rPr>
          <w:rFonts w:cs="Calibri Light" w:ascii="Calibri Light" w:hAnsi="Calibri Light"/>
          <w:lang w:val="de-DE" w:bidi="ar-SA"/>
        </w:rPr>
        <w:t>einzubeziehen</w:t>
      </w:r>
      <w:r>
        <w:rPr>
          <w:rFonts w:eastAsia="Times New Roman" w:cs="Calibri Light" w:ascii="Calibri Light" w:hAnsi="Calibri Light"/>
          <w:lang w:val="de-DE" w:bidi="ar-SA"/>
        </w:rPr>
        <w:t>, wie dies derzeit für die wesentlichen Informationen für den Anleger</w:t>
      </w:r>
      <w:r>
        <w:rPr>
          <w:rStyle w:val="Betont"/>
          <w:rFonts w:eastAsia="Times New Roman" w:cs="Calibri Light" w:ascii="Calibri Light" w:hAnsi="Calibri Light"/>
          <w:i w:val="false"/>
          <w:iCs w:val="false"/>
          <w:lang w:val="de-DE" w:bidi="ar-SA"/>
        </w:rPr>
        <w:t xml:space="preserve"> bei Organismen für gemeinsame Anlagen in Wertpapieren (OGAW)</w:t>
      </w:r>
      <w:r>
        <w:rPr>
          <w:rFonts w:eastAsia="Times New Roman" w:cs="Calibri Light" w:ascii="Calibri Light" w:hAnsi="Calibri Light"/>
          <w:lang w:val="de-DE" w:bidi="ar-SA"/>
        </w:rPr>
        <w:t xml:space="preserve"> im Abschnitt „Performanceszenarien“ der Basisinformationsblätter f</w:t>
      </w:r>
      <w:r>
        <w:rPr>
          <w:rFonts w:eastAsia="Times New Roman" w:cs="Calibri Light" w:ascii="Calibri Light" w:hAnsi="Calibri Light"/>
          <w:sz w:val="22"/>
          <w:szCs w:val="22"/>
          <w:lang w:val="de-DE" w:eastAsia="en-GB" w:bidi="ar-SA"/>
        </w:rPr>
        <w:t>ür verpackte Anlageprodukte für Kleinanleger und Versicherungsanlageprodukte</w:t>
      </w:r>
      <w:r>
        <w:rPr>
          <w:rFonts w:eastAsia="Times New Roman" w:cs="Calibri Light" w:ascii="Calibri Light" w:hAnsi="Calibri Light"/>
          <w:lang w:val="de-DE" w:bidi="ar-SA"/>
        </w:rPr>
        <w:t xml:space="preserve"> der Fall ist. </w:t>
      </w:r>
    </w:p>
    <w:p>
      <w:pPr>
        <w:pStyle w:val="Xmsonormal"/>
        <w:spacing w:before="0" w:after="240"/>
        <w:jc w:val="both"/>
        <w:rPr>
          <w:lang w:val="de-DE" w:bidi="ar-SA"/>
        </w:rPr>
      </w:pPr>
      <w:r>
        <w:rPr>
          <w:rFonts w:eastAsia="Times New Roman" w:cs="Calibri Light" w:ascii="Calibri Light" w:hAnsi="Calibri Light"/>
          <w:lang w:val="de-DE" w:bidi="ar-SA"/>
        </w:rPr>
        <w:t>Guillaume Prache, Geschäftsführer von BETTER FINANCE, hebt die Tatsache hervor, dass „</w:t>
      </w:r>
      <w:r>
        <w:rPr>
          <w:rFonts w:eastAsia="Times New Roman" w:cs="Calibri Light" w:ascii="Calibri Light" w:hAnsi="Calibri Light"/>
          <w:i/>
          <w:iCs/>
          <w:lang w:val="de-DE" w:bidi="ar-SA"/>
        </w:rPr>
        <w:t>die derzeitige Form und der derzeitige Inhalt der Basisinformationsblätter f</w:t>
      </w:r>
      <w:r>
        <w:rPr>
          <w:rFonts w:eastAsia="Times New Roman" w:cs="Calibri Light" w:ascii="Calibri Light" w:hAnsi="Calibri Light"/>
          <w:i/>
          <w:iCs/>
          <w:sz w:val="22"/>
          <w:szCs w:val="22"/>
          <w:lang w:val="de-DE" w:eastAsia="en-GB" w:bidi="ar-SA"/>
        </w:rPr>
        <w:t>ür verpackte Anlageprodukte für Kleinanleger und Versicherungsanlageprodukte</w:t>
      </w:r>
      <w:r>
        <w:rPr>
          <w:rFonts w:eastAsia="Times New Roman" w:cs="Calibri Light" w:ascii="Calibri Light" w:hAnsi="Calibri Light"/>
          <w:i/>
          <w:iCs/>
          <w:lang w:val="de-DE" w:bidi="ar-SA"/>
        </w:rPr>
        <w:t xml:space="preserve"> für die Verbraucher äußerst fragwürdig sind. Die ESA befinden sich inmitten eines Kreuzfeuers unterschiedlicher Meinungen von Interessengruppen, Verbrauchern, Entscheidungsträgern und nationalen Aufsichtsbehörden“</w:t>
      </w:r>
      <w:r>
        <w:rPr>
          <w:rFonts w:eastAsia="Times New Roman" w:cs="Calibri Light" w:ascii="Calibri Light" w:hAnsi="Calibri Light"/>
          <w:lang w:val="de-DE" w:bidi="ar-SA"/>
        </w:rPr>
        <w:t>.</w:t>
      </w:r>
    </w:p>
    <w:p>
      <w:pPr>
        <w:pStyle w:val="Xmsonormal"/>
        <w:spacing w:before="0" w:after="240"/>
        <w:jc w:val="both"/>
        <w:rPr>
          <w:lang w:val="de-DE" w:bidi="ar-SA"/>
        </w:rPr>
      </w:pPr>
      <w:r>
        <w:rPr>
          <w:rFonts w:eastAsia="Times New Roman" w:cs="Calibri Light" w:ascii="Calibri Light" w:hAnsi="Calibri Light"/>
          <w:i/>
          <w:iCs/>
          <w:lang w:val="de-DE" w:bidi="ar-SA"/>
        </w:rPr>
        <w:t>„</w:t>
      </w:r>
      <w:r>
        <w:rPr>
          <w:rFonts w:eastAsia="Times New Roman" w:cs="Calibri Light" w:ascii="Calibri Light" w:hAnsi="Calibri Light"/>
          <w:i/>
          <w:iCs/>
          <w:lang w:val="de-DE" w:bidi="ar-SA"/>
        </w:rPr>
        <w:t xml:space="preserve">Andererseits“, </w:t>
      </w:r>
      <w:r>
        <w:rPr>
          <w:rFonts w:eastAsia="Times New Roman" w:cs="Calibri Light" w:ascii="Calibri Light" w:hAnsi="Calibri Light"/>
          <w:i w:val="false"/>
          <w:iCs w:val="false"/>
          <w:lang w:val="de-DE" w:bidi="ar-SA"/>
        </w:rPr>
        <w:t>betont</w:t>
      </w:r>
      <w:r>
        <w:rPr>
          <w:rFonts w:eastAsia="Times New Roman" w:cs="Calibri Light" w:ascii="Calibri Light" w:hAnsi="Calibri Light"/>
          <w:i/>
          <w:iCs/>
          <w:lang w:val="de-DE" w:bidi="ar-SA"/>
        </w:rPr>
        <w:t xml:space="preserve"> </w:t>
      </w:r>
      <w:r>
        <w:rPr>
          <w:rFonts w:eastAsia="Times New Roman" w:cs="Calibri Light" w:ascii="Calibri Light" w:hAnsi="Calibri Light"/>
          <w:lang w:val="de-DE" w:bidi="ar-SA"/>
        </w:rPr>
        <w:t>Prache weiter, „</w:t>
      </w:r>
      <w:r>
        <w:rPr>
          <w:rFonts w:eastAsia="Times New Roman" w:cs="Calibri Light" w:ascii="Calibri Light" w:hAnsi="Calibri Light"/>
          <w:i/>
          <w:iCs/>
          <w:lang w:val="de-DE" w:bidi="ar-SA"/>
        </w:rPr>
        <w:t>könnte es tatsächlich einen Silberstreif am Horizont dieser unglücklichen Verzögerung geben, da diese Ablehnung der technischen Regulierungsstandards (RTS)</w:t>
      </w:r>
      <w:r>
        <w:rPr>
          <w:rFonts w:eastAsia="Times New Roman" w:cs="Calibri Light" w:ascii="Calibri Light" w:hAnsi="Calibri Light"/>
          <w:i/>
          <w:iCs/>
          <w:sz w:val="22"/>
          <w:szCs w:val="22"/>
          <w:lang w:val="de-DE" w:bidi="ar-SA"/>
        </w:rPr>
        <w:t xml:space="preserve"> </w:t>
      </w:r>
      <w:r>
        <w:rPr>
          <w:rFonts w:eastAsia="Times New Roman" w:cs="Calibri Light" w:ascii="Calibri Light" w:hAnsi="Calibri Light"/>
          <w:i/>
          <w:iCs/>
          <w:sz w:val="22"/>
          <w:szCs w:val="22"/>
          <w:lang w:val="de-DE" w:eastAsia="en-GB" w:bidi="ar-SA"/>
        </w:rPr>
        <w:t>für verpackte Anlageprodukte für Kleinanleger und Versicherungsanlageprodukte (PRIIP)</w:t>
      </w:r>
      <w:r>
        <w:rPr>
          <w:rFonts w:eastAsia="Times New Roman" w:cs="Calibri Light" w:ascii="Calibri Light" w:hAnsi="Calibri Light"/>
          <w:i/>
          <w:iCs/>
          <w:sz w:val="22"/>
          <w:szCs w:val="22"/>
          <w:lang w:val="de-DE" w:bidi="ar-SA"/>
        </w:rPr>
        <w:t xml:space="preserve"> </w:t>
      </w:r>
      <w:r>
        <w:rPr>
          <w:rFonts w:eastAsia="Times New Roman" w:cs="Calibri Light" w:ascii="Calibri Light" w:hAnsi="Calibri Light"/>
          <w:i/>
          <w:iCs/>
          <w:lang w:val="de-DE" w:bidi="ar-SA"/>
        </w:rPr>
        <w:t>durch den Gemeinsamen Ausschuss der ESA sehr wohl eine Chance bieten könnte, eine dringend erforderliche Überprüfung der Level-1- und 2-Maßnahmen der PRIIP-Vorschriften durchzuführen, vorausgesetzt, dass die Ausnahmeregelung für OGAW-Fonds über den Abschluss dieser Revision hinaus verlängert wird, wie es das von der Europäischen Kommission im vergangenen Monat selbst eingerichtete Hochrangige Forum zur Kapitalmarktunion (HLF CMU) nachdrücklich empfohlen hat“.</w:t>
      </w:r>
    </w:p>
    <w:p>
      <w:pPr>
        <w:pStyle w:val="Xmsonormal"/>
        <w:jc w:val="both"/>
        <w:rPr>
          <w:lang w:val="de-DE" w:bidi="ar-SA"/>
        </w:rPr>
      </w:pPr>
      <w:r>
        <w:rPr>
          <w:rFonts w:cs="Calibri Light" w:ascii="Calibri Light" w:hAnsi="Calibri Light"/>
          <w:i w:val="false"/>
          <w:iCs w:val="false"/>
          <w:lang w:val="de-DE" w:bidi="ar-SA"/>
        </w:rPr>
        <w:t>Er</w:t>
      </w:r>
      <w:r>
        <w:rPr>
          <w:rFonts w:cs="Calibri Light" w:ascii="Calibri Light" w:hAnsi="Calibri Light"/>
          <w:i/>
          <w:iCs/>
          <w:lang w:val="de-DE" w:bidi="ar-SA"/>
        </w:rPr>
        <w:t xml:space="preserve"> </w:t>
      </w:r>
      <w:r>
        <w:rPr>
          <w:rFonts w:cs="Calibri Light" w:ascii="Calibri Light" w:hAnsi="Calibri Light"/>
          <w:lang w:val="de-DE" w:bidi="ar-SA"/>
        </w:rPr>
        <w:t>fügt hinzu, er sei auch „</w:t>
      </w:r>
      <w:r>
        <w:rPr>
          <w:rFonts w:cs="Calibri Light" w:ascii="Calibri Light" w:hAnsi="Calibri Light"/>
          <w:i/>
          <w:iCs/>
          <w:lang w:val="de-DE" w:bidi="ar-SA"/>
        </w:rPr>
        <w:t>erfreut zu sehen, dass viele von BETTER FINANCE vorgeschlagene oder unterstützte Änderungsanträge auf die Unterstützung einer qualifizierten Mehrheit bei der Europäischen Bankenaufsichtsbehörde (EBA) und der Europäischen Wertpapier- und Marktaufsichtsbehörde (ESMA) zählen konnten“.</w:t>
      </w:r>
    </w:p>
    <w:p>
      <w:pPr>
        <w:pStyle w:val="Normal"/>
        <w:spacing w:lineRule="auto" w:line="240" w:before="120" w:after="0"/>
        <w:jc w:val="center"/>
        <w:rPr>
          <w:lang w:val="de-DE" w:bidi="ar-SA"/>
        </w:rPr>
      </w:pPr>
      <w:r>
        <w:rPr>
          <w:rFonts w:cs="Calibri Light" w:ascii="Calibri Light" w:hAnsi="Calibri Light"/>
          <w:lang w:val="de-DE" w:bidi="ar-SA"/>
        </w:rPr>
        <w:t>***</w:t>
      </w:r>
    </w:p>
    <w:p>
      <w:pPr>
        <w:pStyle w:val="Textkrper"/>
        <w:spacing w:lineRule="auto" w:line="240" w:before="0" w:after="0"/>
        <w:jc w:val="center"/>
        <w:rPr/>
      </w:pPr>
      <w:r>
        <w:rPr>
          <w:rFonts w:cs="Calibri Light" w:ascii="Calibri Light" w:hAnsi="Calibri Light"/>
          <w:sz w:val="20"/>
          <w:u w:val="single"/>
          <w:lang w:val="de-DE" w:bidi="ar-SA"/>
        </w:rPr>
        <w:t>Kontakt</w:t>
      </w:r>
      <w:r>
        <w:rPr>
          <w:rFonts w:cs="Calibri Light" w:ascii="Calibri Light" w:hAnsi="Calibri Light"/>
          <w:sz w:val="20"/>
          <w:lang w:val="de-DE" w:bidi="ar-SA"/>
        </w:rPr>
        <w:t xml:space="preserve">: Leiter der Kommunikationsabteilung ǀ Arnaud Houdmont ǀ +32 (0)2 514 37 77 ǀ </w:t>
      </w:r>
      <w:hyperlink r:id="rId5">
        <w:r>
          <w:rPr>
            <w:rStyle w:val="Internetverknpfung"/>
            <w:rFonts w:cs="Calibri Light" w:ascii="Calibri Light" w:hAnsi="Calibri Light"/>
            <w:sz w:val="20"/>
            <w:lang w:val="de-DE" w:bidi="ar-SA"/>
          </w:rPr>
          <w:t xml:space="preserve">houdmont@betterfinance.eu </w:t>
        </w:r>
      </w:hyperlink>
    </w:p>
    <w:sectPr>
      <w:headerReference w:type="default" r:id="rId6"/>
      <w:footerReference w:type="default" r:id="rId7"/>
      <w:footnotePr>
        <w:numFmt w:val="decimal"/>
      </w:footnotePr>
      <w:type w:val="nextPage"/>
      <w:pgSz w:w="11906" w:h="16838"/>
      <w:pgMar w:left="1440" w:right="1440" w:header="708" w:top="1440" w:footer="708"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Times New Roman">
    <w:charset w:val="01"/>
    <w:family w:val="swiss"/>
    <w:pitch w:val="default"/>
  </w:font>
  <w:font w:name="Arial">
    <w:charset w:val="01"/>
    <w:family w:val="swiss"/>
    <w:pitch w:val="default"/>
  </w:font>
  <w:font w:name="Calibri Light">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20" w:after="0"/>
      <w:ind w:left="-567" w:hanging="0"/>
      <w:jc w:val="center"/>
      <w:rPr>
        <w:b/>
        <w:b/>
        <w:color w:val="006FB4"/>
        <w:sz w:val="16"/>
        <w:szCs w:val="16"/>
        <w:lang w:val="nl-BE"/>
      </w:rPr>
    </w:pPr>
    <w:r>
      <w:rPr>
        <w:b/>
        <w:color w:val="006FB4"/>
        <w:sz w:val="16"/>
        <w:szCs w:val="16"/>
        <w:lang w:val="nl-BE"/>
      </w:rPr>
      <w:t>Europäische</w:t>
    </w:r>
    <w:r>
      <w:rPr>
        <w:b/>
        <w:color w:val="006FB4"/>
        <w:sz w:val="16"/>
        <w:szCs w:val="16"/>
        <w:lang w:val="de-DE"/>
      </w:rPr>
      <w:t>r Verband der Anleger</w:t>
    </w:r>
    <w:r>
      <w:rPr>
        <w:b/>
        <w:color w:val="006FB4"/>
        <w:sz w:val="16"/>
        <w:szCs w:val="16"/>
        <w:lang w:val="nl-BE"/>
      </w:rPr>
      <w:t xml:space="preserve"> und Nutzer von Finanzdienstleistungen</w:t>
    </w:r>
  </w:p>
  <w:p>
    <w:pPr>
      <w:pStyle w:val="Normal"/>
      <w:spacing w:lineRule="auto" w:line="240" w:before="0" w:after="0"/>
      <w:ind w:left="-567" w:hanging="0"/>
      <w:jc w:val="center"/>
      <w:rPr>
        <w:color w:val="006FB4"/>
        <w:sz w:val="16"/>
        <w:szCs w:val="16"/>
        <w:lang w:val="de-DE"/>
      </w:rPr>
    </w:pPr>
    <w:r>
      <w:rPr>
        <w:color w:val="006FB4"/>
        <w:sz w:val="16"/>
        <w:szCs w:val="16"/>
        <w:lang w:val="de-DE"/>
      </w:rPr>
      <w:t>44, Rue d'Arenberg, 1000 Brüssel - Belgien</w:t>
    </w:r>
  </w:p>
  <w:p>
    <w:pPr>
      <w:pStyle w:val="Normal"/>
      <w:spacing w:lineRule="auto" w:line="240" w:before="0" w:after="0"/>
      <w:ind w:left="-567" w:hanging="0"/>
      <w:jc w:val="center"/>
      <w:rPr/>
    </w:pPr>
    <w:r>
      <w:rPr>
        <w:color w:val="006FB4"/>
        <w:sz w:val="16"/>
        <w:szCs w:val="16"/>
        <w:lang w:val="de-DE"/>
      </w:rPr>
      <w:t xml:space="preserve">Tel. (+32) 02 514 37 77 - Fax. </w:t>
    </w:r>
    <w:r>
      <w:rPr>
        <w:color w:val="006FB4"/>
        <w:sz w:val="16"/>
        <w:szCs w:val="16"/>
        <w:lang w:val="pt-PT"/>
      </w:rPr>
      <w:t>(+32) 02 514 36 66</w:t>
    </w:r>
  </w:p>
  <w:p>
    <w:pPr>
      <w:pStyle w:val="Normal"/>
      <w:spacing w:lineRule="auto" w:line="240" w:before="0" w:after="0"/>
      <w:ind w:left="-567" w:hanging="0"/>
      <w:jc w:val="center"/>
      <w:rPr/>
    </w:pPr>
    <w:r>
      <w:rPr>
        <w:color w:val="006FB4"/>
        <w:sz w:val="16"/>
        <w:szCs w:val="16"/>
        <w:lang w:val="pt-PT"/>
      </w:rPr>
      <w:t>E-Mail: info@betterfinance.eu -</w:t>
    </w:r>
    <w:bookmarkStart w:id="1" w:name="_Hlk944867"/>
    <w:r>
      <w:rPr>
        <w:color w:val="006FB4"/>
        <w:sz w:val="16"/>
        <w:szCs w:val="16"/>
        <w:lang w:val="pt-PT"/>
      </w:rPr>
      <w:t xml:space="preserve"> </w:t>
    </w:r>
    <w:hyperlink r:id="rId1">
      <w:r>
        <w:rPr>
          <w:color w:val="006FB4"/>
          <w:sz w:val="16"/>
          <w:szCs w:val="16"/>
          <w:u w:val="single"/>
          <w:lang w:val="it-IT"/>
        </w:rPr>
        <w:t xml:space="preserve">http://www.betterfinance.eu </w:t>
      </w:r>
    </w:hyperlink>
    <w:bookmarkEnd w:id="1"/>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rFonts w:cs="Calibri Light" w:ascii="Calibri Light" w:hAnsi="Calibri Light"/>
          <w:sz w:val="16"/>
          <w:szCs w:val="16"/>
        </w:rPr>
        <w:t xml:space="preserve"> </w:t>
      </w:r>
      <w:r>
        <w:rPr>
          <w:rFonts w:cs="Calibri Light" w:ascii="Calibri Light" w:hAnsi="Calibri Light"/>
          <w:sz w:val="16"/>
          <w:szCs w:val="16"/>
        </w:rPr>
        <w:t xml:space="preserve">Siehe z. B. das BaFin-Journal vom November 2019, das </w:t>
      </w:r>
      <w:r>
        <w:rPr>
          <w:rFonts w:cs="Calibri Light" w:ascii="Calibri Light" w:hAnsi="Calibri Light"/>
          <w:sz w:val="16"/>
          <w:szCs w:val="16"/>
          <w:lang w:val="de-DE"/>
        </w:rPr>
        <w:t>den Hinweis enthält</w:t>
      </w:r>
      <w:r>
        <w:rPr>
          <w:rFonts w:cs="Calibri Light" w:ascii="Calibri Light" w:hAnsi="Calibri Light"/>
          <w:sz w:val="16"/>
          <w:szCs w:val="16"/>
        </w:rPr>
        <w:t xml:space="preserve">, dass einige Fragen durch eine </w:t>
      </w:r>
      <w:r>
        <w:rPr>
          <w:rFonts w:cs="Calibri Light" w:ascii="Calibri Light" w:hAnsi="Calibri Light"/>
          <w:sz w:val="16"/>
          <w:szCs w:val="16"/>
          <w:lang w:val="de-DE"/>
        </w:rPr>
        <w:t>Revision</w:t>
      </w:r>
      <w:r>
        <w:rPr>
          <w:rFonts w:cs="Calibri Light" w:ascii="Calibri Light" w:hAnsi="Calibri Light"/>
          <w:sz w:val="16"/>
          <w:szCs w:val="16"/>
        </w:rPr>
        <w:t xml:space="preserve"> der PRIIP-Verordnung gelöst werden können - Bundesanstalt für Finanzdienstleistungsaufsicht, </w:t>
      </w:r>
      <w:r>
        <w:rPr>
          <w:rFonts w:cs="Calibri Light" w:ascii="Calibri Light" w:hAnsi="Calibri Light"/>
          <w:sz w:val="16"/>
          <w:szCs w:val="16"/>
          <w:lang w:val="de-DE"/>
        </w:rPr>
        <w:t>Den</w:t>
      </w:r>
      <w:r>
        <w:rPr>
          <w:rFonts w:cs="Calibri Light" w:ascii="Calibri Light" w:hAnsi="Calibri Light"/>
          <w:sz w:val="16"/>
          <w:szCs w:val="16"/>
        </w:rPr>
        <w:t xml:space="preserve"> Kunden im Blick, S. 10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1" distT="0" distB="0" distL="114300" distR="114300" simplePos="0" locked="0" layoutInCell="1" allowOverlap="1" relativeHeight="3">
          <wp:simplePos x="0" y="0"/>
          <wp:positionH relativeFrom="margin">
            <wp:posOffset>2564130</wp:posOffset>
          </wp:positionH>
          <wp:positionV relativeFrom="paragraph">
            <wp:posOffset>-189230</wp:posOffset>
          </wp:positionV>
          <wp:extent cx="3138170" cy="64516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3138170" cy="645160"/>
                  </a:xfrm>
                  <a:prstGeom prst="rect">
                    <a:avLst/>
                  </a:prstGeom>
                </pic:spPr>
              </pic:pic>
            </a:graphicData>
          </a:graphic>
        </wp:anchor>
      </w:drawing>
    </w:r>
  </w:p>
  <w:p>
    <w:pPr>
      <w:pStyle w:val="Kopfzeile"/>
      <w:rPr/>
    </w:pPr>
    <w:r>
      <w:rPr/>
    </w:r>
  </w:p>
  <w:p>
    <w:pPr>
      <w:pStyle w:val="Kopfzeile"/>
      <w:rPr>
        <w:sz w:val="12"/>
        <w:szCs w:val="12"/>
      </w:rPr>
    </w:pPr>
    <w:r>
      <w:rPr>
        <w:sz w:val="12"/>
        <w:szCs w:val="12"/>
      </w:rPr>
    </w:r>
  </w:p>
  <w:p>
    <w:pPr>
      <w:pStyle w:val="Kopfzeile"/>
      <w:rPr>
        <w:sz w:val="12"/>
        <w:szCs w:val="12"/>
      </w:rPr>
    </w:pPr>
    <w:r>
      <w:rPr>
        <w:sz w:val="12"/>
        <w:szCs w:val="12"/>
      </w:rPr>
    </w:r>
  </w:p>
  <w:p>
    <w:pPr>
      <w:pStyle w:val="Kopfzeile"/>
      <w:rPr>
        <w:sz w:val="12"/>
        <w:szCs w:val="12"/>
      </w:rPr>
    </w:pPr>
    <w:r>
      <w:rPr>
        <w:sz w:val="12"/>
        <w:szCs w:val="12"/>
      </w:rPr>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Arial"/>
      <w:color w:val="auto"/>
      <w:kern w:val="0"/>
      <w:sz w:val="22"/>
      <w:szCs w:val="22"/>
      <w:lang w:val="en-GB" w:eastAsia="en-US" w:bidi="ar-SA"/>
    </w:rPr>
  </w:style>
  <w:style w:type="paragraph" w:styleId="Berschrift1">
    <w:name w:val="Heading 1"/>
    <w:basedOn w:val="Normal"/>
    <w:next w:val="Normal"/>
    <w:uiPriority w:val="9"/>
    <w:qFormat/>
    <w:pPr>
      <w:keepNext w:val="true"/>
      <w:keepLines/>
      <w:spacing w:before="240" w:after="0"/>
      <w:outlineLvl w:val="0"/>
    </w:pPr>
    <w:rPr>
      <w:rFonts w:ascii="Cambria" w:hAnsi="Cambria" w:eastAsia="SimSun" w:cs="Times New Roman"/>
      <w:color w:val="365F91"/>
      <w:sz w:val="32"/>
      <w:szCs w:val="32"/>
    </w:rPr>
  </w:style>
  <w:style w:type="paragraph" w:styleId="Berschrift2">
    <w:name w:val="Heading 2"/>
    <w:basedOn w:val="Normal"/>
    <w:next w:val="Normal"/>
    <w:uiPriority w:val="9"/>
    <w:unhideWhenUsed/>
    <w:qFormat/>
    <w:pPr>
      <w:keepNext w:val="true"/>
      <w:keepLines/>
      <w:spacing w:before="40" w:after="0"/>
      <w:outlineLvl w:val="1"/>
    </w:pPr>
    <w:rPr>
      <w:rFonts w:ascii="Cambria" w:hAnsi="Cambria" w:eastAsia="SimSun" w:cs="Times New Roman"/>
      <w:color w:val="365F9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BodyTextChar" w:customStyle="1">
    <w:name w:val="Body Text Char"/>
    <w:basedOn w:val="DefaultParagraphFont"/>
    <w:qFormat/>
    <w:rPr>
      <w:rFonts w:ascii="Tahoma" w:hAnsi="Tahoma" w:eastAsia="Times New Roman" w:cs="Times New Roman"/>
      <w:spacing w:val="10"/>
      <w:sz w:val="17"/>
      <w:szCs w:val="20"/>
      <w:lang w:val="en-US"/>
    </w:rPr>
  </w:style>
  <w:style w:type="character" w:styleId="TitleChar" w:customStyle="1">
    <w:name w:val="Title Char"/>
    <w:basedOn w:val="DefaultParagraphFont"/>
    <w:qFormat/>
    <w:rPr>
      <w:rFonts w:ascii="Cambria" w:hAnsi="Cambria" w:eastAsia="SimSun" w:cs="Times New Roman"/>
      <w:spacing w:val="-10"/>
      <w:kern w:val="2"/>
      <w:sz w:val="56"/>
      <w:szCs w:val="56"/>
    </w:rPr>
  </w:style>
  <w:style w:type="character" w:styleId="BalloonTextChar" w:customStyle="1">
    <w:name w:val="Balloon Text Char"/>
    <w:basedOn w:val="DefaultParagraphFont"/>
    <w:qFormat/>
    <w:rPr>
      <w:rFonts w:ascii="Times New Roman" w:hAnsi="Times New Roman" w:cs="Times New Roman"/>
      <w:sz w:val="18"/>
      <w:szCs w:val="18"/>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FootnoteTextChar" w:customStyle="1">
    <w:name w:val="Footnote Text Char"/>
    <w:basedOn w:val="DefaultParagraphFont"/>
    <w:qFormat/>
    <w:rPr>
      <w:sz w:val="20"/>
      <w:szCs w:val="20"/>
    </w:rPr>
  </w:style>
  <w:style w:type="character" w:styleId="Funotenanker">
    <w:name w:val="Fußnotenanker"/>
    <w:rPr>
      <w:vertAlign w:val="superscript"/>
    </w:rPr>
  </w:style>
  <w:style w:type="character" w:styleId="FootnoteCharacters">
    <w:name w:val="Footnote Characters"/>
    <w:basedOn w:val="DefaultParagraphFont"/>
    <w:qFormat/>
    <w:rPr>
      <w:vertAlign w:val="superscript"/>
    </w:rPr>
  </w:style>
  <w:style w:type="character" w:styleId="Strong">
    <w:name w:val="Strong"/>
    <w:qFormat/>
    <w:rPr>
      <w:b/>
      <w:bCs/>
    </w:rPr>
  </w:style>
  <w:style w:type="character" w:styleId="Internetverknpfung">
    <w:name w:val="Internetverknüpfung"/>
    <w:basedOn w:val="DefaultParagraphFont"/>
    <w:rPr>
      <w:color w:val="0000FF"/>
      <w:u w:val="single"/>
    </w:rPr>
  </w:style>
  <w:style w:type="character" w:styleId="UnresolvedMention">
    <w:name w:val="Unresolved Mention"/>
    <w:basedOn w:val="DefaultParagraphFont"/>
    <w:qFormat/>
    <w:rPr>
      <w:color w:val="605E5C"/>
      <w:shd w:fill="E1DFDD" w:val="clear"/>
    </w:rPr>
  </w:style>
  <w:style w:type="character" w:styleId="BesuchteInternetverknpfung">
    <w:name w:val="Besuchte Internetverknüpfung"/>
    <w:basedOn w:val="DefaultParagraphFont"/>
    <w:rPr>
      <w:color w:val="800080"/>
      <w:u w:val="single"/>
    </w:rPr>
  </w:style>
  <w:style w:type="character" w:styleId="Heading2Char" w:customStyle="1">
    <w:name w:val="Heading 2 Char"/>
    <w:basedOn w:val="DefaultParagraphFont"/>
    <w:qFormat/>
    <w:rPr>
      <w:rFonts w:ascii="Cambria" w:hAnsi="Cambria" w:eastAsia="SimSun" w:cs="Times New Roman"/>
      <w:color w:val="365F91"/>
      <w:sz w:val="26"/>
      <w:szCs w:val="26"/>
    </w:rPr>
  </w:style>
  <w:style w:type="character" w:styleId="Heading1Char" w:customStyle="1">
    <w:name w:val="Heading 1 Char"/>
    <w:basedOn w:val="DefaultParagraphFont"/>
    <w:qFormat/>
    <w:rPr>
      <w:rFonts w:ascii="Cambria" w:hAnsi="Cambria" w:eastAsia="SimSun" w:cs="Times New Roman"/>
      <w:color w:val="365F91"/>
      <w:sz w:val="32"/>
      <w:szCs w:val="32"/>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character" w:styleId="Betont">
    <w:name w:val="Betont"/>
    <w:qFormat/>
    <w:rPr>
      <w:i/>
      <w:iCs/>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exact" w:line="240"/>
    </w:pPr>
    <w:rPr>
      <w:rFonts w:ascii="Tahoma" w:hAnsi="Tahoma" w:eastAsia="Times New Roman" w:cs="Times New Roman"/>
      <w:spacing w:val="10"/>
      <w:sz w:val="17"/>
      <w:szCs w:val="20"/>
      <w:lang w:val="en-US"/>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KopfundFuzeile">
    <w:name w:val="Kopf- und Fußzeile"/>
    <w:basedOn w:val="Normal"/>
    <w:qFormat/>
    <w:pPr/>
    <w:rPr/>
  </w:style>
  <w:style w:type="paragraph" w:styleId="Kopfzeile">
    <w:name w:val="Header"/>
    <w:basedOn w:val="Normal"/>
    <w:pPr>
      <w:tabs>
        <w:tab w:val="clear" w:pos="720"/>
        <w:tab w:val="center" w:pos="4536" w:leader="none"/>
        <w:tab w:val="right" w:pos="9072" w:leader="none"/>
      </w:tabs>
      <w:spacing w:lineRule="auto" w:line="240" w:before="0" w:after="0"/>
    </w:pPr>
    <w:rPr/>
  </w:style>
  <w:style w:type="paragraph" w:styleId="Fuzeile">
    <w:name w:val="Footer"/>
    <w:basedOn w:val="Normal"/>
    <w:pPr>
      <w:tabs>
        <w:tab w:val="clear" w:pos="720"/>
        <w:tab w:val="center" w:pos="4536" w:leader="none"/>
        <w:tab w:val="right" w:pos="9072" w:leader="none"/>
      </w:tabs>
      <w:spacing w:lineRule="auto" w:line="240" w:before="0" w:after="0"/>
    </w:pPr>
    <w:rPr/>
  </w:style>
  <w:style w:type="paragraph" w:styleId="Titel">
    <w:name w:val="Title"/>
    <w:basedOn w:val="Normal"/>
    <w:next w:val="Normal"/>
    <w:uiPriority w:val="10"/>
    <w:qFormat/>
    <w:pPr>
      <w:spacing w:lineRule="auto" w:line="240" w:before="0" w:after="0"/>
    </w:pPr>
    <w:rPr>
      <w:rFonts w:ascii="Cambria" w:hAnsi="Cambria" w:eastAsia="SimSun" w:cs="Times New Roman"/>
      <w:spacing w:val="-10"/>
      <w:kern w:val="2"/>
      <w:sz w:val="56"/>
      <w:szCs w:val="56"/>
    </w:rPr>
  </w:style>
  <w:style w:type="paragraph" w:styleId="BalloonText">
    <w:name w:val="Balloon Text"/>
    <w:basedOn w:val="Normal"/>
    <w:qFormat/>
    <w:pPr>
      <w:spacing w:lineRule="auto" w:line="240" w:before="0" w:after="0"/>
    </w:pPr>
    <w:rPr>
      <w:rFonts w:ascii="Times New Roman" w:hAnsi="Times New Roman" w:cs="Times New Roman"/>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Funote">
    <w:name w:val="Footnote Text"/>
    <w:basedOn w:val="Normal"/>
    <w:pPr>
      <w:spacing w:lineRule="auto" w:line="240" w:before="0" w:after="0"/>
    </w:pPr>
    <w:rPr>
      <w:sz w:val="20"/>
      <w:szCs w:val="20"/>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lineRule="auto" w:line="240" w:before="0" w:after="0"/>
      <w:jc w:val="left"/>
      <w:textAlignment w:val="baseline"/>
    </w:pPr>
    <w:rPr>
      <w:rFonts w:ascii="Times New Roman" w:hAnsi="Times New Roman" w:eastAsia="Calibri" w:cs="Times New Roman"/>
      <w:color w:val="000000"/>
      <w:kern w:val="0"/>
      <w:sz w:val="24"/>
      <w:szCs w:val="24"/>
      <w:lang w:val="en-GB" w:eastAsia="en-US" w:bidi="ar-SA"/>
    </w:rPr>
  </w:style>
  <w:style w:type="paragraph" w:styleId="Xmsonormal" w:customStyle="1">
    <w:name w:val="x_msonormal"/>
    <w:basedOn w:val="Normal"/>
    <w:qFormat/>
    <w:pPr>
      <w:spacing w:lineRule="auto" w:line="240" w:before="0" w:after="0"/>
    </w:pPr>
    <w:rPr>
      <w:rFonts w:cs="Calibri"/>
      <w:lang w:eastAsia="en-GB"/>
    </w:rPr>
  </w:style>
  <w:style w:type="paragraph" w:styleId="Pa21">
    <w:name w:val="Pa21"/>
    <w:qFormat/>
    <w:pPr>
      <w:widowControl/>
      <w:suppressAutoHyphens w:val="true"/>
      <w:bidi w:val="0"/>
      <w:spacing w:lineRule="atLeast" w:line="191" w:before="0" w:after="200"/>
      <w:jc w:val="left"/>
      <w:textAlignment w:val="baseline"/>
    </w:pPr>
    <w:rPr>
      <w:rFonts w:ascii="Calibri" w:hAnsi="Calibri" w:eastAsia="Calibri" w:cs="Arial"/>
      <w:color w:val="auto"/>
      <w:kern w:val="0"/>
      <w:sz w:val="22"/>
      <w:szCs w:val="22"/>
      <w:lang w:val="en-GB" w:eastAsia="en-US" w:bidi="ar-SA"/>
    </w:rPr>
  </w:style>
  <w:style w:type="paragraph" w:styleId="Pa22">
    <w:name w:val="Pa22"/>
    <w:qFormat/>
    <w:pPr>
      <w:widowControl/>
      <w:suppressAutoHyphens w:val="true"/>
      <w:bidi w:val="0"/>
      <w:spacing w:lineRule="atLeast" w:line="191" w:before="0" w:after="200"/>
      <w:jc w:val="left"/>
      <w:textAlignment w:val="baseline"/>
    </w:pPr>
    <w:rPr>
      <w:rFonts w:ascii="Calibri" w:hAnsi="Calibri" w:eastAsia="Calibri" w:cs="Arial"/>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sma.europa.eu/sites/default/files/library/esas_2020_19_outcome_of_esa_review_on_priips.pdf" TargetMode="External"/><Relationship Id="rId3" Type="http://schemas.openxmlformats.org/officeDocument/2006/relationships/hyperlink" Target="https://ec.europa.eu/info/sites/info/files/business_economy_euro/growth_and_investment/documents/200610-cmu-high-level-forum-final-report_en.pdf" TargetMode="External"/><Relationship Id="rId4" Type="http://schemas.openxmlformats.org/officeDocument/2006/relationships/hyperlink" Target="https://ec.europa.eu/info/sites/info/files/business_economy_euro/growth_and_investment/documents/200610-cmu-high-level-forum-final-report_en.pdf" TargetMode="External"/><Relationship Id="rId5" Type="http://schemas.openxmlformats.org/officeDocument/2006/relationships/hyperlink" Target="mailto:houdmont@betterfinance.e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http://www.eurofinuse.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9118C-DA3D-4CC4-9F00-59E0A5C98BB9}"/>
</file>

<file path=customXml/itemProps2.xml><?xml version="1.0" encoding="utf-8"?>
<ds:datastoreItem xmlns:ds="http://schemas.openxmlformats.org/officeDocument/2006/customXml" ds:itemID="{17760740-7CCA-4D01-9F93-F4DC402955AC}"/>
</file>

<file path=customXml/itemProps3.xml><?xml version="1.0" encoding="utf-8"?>
<ds:datastoreItem xmlns:ds="http://schemas.openxmlformats.org/officeDocument/2006/customXml" ds:itemID="{9035F69F-70C9-42B4-A323-BF6323428BAF}"/>
</file>

<file path=docProps/app.xml><?xml version="1.0" encoding="utf-8"?>
<Properties xmlns="http://schemas.openxmlformats.org/officeDocument/2006/extended-properties" xmlns:vt="http://schemas.openxmlformats.org/officeDocument/2006/docPropsVTypes">
  <Template>Normal</Template>
  <TotalTime>305</TotalTime>
  <Application>LibreOffice/6.4.6.2$Windows_X86_64 LibreOffice_project/0ce51a4fd21bff07a5c061082cc82c5ed232f115</Application>
  <Pages>2</Pages>
  <Words>618</Words>
  <Characters>4400</Characters>
  <CharactersWithSpaces>5013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2020-01-13T08:46:00Z</dcterms:created>
  <dc:creator>werksfarbe</dc:creator>
  <dc:description/>
  <dc:language>de-DE</dc:language>
  <cp:lastModifiedBy/>
  <cp:lastPrinted>2020-12-21T05:14:03Z</cp:lastPrinted>
  <dcterms:modified xsi:type="dcterms:W3CDTF">2020-12-21T05:37:35Z</dcterms:modified>
  <cp:revision>43</cp:revision>
  <dc:subject/>
  <dc:title>BaFin Journal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0x010100B5308A9776426D41840A8C2CCB15B3F3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