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de-DE" w:eastAsia="en-US" w:bidi="ar-SA"/>
        </w:rPr>
      </w:pPr>
      <w:r>
        <w:rPr>
          <w:lang w:val="de-DE" w:eastAsia="en-US" w:bidi="ar-SA"/>
        </w:rPr>
      </w:r>
    </w:p>
    <w:p>
      <w:pPr>
        <w:pStyle w:val="Titel"/>
        <w:spacing w:before="0" w:after="120"/>
        <w:rPr>
          <w:lang w:val="de-DE" w:eastAsia="en-US" w:bidi="ar-SA"/>
        </w:rPr>
      </w:pPr>
      <w:r>
        <w:rPr>
          <w:rFonts w:eastAsia="Calibri" w:cs="Calibri Light"/>
          <w:b/>
          <w:bCs/>
          <w:spacing w:val="0"/>
          <w:kern w:val="0"/>
          <w:sz w:val="22"/>
          <w:szCs w:val="22"/>
          <w:lang w:val="de-DE" w:eastAsia="en-US" w:bidi="ar-SA"/>
        </w:rPr>
        <w:t>PRESSEMITTEILUNG</w:t>
      </w:r>
    </w:p>
    <w:p>
      <w:pPr>
        <w:pStyle w:val="Berschrift2"/>
        <w:spacing w:before="40" w:after="80"/>
        <w:jc w:val="both"/>
        <w:rPr>
          <w:lang w:val="de-DE" w:eastAsia="en-US" w:bidi="ar-SA"/>
        </w:rPr>
      </w:pPr>
      <w:r>
        <w:rPr>
          <w:rFonts w:eastAsia="Calibri" w:cs="Arial" w:ascii="Cambria" w:hAnsi="Cambria"/>
          <w:b/>
          <w:color w:val="365F91"/>
          <w:spacing w:val="20"/>
          <w:kern w:val="2"/>
          <w:sz w:val="30"/>
          <w:szCs w:val="30"/>
          <w:lang w:val="de-DE" w:eastAsia="en-US" w:bidi="ar-SA"/>
        </w:rPr>
        <w:t>Hochrangige Debatte über den ehrgeizigen, aber vagen europäischen GRÜNEN DEAL: Wird er den EU-Bürgern einen nachhaltigen Gegenwert für ihr Geld bieten?</w:t>
      </w:r>
    </w:p>
    <w:p>
      <w:pPr>
        <w:pStyle w:val="Normal"/>
        <w:jc w:val="both"/>
        <w:rPr>
          <w:lang w:val="de-DE" w:eastAsia="en-US" w:bidi="ar-SA"/>
        </w:rPr>
      </w:pPr>
      <w:r>
        <w:rPr>
          <w:rFonts w:cs="Calibri Light" w:ascii="Calibri Light" w:hAnsi="Calibri Light"/>
          <w:b/>
          <w:bCs/>
          <w:lang w:val="de-DE" w:eastAsia="en-US" w:bidi="ar-SA"/>
        </w:rPr>
        <w:t>27. Januar 2020 - Die neue Präsidentin der Europäischen Kommission bezeichnet den europäischen Grünen Deal als „Europas Mann-auf-Mond-Moment“. BETTER FINANCE unterstützt nachdrücklich den Grünen Deal, der den wichtigsten Wendepunkt in der europäischen Energiepolitik der beiden letzten Jahrzehnte markiert. Da jedoch der Teufel im Detail steckt, stellt sich die Frage, ob die vorgeschlagenen Maßnahmen ausreichen, um bis 2050 Kohlenstoffneutralität zu erreichen und den EU-Bürgern als Altersvorsorgesparer und Anleger ein nachhaltiges Preis-Leistungs-Verhältnis zu bieten? Wie die geplante Kapitalmarktunion (Capital Markets Union, CMU) beweist, ist es leichter, ehrgeizige langfristige Ziele zu setzen, als sie zu erfüllen ...</w:t>
      </w:r>
    </w:p>
    <w:p>
      <w:pPr>
        <w:pStyle w:val="Normal"/>
        <w:jc w:val="both"/>
        <w:rPr>
          <w:lang w:val="de-DE" w:eastAsia="en-US" w:bidi="ar-SA"/>
        </w:rPr>
      </w:pPr>
      <w:r>
        <w:rPr>
          <w:rFonts w:cs="Calibri Light" w:ascii="Calibri Light" w:hAnsi="Calibri Light"/>
          <w:lang w:val="de-DE" w:eastAsia="en-US" w:bidi="ar-SA"/>
        </w:rPr>
        <w:t>Einerseits stellen die vom europäischen Grünen Deal vorgeschlagenen Ziele Schritte in die richtige Richtung dar, um die nachhaltigere Entwicklung des Kontinents voranzubringen. Andererseits könnte  dem Projekt die notwendigen Schubkraft für eine „Mondlandung“ fehlen. So hat sich die Kommission beispielsweise vorgenommen, die Kohlenstoffemissionen bis 2030 um 50-55 % zu senken und bis 2050 die Kohlenstoffneutralität zu erreichen. Forschungsergebnisse</w:t>
      </w:r>
      <w:r>
        <w:rPr>
          <w:rStyle w:val="Funotenanker"/>
          <w:rFonts w:cs="Calibri Light" w:ascii="Calibri Light" w:hAnsi="Calibri Light"/>
          <w:lang w:val="de-DE" w:eastAsia="en-US" w:bidi="ar-SA"/>
        </w:rPr>
        <w:footnoteReference w:id="2"/>
      </w:r>
      <w:r>
        <w:rPr>
          <w:rFonts w:cs="Calibri Light" w:ascii="Calibri Light" w:hAnsi="Calibri Light"/>
          <w:lang w:val="de-DE" w:eastAsia="en-US" w:bidi="ar-SA"/>
        </w:rPr>
        <w:t xml:space="preserve"> deuten jedoch darauf hin, dass zum Erreichen dieses Ziels und zur Begrenzung der globalen Erwärmung die Kohlenstoffemissionen bis 2030 um </w:t>
      </w:r>
      <w:r>
        <w:rPr>
          <w:rFonts w:cs="Calibri Light" w:ascii="Calibri Light" w:hAnsi="Calibri Light"/>
          <w:b/>
          <w:bCs/>
          <w:lang w:val="de-DE" w:eastAsia="en-US" w:bidi="ar-SA"/>
        </w:rPr>
        <w:t xml:space="preserve">mindestens 60-65 % </w:t>
      </w:r>
      <w:r>
        <w:rPr>
          <w:rFonts w:cs="Calibri Light" w:ascii="Calibri Light" w:hAnsi="Calibri Light"/>
          <w:lang w:val="de-DE" w:eastAsia="en-US" w:bidi="ar-SA"/>
        </w:rPr>
        <w:t xml:space="preserve">reduziert werden müssen. Daher reicht der Plan möglicherweise nicht aus, um das 1,5° C-Ziel zu verwirklichen. </w:t>
      </w:r>
    </w:p>
    <w:p>
      <w:pPr>
        <w:pStyle w:val="Normal"/>
        <w:jc w:val="both"/>
        <w:rPr>
          <w:lang w:val="de-DE" w:eastAsia="en-US" w:bidi="ar-SA"/>
        </w:rPr>
      </w:pPr>
      <w:r>
        <w:rPr>
          <w:rFonts w:cs="Calibri Light" w:ascii="Calibri Light" w:hAnsi="Calibri Light"/>
          <w:lang w:val="de-DE" w:eastAsia="en-US" w:bidi="ar-SA"/>
        </w:rPr>
        <w:t xml:space="preserve">Eine weitere wichtige Frage lautet: </w:t>
      </w:r>
      <w:r>
        <w:rPr>
          <w:rFonts w:cs="Calibri Light" w:ascii="Calibri Light" w:hAnsi="Calibri Light"/>
          <w:b/>
          <w:lang w:val="de-DE" w:eastAsia="en-US" w:bidi="ar-SA"/>
        </w:rPr>
        <w:t xml:space="preserve">Wer wird die Rechnung für den europäischen Grünen Deal bezahlen? </w:t>
      </w:r>
      <w:r>
        <w:rPr>
          <w:rFonts w:cs="Calibri Light" w:ascii="Calibri Light" w:hAnsi="Calibri Light"/>
          <w:lang w:val="de-DE" w:eastAsia="en-US" w:bidi="ar-SA"/>
        </w:rPr>
        <w:t>Die Kommission beabsichtigt, über +10 Jahre 3 Billionen Euro aus öffentlichen und privaten Mitteln zu mobilisieren. Auch wenn diese Zahl auf den ersten Blick beeindruckend erscheint, reicht dies möglicherweise nicht aus, um die Zielvorgaben zu erreichen. Daher unterstützen manche</w:t>
      </w:r>
      <w:r>
        <w:rPr>
          <w:rStyle w:val="Funotenanker"/>
          <w:rFonts w:cs="Calibri Light" w:ascii="Calibri Light" w:hAnsi="Calibri Light"/>
          <w:lang w:val="de-DE" w:eastAsia="en-US" w:bidi="ar-SA"/>
        </w:rPr>
        <w:footnoteReference w:id="3"/>
      </w:r>
      <w:r>
        <w:rPr>
          <w:rFonts w:cs="Calibri Light" w:ascii="Calibri Light" w:hAnsi="Calibri Light"/>
          <w:lang w:val="de-DE" w:eastAsia="en-US" w:bidi="ar-SA"/>
        </w:rPr>
        <w:t xml:space="preserve"> die Idee, die Mitgliedstaaten und nationale Investitionen durch eine Reform des EU-Finanzrahmens zu mobilisieren, d. h. eine langfristige Abweichung oder Befreiung von den EU-Finanzvorschriften für grüne öffentliche Ausgaben zu genehmigen</w:t>
      </w:r>
      <w:r>
        <w:rPr>
          <w:rStyle w:val="Funotenanker"/>
          <w:rFonts w:cs="Calibri Light" w:ascii="Calibri Light" w:hAnsi="Calibri Light"/>
          <w:lang w:val="de-DE" w:eastAsia="en-US" w:bidi="ar-SA"/>
        </w:rPr>
        <w:footnoteReference w:id="4"/>
      </w:r>
      <w:r>
        <w:rPr>
          <w:rFonts w:cs="Calibri Light" w:ascii="Calibri Light" w:hAnsi="Calibri Light"/>
          <w:lang w:val="de-DE" w:eastAsia="en-US" w:bidi="ar-SA"/>
        </w:rPr>
        <w:t xml:space="preserve">. </w:t>
      </w:r>
    </w:p>
    <w:p>
      <w:pPr>
        <w:pStyle w:val="Normal"/>
        <w:jc w:val="both"/>
        <w:rPr>
          <w:lang w:val="de-DE" w:eastAsia="en-US" w:bidi="ar-SA"/>
        </w:rPr>
      </w:pPr>
      <w:r>
        <w:rPr>
          <w:rFonts w:cs="Calibri Light" w:ascii="Calibri Light" w:hAnsi="Calibri Light"/>
          <w:lang w:val="de-DE" w:eastAsia="en-US" w:bidi="ar-SA"/>
        </w:rPr>
        <w:t xml:space="preserve">BETTER FINANCE begrüßt die Absicht, die Energiebesteuerungsrichtlinie zu überarbeiten, einschließlich der Ausweitung des Emissionshandelssystems auf andere Sektoren. Wir betonen jedoch die Notwendigkeit einer wirksamen </w:t>
      </w:r>
      <w:r>
        <w:rPr>
          <w:rFonts w:cs="Calibri Light" w:ascii="Calibri Light" w:hAnsi="Calibri Light"/>
          <w:b/>
          <w:bCs/>
          <w:lang w:val="de-DE" w:eastAsia="en-US" w:bidi="ar-SA"/>
        </w:rPr>
        <w:t>(zumindest) EU-weiten CO2-Steuer</w:t>
      </w:r>
      <w:r>
        <w:rPr>
          <w:rFonts w:cs="Calibri Light" w:ascii="Calibri Light" w:hAnsi="Calibri Light"/>
          <w:lang w:val="de-DE" w:eastAsia="en-US" w:bidi="ar-SA"/>
        </w:rPr>
        <w:t xml:space="preserve"> für die größten CO2-Emittenten in der EU. Die politischen Entscheidungsträger müssen ihrer Kernverantwortung gerecht werden und gegen „negative externe Effekte“ wie Treibhausgasemissionen vorgehen. </w:t>
      </w:r>
    </w:p>
    <w:p>
      <w:pPr>
        <w:pStyle w:val="Normal"/>
        <w:jc w:val="both"/>
        <w:rPr>
          <w:lang w:val="de-DE" w:eastAsia="en-US" w:bidi="ar-SA"/>
        </w:rPr>
      </w:pPr>
      <w:r>
        <w:rPr>
          <w:rFonts w:cs="Calibri Light" w:ascii="Calibri Light" w:hAnsi="Calibri Light"/>
          <w:lang w:val="de-DE" w:eastAsia="en-US" w:bidi="ar-SA"/>
        </w:rPr>
        <w:t xml:space="preserve">Für die EU-Kommission ist es von entscheidender Bedeutung, den Worten Taten folgen zu lassen und die Kapitalströme tatsächlich auf Investitionen umzulenken, die sich effektiv auf die Umwelt und insbesondere auf die globale Erwärmung auswirken. Unseres Erachtens wird die bloße Überprüfung von Anlageportfolios nicht ausreichen, um positive Veränderungen zu bewirken. Zum Beispiel sollten sich Vermögensverwalter als Aktionäre viel stärker für das Recycling und die Ökologisierung des gigantischen Investmentmarkts der Mineralölkonzerne engagieren, anstatt ihre Aktien bei Letzteren zu entsorgen ... an wen? </w:t>
      </w:r>
    </w:p>
    <w:p>
      <w:pPr>
        <w:pStyle w:val="Normal"/>
        <w:jc w:val="both"/>
        <w:rPr>
          <w:lang w:val="de-DE" w:eastAsia="en-US" w:bidi="ar-SA"/>
        </w:rPr>
      </w:pPr>
      <w:r>
        <w:rPr>
          <w:rFonts w:cs="Calibri Light" w:ascii="Calibri Light" w:hAnsi="Calibri Light"/>
          <w:lang w:val="de-DE" w:eastAsia="en-US" w:bidi="ar-SA"/>
        </w:rPr>
        <w:t>Wir sind zudem besorgt über die Unzulänglichkeiten bei der Ausgestaltung spezifischer Maßnahmen, die eigentlich dazu bestimmt sind, privaten Anlegern bessere Möglichkeiten zur Identifizierung nachhaltiger Anlagen zu gewähren. Anfang Dezember trafen die EU-Mitgesetzgeber eine vorläufige Vereinbarung, um gemeinsame europäische Regeln für grüne Anlagen („Taxonomie“) aufzustellen, bei denen nach Ansicht von BETTER FINANCE noch längst keine „einheitliche Struktur zur Ökologisierung der Finanzmärkte“ erkennbar ist</w:t>
      </w:r>
      <w:r>
        <w:rPr>
          <w:rStyle w:val="Funotenanker"/>
          <w:rFonts w:cs="Calibri Light" w:ascii="Calibri Light" w:hAnsi="Calibri Light"/>
          <w:lang w:val="de-DE" w:eastAsia="en-US" w:bidi="ar-SA"/>
        </w:rPr>
        <w:footnoteReference w:id="5"/>
      </w:r>
      <w:r>
        <w:rPr>
          <w:rFonts w:cs="Calibri Light" w:ascii="Calibri Light" w:hAnsi="Calibri Light"/>
          <w:lang w:val="de-DE" w:eastAsia="en-US" w:bidi="ar-SA"/>
        </w:rPr>
        <w:t xml:space="preserve">. </w:t>
      </w:r>
    </w:p>
    <w:p>
      <w:pPr>
        <w:pStyle w:val="Normal"/>
        <w:jc w:val="both"/>
        <w:rPr>
          <w:lang w:val="de-DE" w:eastAsia="en-US" w:bidi="ar-SA"/>
        </w:rPr>
      </w:pPr>
      <w:r>
        <w:rPr>
          <w:rFonts w:cs="Calibri Light" w:ascii="Calibri Light" w:hAnsi="Calibri Light"/>
          <w:lang w:val="de-DE" w:eastAsia="en-US" w:bidi="ar-SA"/>
        </w:rPr>
        <w:t xml:space="preserve">Zudem legt eine weitere Maßnahme – das EU-Umweltzeichen für Finanzprodukte für Privatanleger – neue Parameter fest, die es ermöglichen würden, Investmentfonds </w:t>
      </w:r>
      <w:r>
        <w:rPr>
          <w:rFonts w:cs="Calibri Light" w:ascii="Calibri Light" w:hAnsi="Calibri Light"/>
          <w:b/>
          <w:bCs/>
          <w:lang w:val="de-DE" w:eastAsia="en-US" w:bidi="ar-SA"/>
        </w:rPr>
        <w:t xml:space="preserve">mit einem Anteil „grüner“ börsennotierter Unternehmen von nur </w:t>
      </w:r>
      <w:r>
        <w:rPr>
          <w:rFonts w:cs="Calibri Light" w:ascii="Calibri Light" w:hAnsi="Calibri Light"/>
          <w:lang w:val="de-DE" w:eastAsia="en-US" w:bidi="ar-SA"/>
        </w:rPr>
        <w:t>18 %</w:t>
      </w:r>
      <w:r>
        <w:rPr>
          <w:rStyle w:val="Funotenanker"/>
          <w:rFonts w:cs="Calibri Light" w:ascii="Calibri Light" w:hAnsi="Calibri Light"/>
          <w:b/>
          <w:bCs/>
          <w:lang w:val="de-DE" w:eastAsia="en-US" w:bidi="ar-SA"/>
        </w:rPr>
        <w:footnoteReference w:id="6"/>
      </w:r>
      <w:r>
        <w:rPr>
          <w:rFonts w:cs="Calibri Light" w:ascii="Calibri Light" w:hAnsi="Calibri Light"/>
          <w:lang w:val="de-DE" w:eastAsia="en-US" w:bidi="ar-SA"/>
        </w:rPr>
        <w:t xml:space="preserve"> das Label zu verleihen. Eine derart niedrige Schwelle würde private Anleger nur dazu verleiten, Greenwashing-Produkte zu erwerben und dadurch  die Glaubwürdigkeit nicht nur des Umweltzeichens, sondern des gesamten europäischen Grünen Deals untergraben. </w:t>
      </w:r>
    </w:p>
    <w:p>
      <w:pPr>
        <w:pStyle w:val="Normal"/>
        <w:jc w:val="both"/>
        <w:rPr>
          <w:lang w:val="de-DE" w:eastAsia="en-US" w:bidi="ar-SA"/>
        </w:rPr>
      </w:pPr>
      <w:r>
        <w:rPr>
          <w:rFonts w:cs="Calibri Light" w:ascii="Calibri Light" w:hAnsi="Calibri Light"/>
          <w:i/>
          <w:iCs/>
          <w:lang w:val="de-DE" w:eastAsia="en-US" w:bidi="ar-SA"/>
        </w:rPr>
        <w:t xml:space="preserve">Was die „nachhaltige Finanzwirtschaft“ betrifft, so liegt es letztlich in der Verantwortung der politischen Entscheidungsträger, die Finanzierung einer nachhaltigeren Wirtschaft mit der Entschärfung der Zeitbombe Altersvorsorge in Einklang zu bringen und das zuletzt genannte Problem durch Sicherung eines fairen Deals für die EU-Bürger als Altersvorsorgesparer zu lösen. Als Sparer sind die EU-Bürger von Natur aus eher längerfristig orientiert, was auch dadurch belegt wird, dass sie 67 % ihres Gesamtvermögens in langfristige Anlagen investieren und ihre wichtigsten Sparziele langfristig sind. Folglich haben die EU-Bürger als Sparer einen großen Bedarf an „nachhaltigen Finanzprodukten“, </w:t>
      </w:r>
      <w:r>
        <w:rPr>
          <w:rFonts w:cs="Calibri Light" w:ascii="Calibri Light" w:hAnsi="Calibri Light"/>
          <w:lang w:val="de-DE" w:eastAsia="en-US" w:bidi="ar-SA"/>
        </w:rPr>
        <w:t>betont Guillaume Prache, Geschäftsführer von BETTER FINANCE. „</w:t>
      </w:r>
      <w:r>
        <w:rPr>
          <w:rFonts w:cs="Calibri Light" w:ascii="Calibri Light" w:hAnsi="Calibri Light"/>
          <w:i/>
          <w:iCs/>
          <w:lang w:val="de-DE" w:eastAsia="en-US" w:bidi="ar-SA"/>
        </w:rPr>
        <w:t xml:space="preserve">Wir sind daher überrascht, dass in einer weiteren hochrangigen Debatte über die Zukunft des Grünen </w:t>
      </w:r>
      <w:r>
        <w:rPr>
          <w:rFonts w:eastAsia="Calibri" w:cs="Calibri Light" w:ascii="Calibri Light" w:hAnsi="Calibri Light"/>
          <w:i/>
          <w:iCs/>
          <w:color w:val="auto"/>
          <w:kern w:val="0"/>
          <w:sz w:val="22"/>
          <w:szCs w:val="22"/>
          <w:lang w:val="de-DE" w:eastAsia="en-US" w:bidi="ar-SA"/>
        </w:rPr>
        <w:t>Deals</w:t>
      </w:r>
      <w:r>
        <w:rPr>
          <w:rFonts w:cs="Calibri Light" w:ascii="Calibri Light" w:hAnsi="Calibri Light"/>
          <w:i/>
          <w:iCs/>
          <w:lang w:val="de-DE" w:eastAsia="en-US" w:bidi="ar-SA"/>
        </w:rPr>
        <w:t xml:space="preserve"> und insbesondere über die „</w:t>
      </w:r>
      <w:r>
        <w:rPr>
          <w:rFonts w:cs="Calibri Light" w:ascii="Calibri Light" w:hAnsi="Calibri Light"/>
          <w:b/>
          <w:bCs/>
          <w:i/>
          <w:iCs/>
          <w:lang w:val="de-DE" w:eastAsia="en-US" w:bidi="ar-SA"/>
        </w:rPr>
        <w:t>Auslösung von Investitionen“</w:t>
      </w:r>
      <w:r>
        <w:rPr>
          <w:rStyle w:val="Funotenanker"/>
          <w:rFonts w:cs="Calibri Light" w:ascii="Calibri Light" w:hAnsi="Calibri Light"/>
          <w:b/>
          <w:bCs/>
          <w:i/>
          <w:iCs/>
          <w:lang w:val="de-DE" w:eastAsia="en-US" w:bidi="ar-SA"/>
        </w:rPr>
        <w:footnoteReference w:id="7"/>
      </w:r>
      <w:r>
        <w:rPr>
          <w:rFonts w:cs="Calibri Light" w:ascii="Calibri Light" w:hAnsi="Calibri Light"/>
          <w:b/>
          <w:bCs/>
          <w:i/>
          <w:iCs/>
          <w:lang w:val="de-DE" w:eastAsia="en-US" w:bidi="ar-SA"/>
        </w:rPr>
        <w:t xml:space="preserve"> </w:t>
      </w:r>
      <w:r>
        <w:rPr>
          <w:rFonts w:cs="Calibri Light" w:ascii="Calibri Light" w:hAnsi="Calibri Light"/>
          <w:i/>
          <w:iCs/>
          <w:lang w:val="de-DE" w:eastAsia="en-US" w:bidi="ar-SA"/>
        </w:rPr>
        <w:t>die Stimme der EU-Bürger als Sparer, Finanzkonsumenten und Kleinanleger fehlt.“</w:t>
      </w:r>
    </w:p>
    <w:p>
      <w:pPr>
        <w:pStyle w:val="Normal"/>
        <w:spacing w:lineRule="auto" w:line="264" w:before="0" w:after="60"/>
        <w:jc w:val="center"/>
        <w:rPr>
          <w:lang w:val="de-DE" w:eastAsia="en-US" w:bidi="ar-SA"/>
        </w:rPr>
      </w:pPr>
      <w:r>
        <w:rPr>
          <w:rFonts w:cs="Calibri Light" w:ascii="Calibri Light" w:hAnsi="Calibri Light"/>
          <w:lang w:val="de-DE" w:eastAsia="en-US" w:bidi="ar-SA"/>
        </w:rPr>
        <w:t>***</w:t>
      </w:r>
    </w:p>
    <w:p>
      <w:pPr>
        <w:pStyle w:val="Textkrper"/>
        <w:spacing w:lineRule="atLeast" w:line="30" w:before="120" w:after="0"/>
        <w:jc w:val="center"/>
        <w:rPr/>
      </w:pPr>
      <w:r>
        <w:rPr>
          <w:rFonts w:cs="Calibri Light" w:ascii="Calibri Light" w:hAnsi="Calibri Light"/>
          <w:sz w:val="18"/>
          <w:szCs w:val="18"/>
          <w:u w:val="single"/>
          <w:lang w:val="de-DE" w:eastAsia="en-US" w:bidi="ar-SA"/>
        </w:rPr>
        <w:t>Kontakt</w:t>
      </w:r>
      <w:r>
        <w:rPr>
          <w:rFonts w:cs="Calibri Light" w:ascii="Calibri Light" w:hAnsi="Calibri Light"/>
          <w:sz w:val="18"/>
          <w:szCs w:val="18"/>
          <w:lang w:val="de-DE" w:eastAsia="en-US" w:bidi="ar-SA"/>
        </w:rPr>
        <w:t xml:space="preserve">: Leiter der Kommunikationsabteilung ǀ Arnaud Houdmont ǀ +32 (0)2 514 37 77 ǀ </w:t>
      </w:r>
      <w:hyperlink r:id="rId2">
        <w:r>
          <w:rPr>
            <w:rStyle w:val="Internetverknpfung"/>
            <w:rFonts w:cs="Calibri Light" w:ascii="Calibri Light" w:hAnsi="Calibri Light"/>
            <w:sz w:val="18"/>
            <w:szCs w:val="18"/>
            <w:lang w:val="de-DE" w:eastAsia="en-US" w:bidi="ar-SA"/>
          </w:rPr>
          <w:t>houdmont@betterfinance.eu</w:t>
        </w:r>
      </w:hyperlink>
    </w:p>
    <w:p>
      <w:pPr>
        <w:pStyle w:val="Normal"/>
        <w:jc w:val="both"/>
        <w:rPr>
          <w:rFonts w:ascii="Calibri Light" w:hAnsi="Calibri Light" w:cs="Calibri Light"/>
          <w:lang w:val="de-DE" w:eastAsia="en-US" w:bidi="ar-SA"/>
        </w:rPr>
      </w:pPr>
      <w:r>
        <w:rPr>
          <w:rFonts w:cs="Calibri Light" w:ascii="Calibri Light" w:hAnsi="Calibri Light"/>
          <w:lang w:val="de-DE" w:eastAsia="en-US" w:bidi="ar-SA"/>
        </w:rPr>
      </w:r>
    </w:p>
    <w:p>
      <w:pPr>
        <w:pStyle w:val="Normal"/>
        <w:spacing w:before="0" w:after="160"/>
        <w:jc w:val="both"/>
        <w:rPr>
          <w:lang w:val="de-DE" w:eastAsia="en-US" w:bidi="ar-SA"/>
        </w:rPr>
      </w:pPr>
      <w:r>
        <w:rPr/>
      </w:r>
    </w:p>
    <w:sectPr>
      <w:headerReference w:type="default" r:id="rId3"/>
      <w:footerReference w:type="default" r:id="rId4"/>
      <w:footnotePr>
        <w:numFmt w:val="decimal"/>
      </w:footnotePr>
      <w:type w:val="nextPage"/>
      <w:pgSz w:w="11906" w:h="16838"/>
      <w:pgMar w:left="1440" w:right="1440" w:header="708" w:top="1440" w:footer="708"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Calibri Light">
    <w:charset w:val="01"/>
    <w:family w:val="swiss"/>
    <w:pitch w:val="default"/>
  </w:font>
  <w:font w:name="Segoe UI">
    <w:charset w:val="01"/>
    <w:family w:val="swiss"/>
    <w:pitch w:val="default"/>
  </w:font>
  <w:font w:name="Tahoma">
    <w:charset w:val="01"/>
    <w:family w:val="swiss"/>
    <w:pitch w:val="default"/>
  </w:font>
  <w:font w:name="Arial">
    <w:charset w:val="01"/>
    <w:family w:val="swiss"/>
    <w:pitch w:val="default"/>
  </w:font>
  <w:font w:name="Cambri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200" w:after="0"/>
      <w:ind w:left="-567" w:hanging="0"/>
      <w:jc w:val="center"/>
      <w:rPr>
        <w:rFonts w:ascii="Calibri Light" w:hAnsi="Calibri Light" w:cs="Calibri Light"/>
        <w:b/>
        <w:b/>
        <w:color w:val="006FB4"/>
        <w:sz w:val="16"/>
        <w:szCs w:val="16"/>
      </w:rPr>
    </w:pPr>
    <w:r>
      <w:rPr>
        <w:rFonts w:cs="Calibri Light" w:ascii="Calibri Light" w:hAnsi="Calibri Light"/>
        <w:b/>
        <w:color w:val="006FB4"/>
        <w:sz w:val="16"/>
        <w:szCs w:val="16"/>
      </w:rPr>
      <w:t>Europäische</w:t>
    </w:r>
    <w:r>
      <w:rPr>
        <w:rFonts w:cs="Calibri Light" w:ascii="Calibri Light" w:hAnsi="Calibri Light"/>
        <w:b/>
        <w:color w:val="006FB4"/>
        <w:sz w:val="16"/>
        <w:szCs w:val="16"/>
        <w:lang w:val="de-DE"/>
      </w:rPr>
      <w:t xml:space="preserve">r Verband </w:t>
    </w:r>
    <w:r>
      <w:rPr>
        <w:rFonts w:cs="Calibri Light" w:ascii="Calibri Light" w:hAnsi="Calibri Light"/>
        <w:b/>
        <w:color w:val="006FB4"/>
        <w:sz w:val="16"/>
        <w:szCs w:val="16"/>
      </w:rPr>
      <w:t xml:space="preserve">der </w:t>
    </w:r>
    <w:r>
      <w:rPr>
        <w:rFonts w:cs="Calibri Light" w:ascii="Calibri Light" w:hAnsi="Calibri Light"/>
        <w:b/>
        <w:color w:val="006FB4"/>
        <w:sz w:val="16"/>
        <w:szCs w:val="16"/>
        <w:lang w:val="de-DE"/>
      </w:rPr>
      <w:t>Anleger</w:t>
    </w:r>
    <w:r>
      <w:rPr>
        <w:rFonts w:cs="Calibri Light" w:ascii="Calibri Light" w:hAnsi="Calibri Light"/>
        <w:b/>
        <w:color w:val="006FB4"/>
        <w:sz w:val="16"/>
        <w:szCs w:val="16"/>
      </w:rPr>
      <w:t xml:space="preserve"> und Nutzer von Finanzdienstleistungen</w:t>
    </w:r>
  </w:p>
  <w:p>
    <w:pPr>
      <w:pStyle w:val="Normal"/>
      <w:spacing w:lineRule="auto" w:line="240" w:before="0" w:after="0"/>
      <w:ind w:left="-567" w:hanging="0"/>
      <w:jc w:val="center"/>
      <w:rPr>
        <w:rFonts w:ascii="Calibri Light" w:hAnsi="Calibri Light" w:cs="Calibri Light"/>
        <w:color w:val="006FB4"/>
        <w:sz w:val="16"/>
        <w:szCs w:val="16"/>
        <w:lang w:val="de-DE"/>
      </w:rPr>
    </w:pPr>
    <w:r>
      <w:rPr>
        <w:rFonts w:cs="Calibri Light" w:ascii="Calibri Light" w:hAnsi="Calibri Light"/>
        <w:color w:val="006FB4"/>
        <w:sz w:val="16"/>
        <w:szCs w:val="16"/>
        <w:lang w:val="de-DE"/>
      </w:rPr>
      <w:t>44, Rue d'Arenberg, 1000 Brüssel - Belgien</w:t>
    </w:r>
  </w:p>
  <w:p>
    <w:pPr>
      <w:pStyle w:val="Normal"/>
      <w:spacing w:lineRule="auto" w:line="240" w:before="0" w:after="0"/>
      <w:ind w:left="-567" w:hanging="0"/>
      <w:jc w:val="center"/>
      <w:rPr/>
    </w:pPr>
    <w:r>
      <w:rPr>
        <w:rFonts w:cs="Calibri Light" w:ascii="Calibri Light" w:hAnsi="Calibri Light"/>
        <w:color w:val="006FB4"/>
        <w:sz w:val="16"/>
        <w:szCs w:val="16"/>
        <w:lang w:val="de-DE"/>
      </w:rPr>
      <w:t xml:space="preserve">Tel. (+32) 02 514 37 77 - Fax. </w:t>
    </w:r>
    <w:r>
      <w:rPr>
        <w:rFonts w:cs="Calibri Light" w:ascii="Calibri Light" w:hAnsi="Calibri Light"/>
        <w:color w:val="006FB4"/>
        <w:sz w:val="16"/>
        <w:szCs w:val="16"/>
        <w:lang w:val="pt-PT"/>
      </w:rPr>
      <w:t>(+32) 02 514 36 66</w:t>
    </w:r>
  </w:p>
  <w:p>
    <w:pPr>
      <w:pStyle w:val="Normal"/>
      <w:spacing w:lineRule="auto" w:line="240" w:before="0" w:after="0"/>
      <w:ind w:left="-567" w:hanging="0"/>
      <w:jc w:val="center"/>
      <w:rPr/>
    </w:pPr>
    <w:r>
      <w:rPr>
        <w:rFonts w:cs="Calibri Light" w:ascii="Calibri Light" w:hAnsi="Calibri Light"/>
        <w:color w:val="006FB4"/>
        <w:sz w:val="16"/>
        <w:szCs w:val="16"/>
        <w:lang w:val="pt-PT"/>
      </w:rPr>
      <w:t>E-Mail: info@betterfinance.eu -</w:t>
    </w:r>
    <w:bookmarkStart w:id="0" w:name="_Hlk944867"/>
    <w:r>
      <w:rPr>
        <w:rFonts w:cs="Calibri Light" w:ascii="Calibri Light" w:hAnsi="Calibri Light"/>
        <w:color w:val="006FB4"/>
        <w:sz w:val="16"/>
        <w:szCs w:val="16"/>
        <w:lang w:val="pt-PT"/>
      </w:rPr>
      <w:t xml:space="preserve"> </w:t>
    </w:r>
    <w:hyperlink r:id="rId1">
      <w:r>
        <w:rPr>
          <w:rFonts w:cs="Calibri Light" w:ascii="Calibri Light" w:hAnsi="Calibri Light"/>
          <w:color w:val="006FB4"/>
          <w:sz w:val="16"/>
          <w:szCs w:val="16"/>
          <w:u w:val="single"/>
          <w:lang w:val="it-IT"/>
        </w:rPr>
        <w:t xml:space="preserve">http://www.betterfinance.eu </w:t>
      </w:r>
    </w:hyperlink>
    <w:bookmarkEnd w:id="0"/>
  </w:p>
  <w:p>
    <w:pPr>
      <w:pStyle w:val="Fuzeile"/>
      <w:rPr>
        <w:lang w:val="it-IT"/>
      </w:rPr>
    </w:pPr>
    <w:r>
      <w:rPr>
        <w:lang w:val="it-IT"/>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rFonts w:cs="Calibri Light" w:ascii="Calibri Light" w:hAnsi="Calibri Light"/>
        </w:rPr>
        <w:t xml:space="preserve"> </w:t>
      </w:r>
      <w:r>
        <w:rPr>
          <w:rFonts w:cs="Calibri Light" w:ascii="Calibri Light" w:hAnsi="Calibri Light"/>
        </w:rPr>
        <w:t xml:space="preserve">Der Zwischenstaatliche Ausschuss für Klimaänderungen (IPCC), Sonderbericht, Globale Erwärmung um 1,5 ºC, </w:t>
      </w:r>
      <w:hyperlink r:id="rId1">
        <w:r>
          <w:rPr>
            <w:rStyle w:val="Internetverknpfung"/>
            <w:rFonts w:cs="Calibri Light" w:ascii="Calibri Light" w:hAnsi="Calibri Light"/>
          </w:rPr>
          <w:t xml:space="preserve">Kapitel 2 </w:t>
        </w:r>
      </w:hyperlink>
    </w:p>
  </w:footnote>
  <w:footnote w:id="3">
    <w:p>
      <w:pPr>
        <w:pStyle w:val="Funote"/>
        <w:rPr/>
      </w:pPr>
      <w:r>
        <w:rPr>
          <w:rStyle w:val="Funotenzeichen"/>
        </w:rPr>
        <w:footnoteRef/>
      </w:r>
      <w:r>
        <w:rPr>
          <w:rFonts w:cs="Calibri Light" w:ascii="Calibri Light" w:hAnsi="Calibri Light"/>
          <w:lang w:val="en-GB"/>
        </w:rPr>
        <w:t xml:space="preserve"> </w:t>
      </w:r>
      <w:r>
        <w:rPr>
          <w:rFonts w:cs="Calibri Light" w:ascii="Calibri Light" w:hAnsi="Calibri Light"/>
          <w:lang w:val="en-GB"/>
        </w:rPr>
        <w:t xml:space="preserve">Bruegel, </w:t>
      </w:r>
      <w:r>
        <w:rPr>
          <w:rFonts w:cs="Calibri Light" w:ascii="Calibri Light" w:hAnsi="Calibri Light"/>
          <w:lang w:val="de-DE"/>
        </w:rPr>
        <w:t>Wer zahlt d</w:t>
      </w:r>
      <w:r>
        <w:rPr>
          <w:rFonts w:cs="Calibri Light" w:ascii="Calibri Light" w:hAnsi="Calibri Light"/>
          <w:lang w:val="en-GB"/>
        </w:rPr>
        <w:t xml:space="preserve">ie </w:t>
      </w:r>
      <w:r>
        <w:rPr>
          <w:rFonts w:cs="Calibri Light" w:ascii="Calibri Light" w:hAnsi="Calibri Light"/>
          <w:lang w:val="de-DE"/>
        </w:rPr>
        <w:t>Rechnung</w:t>
      </w:r>
      <w:r>
        <w:rPr>
          <w:rFonts w:cs="Calibri Light" w:ascii="Calibri Light" w:hAnsi="Calibri Light"/>
          <w:lang w:val="en-GB"/>
        </w:rPr>
        <w:t xml:space="preserve"> für den europäischen </w:t>
      </w:r>
      <w:r>
        <w:rPr>
          <w:rFonts w:cs="Calibri Light" w:ascii="Calibri Light" w:hAnsi="Calibri Light"/>
          <w:lang w:val="de-DE"/>
        </w:rPr>
        <w:t>Grünen</w:t>
      </w:r>
      <w:r>
        <w:rPr>
          <w:rFonts w:cs="Calibri Light" w:ascii="Calibri Light" w:hAnsi="Calibri Light"/>
          <w:lang w:val="en-GB"/>
        </w:rPr>
        <w:t xml:space="preserve"> Deal?, </w:t>
      </w:r>
      <w:hyperlink r:id="rId2">
        <w:r>
          <w:rPr>
            <w:rStyle w:val="Internetverknpfung"/>
            <w:rFonts w:cs="Calibri Light" w:ascii="Calibri Light" w:hAnsi="Calibri Light"/>
            <w:lang w:val="en-GB"/>
          </w:rPr>
          <w:t>Podcasts und Artikel</w:t>
        </w:r>
      </w:hyperlink>
    </w:p>
  </w:footnote>
  <w:footnote w:id="4">
    <w:p>
      <w:pPr>
        <w:pStyle w:val="Funote"/>
        <w:rPr/>
      </w:pPr>
      <w:r>
        <w:rPr>
          <w:rStyle w:val="Funotenzeichen"/>
        </w:rPr>
        <w:footnoteRef/>
      </w:r>
      <w:hyperlink r:id="rId3">
        <w:r>
          <w:rPr>
            <w:rStyle w:val="Internetverknpfung"/>
            <w:rFonts w:cs="Calibri Light" w:ascii="Calibri Light" w:hAnsi="Calibri Light"/>
          </w:rPr>
          <w:t xml:space="preserve"> </w:t>
        </w:r>
      </w:hyperlink>
      <w:r>
        <w:rPr>
          <w:rFonts w:cs="Calibri Light" w:ascii="Calibri Light" w:hAnsi="Calibri Light"/>
        </w:rPr>
        <w:t xml:space="preserve">Bruegel, </w:t>
      </w:r>
      <w:hyperlink r:id="rId4">
        <w:r>
          <w:rPr>
            <w:rStyle w:val="Internetverknpfung"/>
            <w:rFonts w:cs="Calibri Light" w:ascii="Calibri Light" w:hAnsi="Calibri Light"/>
            <w:lang w:val="de-DE"/>
          </w:rPr>
          <w:t>Der e</w:t>
        </w:r>
      </w:hyperlink>
      <w:hyperlink r:id="rId5">
        <w:r>
          <w:rPr>
            <w:rStyle w:val="Internetverknpfung"/>
            <w:rFonts w:cs="Calibri Light" w:ascii="Calibri Light" w:hAnsi="Calibri Light"/>
            <w:lang w:val="de-DE"/>
          </w:rPr>
          <w:t>uropäische Grüne Deal braucht einen reformierten Finanzrahmen</w:t>
        </w:r>
      </w:hyperlink>
      <w:r>
        <w:rPr>
          <w:rFonts w:cs="Calibri Light" w:ascii="Calibri Light" w:hAnsi="Calibri Light"/>
        </w:rPr>
        <w:t xml:space="preserve">, Dezember 2019 </w:t>
      </w:r>
    </w:p>
    <w:p>
      <w:pPr>
        <w:pStyle w:val="Funote"/>
        <w:rPr/>
      </w:pPr>
      <w:r>
        <w:rPr/>
      </w:r>
    </w:p>
  </w:footnote>
  <w:footnote w:id="5">
    <w:p>
      <w:pPr>
        <w:pStyle w:val="Funote"/>
        <w:rPr/>
      </w:pPr>
      <w:r>
        <w:rPr>
          <w:rStyle w:val="Funotenzeichen"/>
        </w:rPr>
        <w:footnoteRef/>
      </w:r>
      <w:hyperlink r:id="rId6">
        <w:r>
          <w:rPr>
            <w:rStyle w:val="Internetverknpfung"/>
            <w:rFonts w:cs="Calibri Light" w:ascii="Calibri Light" w:hAnsi="Calibri Light"/>
          </w:rPr>
          <w:t xml:space="preserve"> </w:t>
        </w:r>
        <w:r>
          <w:rPr>
            <w:rStyle w:val="Internetverknpfung"/>
            <w:rFonts w:cs="Calibri Light" w:ascii="Calibri Light" w:hAnsi="Calibri Light"/>
          </w:rPr>
          <w:t>https://twitter.com/pcanfin/status/1206699134893342720</w:t>
        </w:r>
      </w:hyperlink>
    </w:p>
  </w:footnote>
  <w:footnote w:id="6">
    <w:p>
      <w:pPr>
        <w:pStyle w:val="Funote"/>
        <w:rPr/>
      </w:pPr>
      <w:r>
        <w:rPr>
          <w:rStyle w:val="Funotenzeichen"/>
        </w:rPr>
        <w:footnoteRef/>
      </w:r>
      <w:r>
        <w:rPr>
          <w:rFonts w:cs="Calibri Light" w:ascii="Calibri Light" w:hAnsi="Calibri Light"/>
        </w:rPr>
        <w:t xml:space="preserve"> </w:t>
      </w:r>
      <w:r>
        <w:rPr>
          <w:rFonts w:cs="Calibri Light" w:ascii="Calibri Light" w:hAnsi="Calibri Light"/>
          <w:lang w:val="de-DE" w:eastAsia="en-US" w:bidi="ar-SA"/>
        </w:rPr>
        <w:t>Der Prozentsatz stellt den gewichteten Ertrag dar, der von den im Investmentfonds enthaltenen grünen Unternehmen stammt (</w:t>
      </w:r>
      <w:hyperlink r:id="rId7">
        <w:r>
          <w:rPr>
            <w:rStyle w:val="Internetverknpfung"/>
            <w:rFonts w:cs="Calibri Light" w:ascii="Calibri Light" w:hAnsi="Calibri Light"/>
            <w:lang w:val="de-DE" w:eastAsia="en-US" w:bidi="ar-SA"/>
          </w:rPr>
          <w:t>JRC Technical Report 2.0</w:t>
        </w:r>
      </w:hyperlink>
      <w:r>
        <w:rPr>
          <w:rFonts w:cs="Calibri Light" w:ascii="Calibri Light" w:hAnsi="Calibri Light"/>
          <w:lang w:val="de-DE" w:eastAsia="en-US" w:bidi="ar-SA"/>
        </w:rPr>
        <w:t>: Entwicklung von Kriterien für das EU-Umweltzeichen für Finanzprodukte von Privatanlegern)</w:t>
      </w:r>
    </w:p>
  </w:footnote>
  <w:footnote w:id="7">
    <w:p>
      <w:pPr>
        <w:pStyle w:val="Funote"/>
        <w:rPr/>
      </w:pPr>
      <w:r>
        <w:rPr>
          <w:rStyle w:val="Funotenzeichen"/>
        </w:rPr>
        <w:footnoteRef/>
      </w:r>
      <w:r>
        <w:rPr>
          <w:rFonts w:cs="Calibri Light" w:ascii="Calibri Light" w:hAnsi="Calibri Light"/>
        </w:rPr>
        <w:t xml:space="preserve"> </w:t>
      </w:r>
      <w:hyperlink r:id="rId8">
        <w:r>
          <w:rPr>
            <w:rStyle w:val="Internetverknpfung"/>
            <w:rFonts w:cs="Calibri Light" w:ascii="Calibri Light" w:hAnsi="Calibri Light"/>
            <w:lang w:val="de-DE" w:eastAsia="en-US" w:bidi="ar-SA"/>
          </w:rPr>
          <w:t>Hochrangige öffentliche Konferenz</w:t>
        </w:r>
      </w:hyperlink>
      <w:r>
        <w:rPr>
          <w:rFonts w:cs="Calibri Light" w:ascii="Calibri Light" w:hAnsi="Calibri Light"/>
          <w:lang w:val="de-DE" w:eastAsia="en-US" w:bidi="ar-SA"/>
        </w:rPr>
        <w:t xml:space="preserve"> zur Umsetzung des europäischen Grünen Deals – das europäische Klimaschutzrecht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0" distL="114300" distR="0" simplePos="0" locked="0" layoutInCell="1" allowOverlap="1" relativeHeight="3">
          <wp:simplePos x="0" y="0"/>
          <wp:positionH relativeFrom="margin">
            <wp:align>right</wp:align>
          </wp:positionH>
          <wp:positionV relativeFrom="paragraph">
            <wp:posOffset>-180340</wp:posOffset>
          </wp:positionV>
          <wp:extent cx="3138170" cy="64516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3138170" cy="645160"/>
                  </a:xfrm>
                  <a:prstGeom prst="rect">
                    <a:avLst/>
                  </a:prstGeom>
                </pic:spPr>
              </pic:pic>
            </a:graphicData>
          </a:graphic>
        </wp:anchor>
      </w:drawing>
    </w:r>
  </w:p>
  <w:p>
    <w:pPr>
      <w:pStyle w:val="Kopfzeile"/>
      <w:rPr/>
    </w:pPr>
    <w:r>
      <w:rPr/>
    </w:r>
  </w:p>
  <w:p>
    <w:pPr>
      <w:pStyle w:val="Kopfzeile"/>
      <w:rPr/>
    </w:pPr>
    <w:r>
      <w:rPr/>
    </w:r>
  </w:p>
  <w:p>
    <w:pPr>
      <w:pStyle w:val="Kopfzeile"/>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useWord2013TrackBottomHyphenation" w:uri="http://schemas.microsoft.com/office/word" w:val="1"/>
  </w:compat>
  <w:themeFontLang w:val="en-B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textAlignment w:val="baseline"/>
    </w:pPr>
    <w:rPr>
      <w:rFonts w:ascii="Calibri" w:hAnsi="Calibri" w:eastAsia="Calibri" w:cs="Arial"/>
      <w:color w:val="auto"/>
      <w:kern w:val="0"/>
      <w:sz w:val="22"/>
      <w:szCs w:val="22"/>
      <w:lang w:val="en-US" w:eastAsia="en-US" w:bidi="ar-SA"/>
    </w:rPr>
  </w:style>
  <w:style w:type="paragraph" w:styleId="Berschrift1">
    <w:name w:val="Heading 1"/>
    <w:basedOn w:val="Normal"/>
    <w:uiPriority w:val="9"/>
    <w:qFormat/>
    <w:pPr>
      <w:spacing w:lineRule="auto" w:line="240" w:before="100" w:after="100"/>
      <w:outlineLvl w:val="0"/>
    </w:pPr>
    <w:rPr>
      <w:rFonts w:ascii="Times New Roman" w:hAnsi="Times New Roman" w:eastAsia="Times New Roman" w:cs="Times New Roman"/>
      <w:b/>
      <w:bCs/>
      <w:kern w:val="2"/>
      <w:sz w:val="48"/>
      <w:szCs w:val="48"/>
      <w:lang w:val="en-GB" w:eastAsia="en-GB"/>
    </w:rPr>
  </w:style>
  <w:style w:type="paragraph" w:styleId="Berschrift2">
    <w:name w:val="Heading 2"/>
    <w:basedOn w:val="Normal"/>
    <w:next w:val="Normal"/>
    <w:uiPriority w:val="9"/>
    <w:unhideWhenUsed/>
    <w:qFormat/>
    <w:pPr>
      <w:keepNext w:val="true"/>
      <w:keepLines/>
      <w:spacing w:lineRule="auto" w:line="276" w:before="40" w:after="0"/>
      <w:outlineLvl w:val="1"/>
    </w:pPr>
    <w:rPr>
      <w:rFonts w:ascii="Calibri Light" w:hAnsi="Calibri Light" w:eastAsia="DengXian Light" w:cs="Times New Roman"/>
      <w:color w:val="2F5496"/>
      <w:sz w:val="26"/>
      <w:szCs w:val="26"/>
      <w:lang w:val="en-GB"/>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rPr>
      <w:color w:val="0000FF"/>
      <w:u w:val="single"/>
    </w:rPr>
  </w:style>
  <w:style w:type="character" w:styleId="BesuchteInternetverknpfung">
    <w:name w:val="Besuchte Internetverknüpfung"/>
    <w:basedOn w:val="DefaultParagraphFont"/>
    <w:rPr>
      <w:color w:val="954F72"/>
      <w:u w:val="single"/>
    </w:rPr>
  </w:style>
  <w:style w:type="character" w:styleId="BalloonTextChar" w:customStyle="1">
    <w:name w:val="Balloon Text Char"/>
    <w:basedOn w:val="DefaultParagraphFont"/>
    <w:qFormat/>
    <w:rPr>
      <w:rFonts w:ascii="Segoe UI" w:hAnsi="Segoe UI" w:cs="Segoe UI"/>
      <w:sz w:val="18"/>
      <w:szCs w:val="18"/>
    </w:rPr>
  </w:style>
  <w:style w:type="character" w:styleId="FootnoteTextChar" w:customStyle="1">
    <w:name w:val="Footnote Text Char"/>
    <w:basedOn w:val="DefaultParagraphFont"/>
    <w:qFormat/>
    <w:rPr>
      <w:sz w:val="20"/>
      <w:szCs w:val="20"/>
    </w:rPr>
  </w:style>
  <w:style w:type="character" w:styleId="Funotenanker">
    <w:name w:val="Fußnotenanker"/>
    <w:rPr>
      <w:vertAlign w:val="superscript"/>
    </w:rPr>
  </w:style>
  <w:style w:type="character" w:styleId="FootnoteCharacters">
    <w:name w:val="Footnote Characters"/>
    <w:basedOn w:val="DefaultParagraphFont"/>
    <w:qFormat/>
    <w:rPr>
      <w:vertAlign w:val="superscrip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TitleChar" w:customStyle="1">
    <w:name w:val="Title Char"/>
    <w:basedOn w:val="DefaultParagraphFont"/>
    <w:qFormat/>
    <w:rPr>
      <w:rFonts w:ascii="Calibri Light" w:hAnsi="Calibri Light" w:eastAsia="DengXian Light" w:cs="Times New Roman"/>
      <w:spacing w:val="-10"/>
      <w:kern w:val="2"/>
      <w:sz w:val="56"/>
      <w:szCs w:val="56"/>
      <w:lang w:val="en-GB"/>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Heading1Char" w:customStyle="1">
    <w:name w:val="Heading 1 Char"/>
    <w:basedOn w:val="DefaultParagraphFont"/>
    <w:qFormat/>
    <w:rPr>
      <w:rFonts w:ascii="Times New Roman" w:hAnsi="Times New Roman" w:eastAsia="Times New Roman" w:cs="Times New Roman"/>
      <w:b/>
      <w:bCs/>
      <w:kern w:val="2"/>
      <w:sz w:val="48"/>
      <w:szCs w:val="48"/>
      <w:lang w:val="en-GB" w:eastAsia="en-GB"/>
    </w:rPr>
  </w:style>
  <w:style w:type="character" w:styleId="UnresolvedMention">
    <w:name w:val="Unresolved Mention"/>
    <w:basedOn w:val="DefaultParagraphFont"/>
    <w:qFormat/>
    <w:rPr>
      <w:color w:val="605E5C"/>
      <w:shd w:fill="E1DFDD" w:val="clear"/>
    </w:rPr>
  </w:style>
  <w:style w:type="character" w:styleId="Heading2Char" w:customStyle="1">
    <w:name w:val="Heading 2 Char"/>
    <w:basedOn w:val="DefaultParagraphFont"/>
    <w:qFormat/>
    <w:rPr>
      <w:rFonts w:ascii="Calibri Light" w:hAnsi="Calibri Light" w:eastAsia="DengXian Light" w:cs="Times New Roman"/>
      <w:color w:val="2F5496"/>
      <w:sz w:val="26"/>
      <w:szCs w:val="26"/>
      <w:lang w:val="en-GB"/>
    </w:rPr>
  </w:style>
  <w:style w:type="character" w:styleId="BodyTextChar" w:customStyle="1">
    <w:name w:val="Body Text Char"/>
    <w:basedOn w:val="DefaultParagraphFont"/>
    <w:qFormat/>
    <w:rPr>
      <w:rFonts w:ascii="Tahoma" w:hAnsi="Tahoma" w:eastAsia="Times New Roman" w:cs="Times New Roman"/>
      <w:spacing w:val="10"/>
      <w:sz w:val="17"/>
      <w:szCs w:val="20"/>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exact" w:line="240" w:before="0" w:after="200"/>
    </w:pPr>
    <w:rPr>
      <w:rFonts w:ascii="Tahoma" w:hAnsi="Tahoma" w:eastAsia="Times New Roman" w:cs="Times New Roman"/>
      <w:spacing w:val="10"/>
      <w:sz w:val="17"/>
      <w:szCs w:val="20"/>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unote">
    <w:name w:val="Footnote Text"/>
    <w:basedOn w:val="Normal"/>
    <w:pPr>
      <w:spacing w:lineRule="auto" w:line="240" w:before="0" w:after="0"/>
    </w:pPr>
    <w:rPr>
      <w:sz w:val="20"/>
      <w:szCs w:val="20"/>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Titel">
    <w:name w:val="Title"/>
    <w:basedOn w:val="Normal"/>
    <w:next w:val="Normal"/>
    <w:uiPriority w:val="10"/>
    <w:qFormat/>
    <w:pPr>
      <w:spacing w:lineRule="auto" w:line="240" w:before="0" w:after="0"/>
    </w:pPr>
    <w:rPr>
      <w:rFonts w:ascii="Calibri Light" w:hAnsi="Calibri Light" w:eastAsia="DengXian Light" w:cs="Times New Roman"/>
      <w:spacing w:val="-10"/>
      <w:kern w:val="2"/>
      <w:sz w:val="56"/>
      <w:szCs w:val="56"/>
      <w:lang w:val="en-GB"/>
    </w:rPr>
  </w:style>
  <w:style w:type="paragraph" w:styleId="KopfundFuzeile">
    <w:name w:val="Kopf- und Fußzeile"/>
    <w:basedOn w:val="Normal"/>
    <w:qFormat/>
    <w:pPr/>
    <w:rPr/>
  </w:style>
  <w:style w:type="paragraph" w:styleId="Kopfzeile">
    <w:name w:val="Header"/>
    <w:basedOn w:val="Normal"/>
    <w:pPr>
      <w:tabs>
        <w:tab w:val="clear" w:pos="720"/>
        <w:tab w:val="center" w:pos="4513" w:leader="none"/>
        <w:tab w:val="right" w:pos="9026" w:leader="none"/>
      </w:tabs>
      <w:spacing w:lineRule="auto" w:line="240" w:before="0" w:after="0"/>
    </w:pPr>
    <w:rPr/>
  </w:style>
  <w:style w:type="paragraph" w:styleId="Fuzeile">
    <w:name w:val="Footer"/>
    <w:basedOn w:val="Normal"/>
    <w:pPr>
      <w:tabs>
        <w:tab w:val="clear" w:pos="720"/>
        <w:tab w:val="center" w:pos="4513" w:leader="none"/>
        <w:tab w:val="right" w:pos="9026" w:leader="none"/>
      </w:tabs>
      <w:spacing w:lineRule="auto" w:line="240" w:before="0" w:after="0"/>
    </w:pPr>
    <w:rPr/>
  </w:style>
  <w:style w:type="paragraph" w:styleId="Revision">
    <w:name w:val="Revision"/>
    <w:qFormat/>
    <w:pPr>
      <w:widowControl/>
      <w:suppressAutoHyphens w:val="true"/>
      <w:bidi w:val="0"/>
      <w:spacing w:lineRule="auto" w:line="240" w:before="0" w:after="0"/>
      <w:jc w:val="left"/>
      <w:textAlignment w:val="baseline"/>
    </w:pPr>
    <w:rPr>
      <w:rFonts w:ascii="Calibri" w:hAnsi="Calibri" w:eastAsia="Calibri" w:cs="Arial"/>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oudmont@betterfinance.e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eurofinuse.org/" TargetMode="External"/>
</Relationships>
</file>

<file path=word/_rels/footnotes.xml.rels><?xml version="1.0" encoding="UTF-8"?>
<Relationships xmlns="http://schemas.openxmlformats.org/package/2006/relationships"><Relationship Id="rId1" Type="http://schemas.openxmlformats.org/officeDocument/2006/relationships/hyperlink" Target="https://www.ipcc.ch/site/assets/uploads/sites/2/2019/02/SR15_Chapter2_Low_Res.pdf" TargetMode="External"/><Relationship Id="rId2" Type="http://schemas.openxmlformats.org/officeDocument/2006/relationships/hyperlink" Target="https://bruegel.org/2020/01/paying-for-the-european-green-deal/" TargetMode="External"/><Relationship Id="rId3" Type="http://schemas.openxmlformats.org/officeDocument/2006/relationships/hyperlink" Target="https://bruegel.org/2019/12/the-european-green-deal-needs-a-reformed-fiscal-framework" TargetMode="External"/><Relationship Id="rId4" Type="http://schemas.openxmlformats.org/officeDocument/2006/relationships/hyperlink" Target="https://bruegel.org/2019/12/the-european-green-deal-needs-a-reformed-fiscal-framework" TargetMode="External"/><Relationship Id="rId5" Type="http://schemas.openxmlformats.org/officeDocument/2006/relationships/hyperlink" Target="https://bruegel.org/2019/12/the-european-green-deal-needs-a-reformed-fiscal-framework" TargetMode="External"/><Relationship Id="rId6" Type="http://schemas.openxmlformats.org/officeDocument/2006/relationships/hyperlink" Target="https://twitter.com/pcanfin/status/1206699134893342720" TargetMode="External"/><Relationship Id="rId7" Type="http://schemas.openxmlformats.org/officeDocument/2006/relationships/hyperlink" Target="https://susproc.jrc.ec.europa.eu/Financial_products/docs/20191220_EU_Ecolabel_FP_Draft_Technical_Report_2-0.pdf" TargetMode="External"/><Relationship Id="rId8" Type="http://schemas.openxmlformats.org/officeDocument/2006/relationships/hyperlink" Target="https://ec.europa.eu/info/events/high-level-public-conference-european-climate-law-2020-jan-28_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259F5-2A18-40F0-82D6-5748EBF8EEE1}"/>
</file>

<file path=customXml/itemProps2.xml><?xml version="1.0" encoding="utf-8"?>
<ds:datastoreItem xmlns:ds="http://schemas.openxmlformats.org/officeDocument/2006/customXml" ds:itemID="{D106CCE7-6283-4CBC-A573-78CD979A7400}"/>
</file>

<file path=customXml/itemProps3.xml><?xml version="1.0" encoding="utf-8"?>
<ds:datastoreItem xmlns:ds="http://schemas.openxmlformats.org/officeDocument/2006/customXml" ds:itemID="{0F42B64B-F1EB-4517-A400-C0F932CE678F}"/>
</file>

<file path=docProps/app.xml><?xml version="1.0" encoding="utf-8"?>
<Properties xmlns="http://schemas.openxmlformats.org/officeDocument/2006/extended-properties" xmlns:vt="http://schemas.openxmlformats.org/officeDocument/2006/docPropsVTypes">
  <Template>Normal</Template>
  <TotalTime>171</TotalTime>
  <Application>LibreOffice/6.4.6.2$Windows_X86_64 LibreOffice_project/0ce51a4fd21bff07a5c061082cc82c5ed232f115</Application>
  <Pages>2</Pages>
  <Words>809</Words>
  <Characters>5517</Characters>
  <CharactersWithSpaces>6324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2020-11-19T18:57:00Z</dcterms:created>
  <dc:creator>User</dc:creator>
  <dc:description/>
  <dc:language>de-DE</dc:language>
  <cp:lastModifiedBy/>
  <cp:lastPrinted>2020-12-20T21:19:12Z</cp:lastPrinted>
  <dcterms:modified xsi:type="dcterms:W3CDTF">2020-12-20T21:32:35Z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0x010100B5308A9776426D41840A8C2CCB15B3F3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