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de-DE" w:eastAsia="en-US" w:bidi="ar-SA"/>
        </w:rPr>
      </w:pPr>
      <w:r>
        <w:rPr>
          <w:lang w:val="de-DE" w:eastAsia="en-US" w:bidi="ar-SA"/>
        </w:rPr>
      </w:r>
    </w:p>
    <w:p>
      <w:pPr>
        <w:pStyle w:val="Textkrper"/>
        <w:spacing w:lineRule="auto" w:line="240" w:before="0" w:after="120"/>
        <w:jc w:val="both"/>
        <w:rPr/>
      </w:pPr>
      <w:r>
        <w:rPr>
          <w:rStyle w:val="Strong"/>
          <w:sz w:val="18"/>
          <w:lang w:val="de-DE" w:eastAsia="en-US" w:bidi="ar-SA"/>
        </w:rPr>
        <w:t>PRESSEMITTEILUNG</w:t>
      </w:r>
    </w:p>
    <w:p>
      <w:pPr>
        <w:pStyle w:val="Berschrift2"/>
        <w:spacing w:before="40" w:after="80"/>
        <w:jc w:val="both"/>
        <w:rPr>
          <w:lang w:val="de-DE" w:eastAsia="en-US" w:bidi="ar-SA"/>
        </w:rPr>
      </w:pPr>
      <w:r>
        <w:rPr>
          <w:rFonts w:eastAsia="Calibri" w:cs="Arial" w:ascii="Lato" w:hAnsi="Lato"/>
          <w:b/>
          <w:spacing w:val="20"/>
          <w:kern w:val="2"/>
          <w:sz w:val="24"/>
          <w:szCs w:val="24"/>
          <w:lang w:val="de-DE" w:eastAsia="en-US" w:bidi="ar-SA"/>
        </w:rPr>
        <w:t>Der Bericht des Hochrangigen Forums zur Europäischen Kapitalmarktunion (CMU):</w:t>
      </w:r>
    </w:p>
    <w:p>
      <w:pPr>
        <w:pStyle w:val="Berschrift2"/>
        <w:spacing w:before="40" w:after="80"/>
        <w:jc w:val="center"/>
        <w:rPr>
          <w:lang w:val="de-DE" w:eastAsia="en-US" w:bidi="ar-SA"/>
        </w:rPr>
      </w:pPr>
      <w:r>
        <w:rPr>
          <w:rFonts w:eastAsia="Calibri" w:cs="Arial"/>
          <w:b/>
          <w:spacing w:val="20"/>
          <w:kern w:val="2"/>
          <w:sz w:val="30"/>
          <w:szCs w:val="30"/>
          <w:lang w:val="de-DE" w:eastAsia="en-US" w:bidi="ar-SA"/>
        </w:rPr>
        <w:t>Europäische Sparer einen Schritt näher am nachhaltigen Gegenwert für ihr Geld</w:t>
      </w:r>
    </w:p>
    <w:p>
      <w:pPr>
        <w:pStyle w:val="Normal"/>
        <w:spacing w:lineRule="auto" w:line="240" w:before="0" w:after="120"/>
        <w:jc w:val="both"/>
        <w:rPr/>
      </w:pPr>
      <w:bookmarkStart w:id="0" w:name="_Hlk4143464"/>
      <w:r>
        <w:rPr>
          <w:rFonts w:eastAsia="Times New Roman" w:cs="Calibri Light" w:ascii="Calibri Light" w:hAnsi="Calibri Light"/>
          <w:b/>
          <w:bCs/>
          <w:lang w:val="de-DE" w:eastAsia="en-US" w:bidi="ar-SA"/>
        </w:rPr>
        <w:t>Brüssel, 10. Juni 2020</w:t>
      </w:r>
      <w:bookmarkEnd w:id="0"/>
      <w:r>
        <w:rPr>
          <w:rFonts w:eastAsia="Times New Roman" w:cs="Calibri Light" w:ascii="Calibri Light" w:hAnsi="Calibri Light"/>
          <w:b/>
          <w:bCs/>
          <w:lang w:val="de-DE" w:eastAsia="en-US" w:bidi="ar-SA"/>
        </w:rPr>
        <w:t xml:space="preserve"> </w:t>
      </w:r>
      <w:r>
        <w:rPr>
          <w:rFonts w:eastAsia="Times New Roman" w:cs="Calibri Light" w:ascii="Calibri Light" w:hAnsi="Calibri Light"/>
          <w:lang w:val="de-DE" w:eastAsia="en-US" w:bidi="ar-SA"/>
        </w:rPr>
        <w:t>- Etwas mehr als 6 Monate, nachdem</w:t>
      </w:r>
      <w:bookmarkStart w:id="1" w:name="_Hlk42455178"/>
      <w:r>
        <w:rPr>
          <w:rFonts w:eastAsia="Times New Roman" w:cs="Calibri Light" w:ascii="Calibri Light" w:hAnsi="Calibri Light"/>
          <w:lang w:val="de-DE" w:eastAsia="en-US" w:bidi="ar-SA"/>
        </w:rPr>
        <w:t xml:space="preserve"> die Europäische Kommission ihr Hochrangiges Forum (High-Level Forum, HLF) zur Zukunft der Kapitalmarktunion (Capital Market Union, CMU) ins Leben gerufen hat, </w:t>
      </w:r>
      <w:bookmarkEnd w:id="1"/>
      <w:r>
        <w:rPr>
          <w:rFonts w:eastAsia="Times New Roman" w:cs="Calibri Light" w:ascii="Calibri Light" w:hAnsi="Calibri Light"/>
          <w:lang w:val="de-DE" w:eastAsia="en-US" w:bidi="ar-SA"/>
        </w:rPr>
        <w:t>hat die Gruppe der 28 Experten nun ihre „</w:t>
      </w:r>
      <w:hyperlink r:id="rId2">
        <w:bookmarkStart w:id="2" w:name="_Hlk42455220"/>
        <w:r>
          <w:rPr>
            <w:rStyle w:val="Internetverknpfung"/>
            <w:rFonts w:eastAsia="Times New Roman" w:cs="Calibri Light" w:ascii="Calibri Light" w:hAnsi="Calibri Light"/>
            <w:i/>
            <w:iCs/>
            <w:lang w:val="de-DE" w:eastAsia="en-US" w:bidi="ar-SA"/>
          </w:rPr>
          <w:t>N</w:t>
        </w:r>
      </w:hyperlink>
      <w:r>
        <w:rPr>
          <w:rStyle w:val="Internetverknpfung"/>
          <w:rFonts w:eastAsia="Times New Roman" w:cs="Calibri Light" w:ascii="Calibri Light" w:hAnsi="Calibri Light"/>
          <w:i/>
          <w:iCs/>
          <w:lang w:val="de-DE" w:eastAsia="en-US" w:bidi="ar-SA"/>
        </w:rPr>
        <w:t>ew Vision for Europe’s Capital Markets</w:t>
      </w:r>
      <w:bookmarkEnd w:id="2"/>
      <w:r>
        <w:rPr>
          <w:rFonts w:eastAsia="Times New Roman" w:cs="Calibri Light" w:ascii="Calibri Light" w:hAnsi="Calibri Light"/>
          <w:lang w:val="de-DE" w:eastAsia="en-US" w:bidi="ar-SA"/>
        </w:rPr>
        <w:t>“ („Eine neue Vision für Europas Kapitalmärkte“) veröffentlicht, die eine Liste der wichtigsten Empfehlungen enthält. Mehrere dieser Empfehlungen, die auf Vorschlägen von BETTER FINANCE zurückgehen, wurden von der Gruppe gebilligt, was für die EU-Bürger als Finanznutzer eine gute Nachricht ist.</w:t>
      </w:r>
    </w:p>
    <w:p>
      <w:pPr>
        <w:pStyle w:val="Normal"/>
        <w:spacing w:lineRule="auto" w:line="240" w:before="0" w:after="120"/>
        <w:jc w:val="both"/>
        <w:rPr/>
      </w:pPr>
      <w:bookmarkStart w:id="3" w:name="_Hlk42455249"/>
      <w:r>
        <w:rPr>
          <w:rFonts w:eastAsia="Times New Roman" w:cs="Calibri Light" w:ascii="Calibri Light" w:hAnsi="Calibri Light"/>
          <w:lang w:val="de-DE" w:eastAsia="en-US" w:bidi="ar-SA"/>
        </w:rPr>
        <w:t xml:space="preserve">Der Geschäftsführer von BETTER FINANCE, Guillaume Prache, war unter den 28 HLF-Mitgliedern einer von insgesamt nur zwei Vertretern von EU-Bürgern als Sparer und Anleger. </w:t>
      </w:r>
      <w:bookmarkEnd w:id="3"/>
      <w:r>
        <w:rPr>
          <w:rFonts w:eastAsia="Times New Roman" w:cs="Calibri Light" w:ascii="Calibri Light" w:hAnsi="Calibri Light"/>
          <w:lang w:val="de-DE" w:eastAsia="en-US" w:bidi="ar-SA"/>
        </w:rPr>
        <w:t xml:space="preserve">Auch wenn BETTER FINANCE von den mindestens 18 Mitgliedern, die Finanzvermittler vertreten oder für sie arbeiten (darunter sechs Führungskräfte von besonders großen US-Finanzinstituten), in den Schatten gestellt wurde, ist der Verband erfreut und dankbar für die Hilfe der Europäischen Kommission, durch die  viele der von BETTER FINANCE im vergangenen Jahr veröffentlichten </w:t>
      </w:r>
      <w:hyperlink r:id="rId3">
        <w:r>
          <w:rPr>
            <w:rStyle w:val="Internetverknpfung"/>
            <w:rFonts w:eastAsia="Times New Roman" w:cs="Calibri Light" w:ascii="Calibri Light" w:hAnsi="Calibri Light"/>
            <w:lang w:val="de-DE" w:eastAsia="en-US" w:bidi="ar-SA"/>
          </w:rPr>
          <w:t>Schlüsselprioritäten</w:t>
        </w:r>
      </w:hyperlink>
      <w:r>
        <w:rPr>
          <w:rFonts w:eastAsia="Times New Roman" w:cs="Calibri Light" w:ascii="Calibri Light" w:hAnsi="Calibri Light"/>
          <w:lang w:val="de-DE" w:eastAsia="en-US" w:bidi="ar-SA"/>
        </w:rPr>
        <w:t xml:space="preserve"> zumindest teilweise umgesetzt werden konnten.</w:t>
      </w:r>
    </w:p>
    <w:p>
      <w:pPr>
        <w:pStyle w:val="Normal"/>
        <w:spacing w:lineRule="auto" w:line="240" w:before="0" w:after="120"/>
        <w:jc w:val="both"/>
        <w:rPr>
          <w:lang w:val="de-DE" w:eastAsia="en-US" w:bidi="ar-SA"/>
        </w:rPr>
      </w:pPr>
      <w:r>
        <w:rPr>
          <w:rFonts w:eastAsia="Times New Roman" w:cs="Calibri Light" w:ascii="Calibri Light" w:hAnsi="Calibri Light"/>
          <w:b/>
          <w:bCs/>
          <w:i/>
          <w:iCs/>
          <w:lang w:val="de-DE" w:eastAsia="en-US" w:bidi="ar-SA"/>
        </w:rPr>
        <w:t>Eine CMU, der für die Menschen arbeitet</w:t>
      </w:r>
    </w:p>
    <w:p>
      <w:pPr>
        <w:pStyle w:val="Normal"/>
        <w:spacing w:lineRule="auto" w:line="240" w:before="0" w:after="120"/>
        <w:jc w:val="both"/>
        <w:rPr>
          <w:lang w:val="de-DE" w:eastAsia="en-US" w:bidi="ar-SA"/>
        </w:rPr>
      </w:pPr>
      <w:r>
        <w:rPr>
          <w:rFonts w:eastAsia="Times New Roman" w:cs="Calibri Light" w:ascii="Calibri Light" w:hAnsi="Calibri Light"/>
          <w:lang w:val="de-DE" w:eastAsia="en-US" w:bidi="ar-SA"/>
        </w:rPr>
        <w:t>Das Erreichen „</w:t>
      </w:r>
      <w:r>
        <w:rPr>
          <w:rFonts w:eastAsia="Times New Roman" w:cs="Calibri Light" w:ascii="Calibri Light" w:hAnsi="Calibri Light"/>
          <w:i/>
          <w:iCs/>
          <w:lang w:val="de-DE" w:eastAsia="en-US" w:bidi="ar-SA"/>
        </w:rPr>
        <w:t>einer CMU, die für die Menschen arbeitet“</w:t>
      </w:r>
      <w:r>
        <w:rPr>
          <w:rFonts w:eastAsia="Times New Roman" w:cs="Calibri Light" w:ascii="Calibri Light" w:hAnsi="Calibri Light"/>
          <w:lang w:val="de-DE" w:eastAsia="en-US" w:bidi="ar-SA"/>
        </w:rPr>
        <w:t>, ist seit 2015 eine Priorität für BETTER FINANCE. Damals legte die Europäische Union (EU) den Grundstein für eine CMU, die letztlich den vor mehr als 60 Jahren im Vertrag von Rom beschlossenen Binnenmarkt für Kapital und Investitionsdienstleistungen schaffen, mehr direkte Finanzierung für die Realwirtschaft entwickeln und den EU-Bürgern für die private Altersvorsorge bessere Renditen bieten würde:</w:t>
      </w:r>
    </w:p>
    <w:p>
      <w:pPr>
        <w:pStyle w:val="Normal"/>
        <w:spacing w:lineRule="auto" w:line="240" w:before="0" w:after="120"/>
        <w:jc w:val="both"/>
        <w:rPr>
          <w:lang w:val="de-DE" w:eastAsia="en-US" w:bidi="ar-SA"/>
        </w:rPr>
      </w:pPr>
      <w:r>
        <w:rPr>
          <w:rFonts w:cs="Calibri Light" w:ascii="Calibri Light" w:hAnsi="Calibri Light"/>
          <w:b/>
          <w:bCs/>
          <w:i/>
          <w:iCs/>
          <w:lang w:val="de-DE" w:eastAsia="en-US" w:bidi="ar-SA"/>
        </w:rPr>
        <w:t>„</w:t>
      </w:r>
      <w:r>
        <w:rPr>
          <w:rFonts w:cs="Calibri Light" w:ascii="Calibri Light" w:hAnsi="Calibri Light"/>
          <w:b/>
          <w:bCs/>
          <w:i/>
          <w:iCs/>
          <w:lang w:val="de-DE" w:eastAsia="en-US" w:bidi="ar-SA"/>
        </w:rPr>
        <w:t>Als langfristige Sparer und private Anleger erzielen die europäischen Bürger, die zu den Hauptfinanziers der Kapitalmärkte und der Wirtschaft gehören, zu oft magere langfristige Netto-Realrenditen. Der grenzüberschreitende Zugang zu einfachen, vergleichbaren, kosteneffizienten und transparenten Produkten, die ein nachhaltiges Preis-Leistungs-Verhältnis bieten, ist der Schlüssel für das Sparen und für Anlagen</w:t>
      </w:r>
      <w:r>
        <w:rPr>
          <w:rFonts w:cs="Calibri Light" w:ascii="Calibri Light" w:hAnsi="Calibri Light"/>
          <w:i/>
          <w:iCs/>
          <w:lang w:val="de-DE" w:eastAsia="en-US" w:bidi="ar-SA"/>
        </w:rPr>
        <w:t xml:space="preserve">.“ </w:t>
      </w:r>
      <w:r>
        <w:rPr>
          <w:rFonts w:cs="Calibri Light" w:ascii="Calibri Light" w:hAnsi="Calibri Light"/>
          <w:lang w:val="de-DE" w:eastAsia="en-US" w:bidi="ar-SA"/>
        </w:rPr>
        <w:t>(Vorwort des Vorsitzenden zum HLF-Bericht)</w:t>
      </w:r>
    </w:p>
    <w:p>
      <w:pPr>
        <w:pStyle w:val="Normal"/>
        <w:spacing w:lineRule="auto" w:line="240" w:before="0" w:after="120"/>
        <w:jc w:val="both"/>
        <w:rPr>
          <w:lang w:val="de-DE" w:eastAsia="en-US" w:bidi="ar-SA"/>
        </w:rPr>
      </w:pPr>
      <w:r>
        <w:rPr>
          <w:rFonts w:eastAsia="Times New Roman" w:cs="Calibri Light" w:ascii="Calibri Light" w:hAnsi="Calibri Light"/>
          <w:lang w:val="de-DE" w:eastAsia="en-US" w:bidi="ar-SA"/>
        </w:rPr>
        <w:t>Einige der Empfehlungen sind nachstehend aufgeführt, während sich das vollständige Verzeichnis im Anhang zu dieser Pressemitteilung befindet.</w:t>
      </w:r>
    </w:p>
    <w:p>
      <w:pPr>
        <w:pStyle w:val="Normal"/>
        <w:spacing w:lineRule="auto" w:line="240" w:before="0" w:after="120"/>
        <w:jc w:val="both"/>
        <w:rPr>
          <w:lang w:val="de-DE" w:eastAsia="en-US" w:bidi="ar-SA"/>
        </w:rPr>
      </w:pPr>
      <w:r>
        <w:rPr>
          <w:rFonts w:eastAsia="Times New Roman" w:cs="Calibri Light" w:ascii="Calibri Light" w:hAnsi="Calibri Light"/>
          <w:b/>
          <w:bCs/>
          <w:i/>
          <w:iCs/>
          <w:lang w:val="de-DE" w:eastAsia="en-US" w:bidi="ar-SA"/>
        </w:rPr>
        <w:t xml:space="preserve">Eindämmung von Interessenkonflikten beim Vertrieb </w:t>
      </w:r>
    </w:p>
    <w:p>
      <w:pPr>
        <w:pStyle w:val="Default"/>
        <w:spacing w:before="0" w:after="120"/>
        <w:jc w:val="both"/>
        <w:rPr>
          <w:lang w:val="de-DE" w:eastAsia="en-US" w:bidi="ar-SA"/>
        </w:rPr>
      </w:pPr>
      <w:r>
        <w:rPr>
          <w:rFonts w:eastAsia="Times New Roman" w:cs="Calibri Light" w:ascii="Calibri Light" w:hAnsi="Calibri Light"/>
          <w:sz w:val="22"/>
          <w:szCs w:val="22"/>
          <w:lang w:val="de-DE" w:eastAsia="en-US" w:bidi="ar-SA"/>
        </w:rPr>
        <w:t>Der wichtigste Schritt, um den EU-Bürgern als Anlegern Zugang zu einfachen und kosteneffizienten Anlageprodukten zu verschaffen, besteht darin, sicherzustellen, dass sie eine faire Finanzberatung erhalten. Zu diesem Zweck empfiehlt das HLF, Kick-backs (im EU-Jargon „Anreize“) für „nicht-unabhängige“ (sic) Vertreiber von Anlageprodukten für Kleinanleger nicht länger zu verbieten – wie es die Niederlande und Großbritannien taten. Stattdessen ersucht das HLF die Europäische Kommission, vorrangig zu prüfen, „</w:t>
      </w:r>
      <w:r>
        <w:rPr>
          <w:rFonts w:eastAsia="Times New Roman" w:cs="Calibri Light" w:ascii="Calibri Light" w:hAnsi="Calibri Light"/>
          <w:i/>
          <w:iCs/>
          <w:sz w:val="22"/>
          <w:szCs w:val="22"/>
          <w:lang w:val="de-DE" w:eastAsia="en-US" w:bidi="ar-SA"/>
        </w:rPr>
        <w:t>welche Rolle Anreize für die Angemessenheit der Beratung spielen</w:t>
      </w:r>
      <w:r>
        <w:rPr>
          <w:rFonts w:eastAsia="Times New Roman" w:cs="Calibri Light" w:ascii="Calibri Light" w:hAnsi="Calibri Light"/>
          <w:sz w:val="22"/>
          <w:szCs w:val="22"/>
          <w:lang w:val="de-DE" w:eastAsia="en-US" w:bidi="ar-SA"/>
        </w:rPr>
        <w:t>“ und „</w:t>
      </w:r>
      <w:r>
        <w:rPr>
          <w:rFonts w:cs="Calibri Light" w:ascii="Calibri Light" w:hAnsi="Calibri Light"/>
          <w:i/>
          <w:iCs/>
          <w:sz w:val="22"/>
          <w:szCs w:val="22"/>
          <w:lang w:val="de-DE" w:eastAsia="en-US" w:bidi="ar-SA"/>
        </w:rPr>
        <w:t>wie die Regeln für Anreize im Rahmen der Versicherungsvertriebsrichtlinie ein ausreichendes Verbraucherschutzniveau gewährleisten können, das mit den Anlegerschutzstandards übereinstimmt, die gemäß MiFID II für Versicherungsanlageprodukte gelten</w:t>
      </w:r>
      <w:r>
        <w:rPr>
          <w:rFonts w:eastAsia="Times New Roman" w:cs="Calibri Light" w:ascii="Calibri Light" w:hAnsi="Calibri Light"/>
          <w:sz w:val="22"/>
          <w:szCs w:val="22"/>
          <w:lang w:val="de-DE" w:eastAsia="en-US" w:bidi="ar-SA"/>
        </w:rPr>
        <w:t>“. Diesen Studien sollten geeignete Gesetzesvorschläge folgen.</w:t>
      </w:r>
    </w:p>
    <w:p>
      <w:pPr>
        <w:pStyle w:val="Default"/>
        <w:spacing w:before="0" w:after="120"/>
        <w:jc w:val="both"/>
        <w:rPr>
          <w:lang w:val="de-DE" w:eastAsia="en-US" w:bidi="ar-SA"/>
        </w:rPr>
      </w:pPr>
      <w:r>
        <w:rPr>
          <w:rFonts w:eastAsia="Times New Roman" w:cs="Calibri Light" w:ascii="Calibri Light" w:hAnsi="Calibri Light"/>
          <w:b/>
          <w:bCs/>
          <w:i/>
          <w:iCs/>
          <w:sz w:val="22"/>
          <w:szCs w:val="22"/>
          <w:lang w:val="de-DE" w:eastAsia="en-US" w:bidi="ar-SA"/>
        </w:rPr>
        <w:t>Hin zu einer klaren, redlichen, nicht irreführenden und vergleichbaren Offenlegung von wesentlichen Informationen</w:t>
      </w:r>
    </w:p>
    <w:p>
      <w:pPr>
        <w:pStyle w:val="Default"/>
        <w:spacing w:before="0" w:after="120"/>
        <w:jc w:val="both"/>
        <w:rPr>
          <w:lang w:val="de-DE" w:eastAsia="en-US" w:bidi="ar-SA"/>
        </w:rPr>
      </w:pPr>
      <w:r>
        <w:rPr>
          <w:rFonts w:eastAsia="Times New Roman" w:cs="Calibri Light" w:ascii="Calibri Light" w:hAnsi="Calibri Light"/>
          <w:sz w:val="22"/>
          <w:szCs w:val="22"/>
          <w:lang w:val="de-DE" w:eastAsia="en-US" w:bidi="ar-SA"/>
        </w:rPr>
        <w:t>Darüber hinaus geht der Bericht auf die langjährigen Forderungen von BETTER FINANCE ein, die Offenlegung von wesentlichen Informationen für verpackte Anlageprodukte für Kleinanleger und Versicherungsanlageprodukte („PRIIP“) zu verbessern. In diesem Sinne wird die Europäische Kommission aufgefordert</w:t>
      </w:r>
      <w:r>
        <w:rPr>
          <w:rFonts w:cs="Calibri Light" w:ascii="Calibri Light" w:hAnsi="Calibri Light"/>
          <w:i/>
          <w:iCs/>
          <w:sz w:val="22"/>
          <w:szCs w:val="22"/>
          <w:lang w:val="de-DE" w:eastAsia="en-US" w:bidi="ar-SA"/>
        </w:rPr>
        <w:t>,</w:t>
      </w:r>
      <w:r>
        <w:rPr>
          <w:rFonts w:eastAsia="Times New Roman" w:cs="Calibri Light" w:ascii="Calibri Light" w:hAnsi="Calibri Light"/>
          <w:sz w:val="22"/>
          <w:szCs w:val="22"/>
          <w:lang w:val="de-DE" w:eastAsia="en-US" w:bidi="ar-SA"/>
        </w:rPr>
        <w:t xml:space="preserve"> „</w:t>
      </w:r>
      <w:r>
        <w:rPr>
          <w:rFonts w:cs="Calibri Light" w:ascii="Calibri Light" w:hAnsi="Calibri Light"/>
          <w:i/>
          <w:iCs/>
          <w:sz w:val="22"/>
          <w:szCs w:val="22"/>
          <w:lang w:val="de-DE" w:eastAsia="en-US" w:bidi="ar-SA"/>
        </w:rPr>
        <w:t>die PRIIP-Verordnung so bald wie möglich und rechtzeitig zu überprüfen, um einen Konflikt angesichts des Auslaufens der Ausnahmeregelung für OGAW zu vermeiden und die von den meisten Interessengruppen aufgeworfenen Fragen hinsichtlich der Verständlichkeit und Vergleichbarkeit von Informationen und der Kohärenz mit den MIFID-Informationsvorschriften, insbesondere für die Offenlegung von Angaben über die Wertentwicklung und Kosten, anzugehen</w:t>
      </w:r>
      <w:r>
        <w:rPr>
          <w:rFonts w:cs="Calibri Light" w:ascii="Calibri Light" w:hAnsi="Calibri Light"/>
          <w:sz w:val="22"/>
          <w:szCs w:val="22"/>
          <w:lang w:val="de-DE" w:eastAsia="en-US" w:bidi="ar-SA"/>
        </w:rPr>
        <w:t xml:space="preserve">“. </w:t>
      </w:r>
      <w:r>
        <w:rPr>
          <w:rFonts w:eastAsia="Times New Roman" w:cs="Calibri Light" w:ascii="Calibri Light" w:hAnsi="Calibri Light"/>
          <w:sz w:val="22"/>
          <w:szCs w:val="22"/>
          <w:lang w:val="de-DE" w:eastAsia="en-US" w:bidi="ar-SA"/>
        </w:rPr>
        <w:t>Ordnungsgemäße, klare Offenlegungsdokumente sind eine Voraussetzung dafür, dass die Verbraucher Produkte vergleichen und fundierte Anlageentscheidungen treffen können.</w:t>
      </w:r>
    </w:p>
    <w:p>
      <w:pPr>
        <w:pStyle w:val="Default"/>
        <w:spacing w:before="0" w:after="120"/>
        <w:jc w:val="both"/>
        <w:rPr>
          <w:rFonts w:ascii="Calibri Light" w:hAnsi="Calibri Light" w:eastAsia="Times New Roman" w:cs="Calibri Light"/>
          <w:sz w:val="22"/>
          <w:szCs w:val="22"/>
          <w:lang w:val="de-DE" w:eastAsia="en-US" w:bidi="ar-SA"/>
        </w:rPr>
      </w:pPr>
      <w:r>
        <w:rPr>
          <w:rFonts w:eastAsia="Times New Roman" w:cs="Calibri Light" w:ascii="Calibri Light" w:hAnsi="Calibri Light"/>
          <w:sz w:val="22"/>
          <w:szCs w:val="22"/>
          <w:lang w:val="de-DE" w:eastAsia="en-US" w:bidi="ar-SA"/>
        </w:rPr>
      </w:r>
    </w:p>
    <w:p>
      <w:pPr>
        <w:pStyle w:val="Default"/>
        <w:spacing w:before="0" w:after="120"/>
        <w:jc w:val="both"/>
        <w:rPr>
          <w:lang w:val="de-DE" w:eastAsia="en-US" w:bidi="ar-SA"/>
        </w:rPr>
      </w:pPr>
      <w:r>
        <w:rPr>
          <w:rFonts w:eastAsia="Times New Roman" w:cs="Calibri Light" w:ascii="Calibri Light" w:hAnsi="Calibri Light"/>
          <w:b/>
          <w:bCs/>
          <w:i/>
          <w:iCs/>
          <w:sz w:val="22"/>
          <w:szCs w:val="22"/>
          <w:lang w:val="de-DE" w:eastAsia="en-US" w:bidi="ar-SA"/>
        </w:rPr>
        <w:t xml:space="preserve">Das Vertrauen der Menschen in die Aktienmärkte wiederherstellen </w:t>
      </w:r>
    </w:p>
    <w:p>
      <w:pPr>
        <w:pStyle w:val="Normal"/>
        <w:spacing w:lineRule="auto" w:line="240" w:before="0" w:after="120"/>
        <w:jc w:val="both"/>
        <w:rPr/>
      </w:pPr>
      <w:r>
        <w:rPr>
          <w:rFonts w:eastAsia="Times New Roman" w:cs="Calibri Light" w:ascii="Calibri Light" w:hAnsi="Calibri Light"/>
          <w:lang w:val="de-DE" w:eastAsia="en-US" w:bidi="ar-SA"/>
        </w:rPr>
        <w:t>Das HLF empfiehlt ferner, private Anleger in börsennotierte Aktien und Anleihen nicht länger aus dem derzeitigen Regulierungsvorhaben der EU für kollektive Rechtsdurchsetzungsverfahren auszuschließen und Mitarbeiterkapitalbeteiligungsprogramme (</w:t>
      </w:r>
      <w:r>
        <w:rPr>
          <w:rFonts w:eastAsia="Times New Roman" w:cs="Calibri Light" w:ascii="Calibri Light" w:hAnsi="Calibri Light"/>
          <w:i w:val="false"/>
          <w:iCs w:val="false"/>
          <w:lang w:val="de-DE" w:eastAsia="en-US" w:bidi="ar-SA"/>
        </w:rPr>
        <w:t>E</w:t>
      </w:r>
      <w:r>
        <w:rPr>
          <w:rStyle w:val="Betont"/>
          <w:rFonts w:eastAsia="Times New Roman" w:cs="Calibri Light" w:ascii="Calibri Light" w:hAnsi="Calibri Light"/>
          <w:i w:val="false"/>
          <w:iCs w:val="false"/>
          <w:lang w:val="de-DE" w:eastAsia="en-US" w:bidi="ar-SA"/>
        </w:rPr>
        <w:t>mployee</w:t>
      </w:r>
      <w:r>
        <w:rPr>
          <w:rFonts w:eastAsia="Times New Roman" w:cs="Calibri Light" w:ascii="Calibri Light" w:hAnsi="Calibri Light"/>
          <w:lang w:val="de-DE" w:eastAsia="en-US" w:bidi="ar-SA"/>
        </w:rPr>
        <w:t xml:space="preserve"> Stock Ownership Plans, ESOP) als wirksames Mittel zur besseren Finanzierung von KMU zu fördern (bisher haben US-amerikanische ESOP ... hundertmal mehr in nicht börsennotierte KMU investiert als europäische) und die Beteiligungskultur wiederzubeleben, die durch jahrzehntelange voreingenommene Privatkundenberatung beschädigt wurde. Auch die Ausübung der Stimmrechte durch einzelne Aktionäre sollte unkomplizierter werden.</w:t>
      </w:r>
    </w:p>
    <w:p>
      <w:pPr>
        <w:pStyle w:val="Normal"/>
        <w:spacing w:lineRule="auto" w:line="240" w:before="0" w:after="120"/>
        <w:jc w:val="both"/>
        <w:rPr>
          <w:lang w:val="de-DE" w:eastAsia="en-US" w:bidi="ar-SA"/>
        </w:rPr>
      </w:pPr>
      <w:r>
        <w:rPr>
          <w:rFonts w:eastAsia="Times New Roman" w:cs="Calibri Light" w:ascii="Calibri Light" w:hAnsi="Calibri Light"/>
          <w:b/>
          <w:bCs/>
          <w:i/>
          <w:iCs/>
          <w:lang w:val="de-DE" w:eastAsia="en-US" w:bidi="ar-SA"/>
        </w:rPr>
        <w:t>„</w:t>
      </w:r>
      <w:r>
        <w:rPr>
          <w:rFonts w:eastAsia="Times New Roman" w:cs="Calibri Light" w:ascii="Calibri Light" w:hAnsi="Calibri Light"/>
          <w:b/>
          <w:bCs/>
          <w:i/>
          <w:iCs/>
          <w:lang w:val="de-DE" w:eastAsia="en-US" w:bidi="ar-SA"/>
        </w:rPr>
        <w:t>Das Geld anderer Leute"</w:t>
      </w:r>
    </w:p>
    <w:p>
      <w:pPr>
        <w:pStyle w:val="Normal"/>
        <w:spacing w:lineRule="auto" w:line="240" w:before="0" w:after="120"/>
        <w:jc w:val="both"/>
        <w:rPr>
          <w:lang w:val="de-DE" w:eastAsia="en-US" w:bidi="ar-SA"/>
        </w:rPr>
      </w:pPr>
      <w:r>
        <w:rPr>
          <w:rFonts w:eastAsia="Times New Roman" w:cs="Calibri Light" w:ascii="Calibri Light" w:hAnsi="Calibri Light"/>
          <w:i/>
          <w:iCs/>
          <w:lang w:val="de-DE" w:eastAsia="en-US" w:bidi="ar-SA"/>
        </w:rPr>
        <w:t>„</w:t>
      </w:r>
      <w:r>
        <w:rPr>
          <w:rFonts w:eastAsia="Times New Roman" w:cs="Calibri Light" w:ascii="Calibri Light" w:hAnsi="Calibri Light"/>
          <w:i/>
          <w:iCs/>
          <w:lang w:val="de-DE" w:eastAsia="en-US" w:bidi="ar-SA"/>
        </w:rPr>
        <w:t xml:space="preserve">Obwohl wir erfreut sind, dass die EU-Bürger als Sparer diskret ihren rechtmäßigen Platz im Herzen der Kapitalmarktunion finden“, </w:t>
      </w:r>
      <w:r>
        <w:rPr>
          <w:rFonts w:eastAsia="Times New Roman" w:cs="Calibri Light" w:ascii="Calibri Light" w:hAnsi="Calibri Light"/>
          <w:lang w:val="de-DE" w:eastAsia="en-US" w:bidi="ar-SA"/>
        </w:rPr>
        <w:t>betont Guillaume Prache, „</w:t>
      </w:r>
      <w:r>
        <w:rPr>
          <w:rFonts w:eastAsia="Times New Roman" w:cs="Calibri Light" w:ascii="Calibri Light" w:hAnsi="Calibri Light"/>
          <w:i/>
          <w:iCs/>
          <w:lang w:val="de-DE" w:eastAsia="en-US" w:bidi="ar-SA"/>
        </w:rPr>
        <w:t>besteht nach wie vor ein grundlegendes Missverständnis über die Existenzberechtigung der Kapitalmärkte und darüber, wem sie dienen: Sie sind in erster Linie nicht für Finanzvermittler gedacht, sondern für die Nutzer der Realwirtschaft und Kapitalgeber: die Unternehmen, die Kapital benötigen, um zu wachsen, und die Endanleger, die dieses Kapital bereitstellen. Und wer sind diese Kapitalgeber, die direkt oder über Pensionsfonds, Investmentfonds oder Versicherungsanlageprodukte investieren? Es sind die EU-Bürger als Sparer.</w:t>
      </w:r>
      <w:r>
        <w:rPr>
          <w:rFonts w:eastAsia="Times New Roman" w:cs="Calibri Light" w:ascii="Calibri Light" w:hAnsi="Calibri Light"/>
          <w:lang w:val="de-DE" w:eastAsia="en-US" w:bidi="ar-SA"/>
        </w:rPr>
        <w:t xml:space="preserve">“ </w:t>
      </w:r>
    </w:p>
    <w:p>
      <w:pPr>
        <w:pStyle w:val="Normal"/>
        <w:spacing w:lineRule="auto" w:line="240" w:before="0" w:after="120"/>
        <w:jc w:val="both"/>
        <w:rPr>
          <w:lang w:val="de-DE" w:eastAsia="en-US" w:bidi="ar-SA"/>
        </w:rPr>
      </w:pPr>
      <w:r>
        <w:rPr>
          <w:rFonts w:eastAsia="Times New Roman" w:cs="Calibri Light" w:ascii="Calibri Light" w:hAnsi="Calibri Light"/>
          <w:lang w:val="de-DE" w:eastAsia="en-US" w:bidi="ar-SA"/>
        </w:rPr>
        <w:t>Herr Prache betont zudem die Notwendigkeit einer nachdrücklichen politischen Unterstützung dieser Empfehlungen: „</w:t>
      </w:r>
      <w:r>
        <w:rPr>
          <w:rFonts w:eastAsia="Times New Roman" w:cs="Calibri Light" w:ascii="Calibri Light" w:hAnsi="Calibri Light"/>
          <w:i/>
          <w:iCs/>
          <w:lang w:val="de-DE" w:eastAsia="en-US" w:bidi="ar-SA"/>
        </w:rPr>
        <w:t>Es ist noch zu früh, den Sieg zu erklären. Die Wiederherstellung des dringend benötigten Vertrauens unter den privaten Anlegern wird nur gelingen, wenn die politischen Entscheidungsträger diesem Bericht Rechnung tragen und sich ernsthaft mit den darin enthaltenen Vorschlägen für grundlegende Veränderungen befassen</w:t>
      </w:r>
      <w:r>
        <w:rPr>
          <w:rFonts w:eastAsia="Times New Roman" w:cs="Calibri Light" w:ascii="Calibri Light" w:hAnsi="Calibri Light"/>
          <w:lang w:val="de-DE" w:eastAsia="en-US" w:bidi="ar-SA"/>
        </w:rPr>
        <w:t>.“</w:t>
      </w:r>
    </w:p>
    <w:p>
      <w:pPr>
        <w:pStyle w:val="Normal"/>
        <w:spacing w:lineRule="auto" w:line="240" w:before="0" w:after="120"/>
        <w:jc w:val="both"/>
        <w:rPr>
          <w:lang w:val="de-DE" w:eastAsia="en-US" w:bidi="ar-SA"/>
        </w:rPr>
      </w:pPr>
      <w:r>
        <w:rPr>
          <w:rFonts w:eastAsia="Times New Roman" w:cs="Calibri Light" w:ascii="Calibri Light" w:hAnsi="Calibri Light"/>
          <w:lang w:val="de-DE" w:eastAsia="en-US" w:bidi="ar-SA"/>
        </w:rPr>
        <w:t>BETTER FINANCE wird die Fortschritte genau verfolgen und überwachen.</w:t>
      </w:r>
    </w:p>
    <w:p>
      <w:pPr>
        <w:pStyle w:val="Normal"/>
        <w:spacing w:lineRule="auto" w:line="240" w:before="0" w:after="0"/>
        <w:jc w:val="center"/>
        <w:rPr>
          <w:lang w:val="de-DE" w:eastAsia="en-US" w:bidi="ar-SA"/>
        </w:rPr>
      </w:pPr>
      <w:r>
        <w:rPr>
          <w:rFonts w:cs="Calibri Light" w:ascii="Calibri Light" w:hAnsi="Calibri Light"/>
          <w:lang w:val="de-DE" w:eastAsia="en-US" w:bidi="ar-SA"/>
        </w:rPr>
        <w:t>***</w:t>
      </w:r>
    </w:p>
    <w:p>
      <w:pPr>
        <w:pStyle w:val="Textkrper"/>
        <w:spacing w:lineRule="auto" w:line="240" w:before="120" w:after="0"/>
        <w:jc w:val="center"/>
        <w:rPr/>
      </w:pPr>
      <w:r>
        <w:rPr>
          <w:rFonts w:cs="Calibri Light" w:ascii="Calibri Light" w:hAnsi="Calibri Light"/>
          <w:sz w:val="20"/>
          <w:u w:val="single"/>
          <w:lang w:val="de-DE" w:eastAsia="en-US" w:bidi="ar-SA"/>
        </w:rPr>
        <w:t>Kontakt</w:t>
      </w:r>
      <w:r>
        <w:rPr>
          <w:rFonts w:cs="Calibri Light" w:ascii="Calibri Light" w:hAnsi="Calibri Light"/>
          <w:sz w:val="20"/>
          <w:lang w:val="de-DE" w:eastAsia="en-US" w:bidi="ar-SA"/>
        </w:rPr>
        <w:t xml:space="preserve">: Leiter der Kommunikationsabteilung ǀ Arnaud Houdmont ǀ +32 (0)2 514 37 77 ǀ </w:t>
      </w:r>
      <w:hyperlink r:id="rId4">
        <w:r>
          <w:rPr>
            <w:rStyle w:val="Internetverknpfung"/>
            <w:rFonts w:cs="Calibri Light" w:ascii="Calibri Light" w:hAnsi="Calibri Light"/>
            <w:sz w:val="20"/>
            <w:lang w:val="de-DE" w:eastAsia="en-US" w:bidi="ar-SA"/>
          </w:rPr>
          <w:t>houdmont@betterfinance.eu</w:t>
        </w:r>
      </w:hyperlink>
    </w:p>
    <w:p>
      <w:pPr>
        <w:pStyle w:val="Textkrper"/>
        <w:spacing w:lineRule="auto" w:line="240" w:before="120" w:after="0"/>
        <w:rPr>
          <w:lang w:val="de-DE" w:eastAsia="en-US" w:bidi="ar-SA"/>
        </w:rPr>
      </w:pPr>
      <w:r>
        <w:rPr>
          <w:lang w:val="de-DE" w:eastAsia="en-US" w:bidi="ar-SA"/>
        </w:rPr>
      </w:r>
    </w:p>
    <w:p>
      <w:pPr>
        <w:pStyle w:val="Textkrper"/>
        <w:numPr>
          <w:ilvl w:val="0"/>
          <w:numId w:val="1"/>
        </w:numPr>
        <w:spacing w:lineRule="auto" w:line="240" w:before="120" w:after="0"/>
        <w:ind w:left="426" w:hanging="426"/>
        <w:rPr>
          <w:lang w:val="de-DE" w:eastAsia="en-US" w:bidi="ar-SA"/>
        </w:rPr>
      </w:pPr>
      <w:r>
        <w:rPr>
          <w:rFonts w:cs="Calibri Light" w:ascii="Calibri Light" w:hAnsi="Calibri Light"/>
          <w:color w:val="1F497D"/>
          <w:spacing w:val="0"/>
          <w:sz w:val="20"/>
          <w:u w:val="single"/>
          <w:lang w:val="de-DE" w:eastAsia="en-US" w:bidi="ar-SA"/>
        </w:rPr>
        <w:t>Siehe Anhang auf der nächsten Seite</w:t>
      </w:r>
      <w:r>
        <w:rPr>
          <w:rFonts w:cs="Calibri Light" w:ascii="Calibri Light" w:hAnsi="Calibri Light"/>
          <w:color w:val="1F497D"/>
          <w:spacing w:val="0"/>
          <w:sz w:val="20"/>
          <w:lang w:val="de-DE" w:eastAsia="en-US" w:bidi="ar-SA"/>
        </w:rPr>
        <w:t>: „Vergleich zwischen den Empfehlungen des Abschlussberichts des Hochrangigen Forums zur Kapitalmarktunion (HLF CMU) und den Schlüsselprioritäten (2019-2024) von BETTER FINANCE“</w:t>
      </w:r>
      <w:r>
        <w:br w:type="page"/>
      </w:r>
    </w:p>
    <w:p>
      <w:pPr>
        <w:pStyle w:val="Normal"/>
        <w:rPr>
          <w:lang w:val="de-DE" w:eastAsia="en-US" w:bidi="ar-SA"/>
        </w:rPr>
      </w:pPr>
      <w:r>
        <w:rPr>
          <w:lang w:val="de-DE" w:eastAsia="en-US" w:bidi="ar-SA"/>
        </w:rPr>
      </w:r>
    </w:p>
    <w:p>
      <w:pPr>
        <w:sectPr>
          <w:headerReference w:type="default" r:id="rId5"/>
          <w:footerReference w:type="default" r:id="rId6"/>
          <w:type w:val="nextPage"/>
          <w:pgSz w:orient="landscape" w:w="16838" w:h="11906"/>
          <w:pgMar w:left="1440" w:right="1440" w:header="708" w:top="1440" w:footer="708" w:bottom="1440" w:gutter="0"/>
          <w:pgNumType w:fmt="decimal"/>
          <w:formProt w:val="false"/>
          <w:textDirection w:val="lrTb"/>
          <w:docGrid w:type="default" w:linePitch="100" w:charSpace="4096"/>
        </w:sectPr>
      </w:pPr>
    </w:p>
    <w:p>
      <w:pPr>
        <w:pStyle w:val="Berschrift2"/>
        <w:spacing w:before="40" w:after="80"/>
        <w:jc w:val="center"/>
        <w:rPr>
          <w:lang w:val="de-DE" w:eastAsia="en-US" w:bidi="ar-SA"/>
        </w:rPr>
      </w:pPr>
      <w:r>
        <w:rPr>
          <w:rFonts w:eastAsia="Calibri" w:cs="Arial"/>
          <w:b/>
          <w:color w:val="auto"/>
          <w:spacing w:val="20"/>
          <w:kern w:val="2"/>
          <w:sz w:val="24"/>
          <w:szCs w:val="24"/>
          <w:lang w:val="de-DE" w:eastAsia="en-US" w:bidi="ar-SA"/>
        </w:rPr>
        <w:t>ANHANG ZUR PRESSEMITTEILUNG</w:t>
      </w:r>
    </w:p>
    <w:p>
      <w:pPr>
        <w:pStyle w:val="Berschrift2"/>
        <w:spacing w:lineRule="auto" w:line="240" w:before="0" w:after="0"/>
        <w:jc w:val="center"/>
        <w:rPr>
          <w:lang w:val="de-DE" w:eastAsia="en-US" w:bidi="ar-SA"/>
        </w:rPr>
      </w:pPr>
      <w:r>
        <w:rPr>
          <w:rFonts w:eastAsia="Calibri" w:cs="Arial"/>
          <w:b/>
          <w:spacing w:val="20"/>
          <w:kern w:val="2"/>
          <w:sz w:val="28"/>
          <w:szCs w:val="28"/>
          <w:lang w:val="de-DE" w:eastAsia="en-US" w:bidi="ar-SA"/>
        </w:rPr>
        <w:t xml:space="preserve">Vergleich zwischen den Empfehlungen des Abschlussberichts des </w:t>
      </w:r>
      <w:r>
        <w:rPr>
          <w:rFonts w:eastAsia="Calibri" w:cs="Arial"/>
          <w:b/>
          <w:color w:val="365F91"/>
          <w:spacing w:val="20"/>
          <w:kern w:val="2"/>
          <w:sz w:val="28"/>
          <w:szCs w:val="28"/>
          <w:lang w:val="de-DE" w:eastAsia="en-US" w:bidi="ar-SA"/>
        </w:rPr>
        <w:t>Hochrangigen Forums</w:t>
      </w:r>
    </w:p>
    <w:p>
      <w:pPr>
        <w:pStyle w:val="Berschrift2"/>
        <w:spacing w:lineRule="auto" w:line="240" w:before="0" w:after="0"/>
        <w:jc w:val="center"/>
        <w:rPr>
          <w:lang w:val="de-DE" w:eastAsia="en-US" w:bidi="ar-SA"/>
        </w:rPr>
      </w:pPr>
      <w:r>
        <w:rPr>
          <w:rFonts w:eastAsia="Calibri" w:cs="Arial"/>
          <w:b/>
          <w:color w:val="365F91"/>
          <w:spacing w:val="20"/>
          <w:kern w:val="2"/>
          <w:sz w:val="28"/>
          <w:szCs w:val="28"/>
          <w:lang w:val="de-DE" w:eastAsia="en-US" w:bidi="ar-SA"/>
        </w:rPr>
        <w:t>zur Kapitalmarktunion (HLF CMU) und den</w:t>
      </w:r>
      <w:r>
        <w:rPr>
          <w:rFonts w:eastAsia="Calibri" w:cs="Arial"/>
          <w:b/>
          <w:spacing w:val="20"/>
          <w:kern w:val="2"/>
          <w:sz w:val="28"/>
          <w:szCs w:val="28"/>
          <w:lang w:val="de-DE" w:eastAsia="en-US" w:bidi="ar-SA"/>
        </w:rPr>
        <w:t xml:space="preserve"> Schlüsselprioritäten (2019-2024) von</w:t>
      </w:r>
    </w:p>
    <w:p>
      <w:pPr>
        <w:pStyle w:val="Berschrift2"/>
        <w:spacing w:lineRule="auto" w:line="240" w:before="0" w:after="0"/>
        <w:jc w:val="center"/>
        <w:rPr>
          <w:lang w:val="de-DE" w:eastAsia="en-US" w:bidi="ar-SA"/>
        </w:rPr>
      </w:pPr>
      <w:r>
        <w:rPr>
          <w:rFonts w:eastAsia="Calibri" w:cs="Arial"/>
          <w:b/>
          <w:spacing w:val="20"/>
          <w:kern w:val="2"/>
          <w:sz w:val="28"/>
          <w:szCs w:val="28"/>
          <w:lang w:val="de-DE" w:eastAsia="en-US" w:bidi="ar-SA"/>
        </w:rPr>
        <w:t>BETTER FINANCE</w:t>
      </w:r>
    </w:p>
    <w:p>
      <w:pPr>
        <w:pStyle w:val="Normal"/>
        <w:pBdr>
          <w:bottom w:val="single" w:sz="4" w:space="1" w:color="000000"/>
        </w:pBdr>
        <w:spacing w:before="0" w:after="0"/>
        <w:rPr>
          <w:rFonts w:ascii="Cambria" w:hAnsi="Cambria"/>
          <w:color w:val="0070C0"/>
          <w:sz w:val="18"/>
          <w:szCs w:val="18"/>
          <w:lang w:val="de-DE" w:eastAsia="en-US" w:bidi="ar-SA"/>
        </w:rPr>
      </w:pPr>
      <w:r>
        <w:rPr>
          <w:rFonts w:ascii="Cambria" w:hAnsi="Cambria"/>
          <w:color w:val="0070C0"/>
          <w:sz w:val="18"/>
          <w:szCs w:val="18"/>
          <w:lang w:val="de-DE" w:eastAsia="en-US" w:bidi="ar-SA"/>
        </w:rPr>
      </w:r>
    </w:p>
    <w:p>
      <w:pPr>
        <w:pStyle w:val="Normal"/>
        <w:spacing w:before="0" w:after="0"/>
        <w:jc w:val="both"/>
        <w:rPr>
          <w:rFonts w:ascii="Cambria" w:hAnsi="Cambria" w:cs="Cambria"/>
          <w:sz w:val="18"/>
          <w:szCs w:val="18"/>
          <w:lang w:val="de-DE" w:eastAsia="en-US" w:bidi="ar-SA"/>
        </w:rPr>
      </w:pPr>
      <w:r>
        <w:rPr>
          <w:rFonts w:cs="Cambria" w:ascii="Cambria" w:hAnsi="Cambria"/>
          <w:sz w:val="18"/>
          <w:szCs w:val="18"/>
          <w:lang w:val="de-DE" w:eastAsia="en-US" w:bidi="ar-SA"/>
        </w:rPr>
      </w:r>
    </w:p>
    <w:p>
      <w:pPr>
        <w:pStyle w:val="Normal"/>
        <w:spacing w:before="0" w:after="120"/>
        <w:jc w:val="both"/>
        <w:rPr>
          <w:lang w:val="de-DE" w:eastAsia="en-US" w:bidi="ar-SA"/>
        </w:rPr>
      </w:pPr>
      <w:r>
        <w:rPr>
          <w:rFonts w:cs="Calibri Light" w:ascii="Calibri Light" w:hAnsi="Calibri Light"/>
          <w:sz w:val="20"/>
          <w:szCs w:val="20"/>
          <w:lang w:val="de-DE" w:eastAsia="en-US" w:bidi="ar-SA"/>
        </w:rPr>
        <w:t>In dieser Tabelle sind die Schlüsselprioritäten von BETTER FINANCE (fettgedruckt) und die Art und Weise, wie sie in den konkreten Empfehlungen des Abschlussberichts des Hochrangigen Forums zur Zukunft der Kapitalmarktunion (HLF CMU) berücksichtigt werden, nebeneinander dargestellt.</w:t>
      </w:r>
    </w:p>
    <w:p>
      <w:pPr>
        <w:pStyle w:val="Normal"/>
        <w:jc w:val="both"/>
        <w:rPr>
          <w:lang w:val="de-DE" w:eastAsia="en-US" w:bidi="ar-SA"/>
        </w:rPr>
      </w:pPr>
      <w:r>
        <w:rPr>
          <w:rFonts w:cs="Calibri Light" w:ascii="Calibri Light" w:hAnsi="Calibri Light"/>
          <w:sz w:val="20"/>
          <w:szCs w:val="20"/>
          <w:lang w:val="de-DE" w:eastAsia="en-US" w:bidi="ar-SA"/>
        </w:rPr>
        <w:t>Der HLF CMU-Abschlussbericht deckt alle Schlüsselprioritäten von BF ab, die zur Schaffung einer CMU mit dem Ziel vorgeschlagen wurden, das Vertrauen der Bürger in die Finanzindustrie wiederherzustellen, die Zeitbombe Altersvorsorge zu entschärfen und die Attraktivität der EU-Kapitalmärkte zu erhöhen. In den Empfehlungen des HLF CMU wurden von 35 Schlüsselmaßnahmen 16 übernommen.</w:t>
      </w:r>
    </w:p>
    <w:p>
      <w:pPr>
        <w:pStyle w:val="Normal"/>
        <w:jc w:val="both"/>
        <w:rPr>
          <w:lang w:val="de-DE" w:eastAsia="en-US" w:bidi="ar-SA"/>
        </w:rPr>
      </w:pPr>
      <w:r>
        <w:rPr>
          <w:rFonts w:cs="Calibri Light" w:ascii="Calibri Light" w:hAnsi="Calibri Light"/>
          <w:sz w:val="20"/>
          <w:szCs w:val="20"/>
          <w:lang w:val="de-DE" w:eastAsia="en-US" w:bidi="ar-SA"/>
        </w:rPr>
        <w:t>Die nachstehende Liste ist nicht erschöpfend, sondern konzentriert sich auf die relevantesten (die „Must-haves“) für private Anleger.</w:t>
      </w:r>
    </w:p>
    <w:tbl>
      <w:tblPr>
        <w:tblW w:w="10485" w:type="dxa"/>
        <w:jc w:val="left"/>
        <w:tblInd w:w="0" w:type="dxa"/>
        <w:tblCellMar>
          <w:top w:w="85" w:type="dxa"/>
          <w:left w:w="108" w:type="dxa"/>
          <w:bottom w:w="85" w:type="dxa"/>
          <w:right w:w="108" w:type="dxa"/>
        </w:tblCellMar>
        <w:tblLook w:firstRow="1" w:noVBand="1" w:lastRow="0" w:firstColumn="1" w:lastColumn="0" w:noHBand="0" w:val="04a0"/>
      </w:tblPr>
      <w:tblGrid>
        <w:gridCol w:w="5380"/>
        <w:gridCol w:w="5104"/>
      </w:tblGrid>
      <w:tr>
        <w:trPr/>
        <w:tc>
          <w:tcPr>
            <w:tcW w:w="53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lang w:val="de-DE" w:eastAsia="en-US" w:bidi="ar-SA"/>
              </w:rPr>
            </w:pPr>
            <w:r>
              <w:rPr>
                <w:rFonts w:cs="Calibri Light" w:ascii="Calibri Light" w:hAnsi="Calibri Light"/>
                <w:b/>
                <w:bCs/>
                <w:color w:val="0070C0"/>
                <w:sz w:val="20"/>
                <w:szCs w:val="20"/>
                <w:lang w:val="de-DE" w:eastAsia="en-US" w:bidi="ar-SA"/>
              </w:rPr>
              <w:t>BF-Schlüsselprioritäten 2019 - 2024</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lang w:val="de-DE" w:eastAsia="en-US" w:bidi="ar-SA"/>
              </w:rPr>
            </w:pPr>
            <w:r>
              <w:rPr>
                <w:rFonts w:cs="Calibri Light" w:ascii="Calibri Light" w:hAnsi="Calibri Light"/>
                <w:b/>
                <w:bCs/>
                <w:sz w:val="20"/>
                <w:szCs w:val="20"/>
                <w:lang w:val="de-DE" w:eastAsia="en-US" w:bidi="ar-SA"/>
              </w:rPr>
              <w:t>HLF CMU-Empfehlungen</w:t>
            </w:r>
          </w:p>
        </w:tc>
      </w:tr>
      <w:tr>
        <w:trPr/>
        <w:tc>
          <w:tcPr>
            <w:tcW w:w="53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color w:val="0070C0"/>
                <w:sz w:val="20"/>
                <w:szCs w:val="20"/>
                <w:lang w:val="de-DE" w:eastAsia="en-US" w:bidi="ar-SA"/>
              </w:rPr>
              <w:t>Besserer Zugang zu einfachen und transparenten Produkten</w:t>
            </w:r>
          </w:p>
          <w:p>
            <w:pPr>
              <w:pStyle w:val="Normal"/>
              <w:spacing w:lineRule="auto" w:line="240" w:before="0" w:after="120"/>
              <w:jc w:val="both"/>
              <w:rPr>
                <w:lang w:val="de-DE" w:eastAsia="en-US" w:bidi="ar-SA"/>
              </w:rPr>
            </w:pPr>
            <w:r>
              <w:rPr>
                <w:rFonts w:cs="Calibri Light" w:ascii="Calibri Light" w:hAnsi="Calibri Light"/>
                <w:sz w:val="20"/>
                <w:szCs w:val="20"/>
                <w:lang w:val="de-DE" w:eastAsia="en-US" w:bidi="ar-SA"/>
              </w:rPr>
              <w:t>1) „Eine bessere Angleichung der Anreize von Anbietern an die Renditen der Kunden durch Minimierung von Interessenkonflikten beim Vertrieb...“</w:t>
            </w:r>
          </w:p>
          <w:p>
            <w:pPr>
              <w:pStyle w:val="Normal"/>
              <w:spacing w:lineRule="auto" w:line="240" w:before="0" w:after="0"/>
              <w:rPr>
                <w:lang w:val="de-DE" w:eastAsia="en-US" w:bidi="ar-SA"/>
              </w:rPr>
            </w:pPr>
            <w:r>
              <w:rPr>
                <w:rFonts w:cs="Calibri Light" w:ascii="Calibri Light" w:hAnsi="Calibri Light"/>
                <w:b/>
                <w:bCs/>
                <w:color w:val="0070C0"/>
                <w:sz w:val="20"/>
                <w:szCs w:val="20"/>
                <w:lang w:val="de-DE" w:eastAsia="en-US" w:bidi="ar-SA"/>
              </w:rPr>
              <w:t>Sicherstellung der Kohärenz aller EU-Bestimmungen zum Schutz der finanziellen Nutzer</w:t>
            </w:r>
          </w:p>
          <w:p>
            <w:pPr>
              <w:pStyle w:val="Normal"/>
              <w:spacing w:lineRule="auto" w:line="240" w:before="0" w:after="0"/>
              <w:jc w:val="both"/>
              <w:rPr>
                <w:lang w:val="de-DE" w:eastAsia="en-US" w:bidi="ar-SA"/>
              </w:rPr>
            </w:pPr>
            <w:r>
              <w:rPr>
                <w:rFonts w:cs="Calibri Light" w:ascii="Calibri Light" w:hAnsi="Calibri Light"/>
                <w:sz w:val="20"/>
                <w:szCs w:val="20"/>
                <w:lang w:val="de-DE" w:eastAsia="en-US" w:bidi="ar-SA"/>
              </w:rPr>
              <w:t>2) „Beseitigung von Inkonsistenzen zwischen bestehenden Vorschriften zum Schutz von Anlegern und Versicherungsnehmern (z. B. MiFID II und PRIIP, IDD und IBIP) (...) insbesondere bei Interessenkonflikten“</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sz w:val="20"/>
                <w:szCs w:val="20"/>
                <w:lang w:val="de-DE" w:eastAsia="en-US" w:bidi="ar-SA"/>
              </w:rPr>
              <w:t>Angelegenheiten &amp; grundlegende Veränderungen:</w:t>
            </w:r>
          </w:p>
          <w:p>
            <w:pPr>
              <w:pStyle w:val="ListParagraph"/>
              <w:numPr>
                <w:ilvl w:val="0"/>
                <w:numId w:val="2"/>
              </w:numPr>
              <w:spacing w:lineRule="auto" w:line="240" w:before="0" w:after="0"/>
              <w:ind w:left="174" w:hanging="218"/>
              <w:rPr>
                <w:lang w:val="de-DE" w:eastAsia="en-US" w:bidi="ar-SA"/>
              </w:rPr>
            </w:pPr>
            <w:r>
              <w:rPr>
                <w:rFonts w:cs="Calibri Light" w:ascii="Calibri Light" w:hAnsi="Calibri Light"/>
                <w:sz w:val="20"/>
                <w:szCs w:val="20"/>
                <w:lang w:val="de-DE" w:eastAsia="en-US" w:bidi="ar-SA"/>
              </w:rPr>
              <w:t>„</w:t>
            </w:r>
            <w:r>
              <w:rPr>
                <w:rFonts w:cs="Calibri Light" w:ascii="Calibri Light" w:hAnsi="Calibri Light"/>
                <w:i/>
                <w:iCs/>
                <w:sz w:val="20"/>
                <w:szCs w:val="20"/>
                <w:lang w:val="de-DE" w:eastAsia="en-US" w:bidi="ar-SA"/>
              </w:rPr>
              <w:t>Notwendigkeit für die Kommission, die Rolle der Anreize zu untersuchen</w:t>
            </w:r>
            <w:r>
              <w:rPr>
                <w:rFonts w:cs="Calibri Light" w:ascii="Calibri Light" w:hAnsi="Calibri Light"/>
                <w:sz w:val="20"/>
                <w:szCs w:val="20"/>
                <w:lang w:val="de-DE" w:eastAsia="en-US" w:bidi="ar-SA"/>
              </w:rPr>
              <w:t>“</w:t>
            </w:r>
          </w:p>
          <w:p>
            <w:pPr>
              <w:pStyle w:val="Default"/>
              <w:numPr>
                <w:ilvl w:val="0"/>
                <w:numId w:val="3"/>
              </w:numPr>
              <w:ind w:left="599" w:hanging="239"/>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Studie über die Rolle von Anreizen für die Angemessenheit der Beratung“</w:t>
            </w:r>
          </w:p>
          <w:p>
            <w:pPr>
              <w:pStyle w:val="ListParagraph"/>
              <w:numPr>
                <w:ilvl w:val="0"/>
                <w:numId w:val="2"/>
              </w:numPr>
              <w:spacing w:lineRule="auto" w:line="240" w:before="0" w:after="0"/>
              <w:ind w:left="174" w:hanging="218"/>
              <w:rPr>
                <w:lang w:val="de-DE" w:eastAsia="en-US" w:bidi="ar-SA"/>
              </w:rPr>
            </w:pPr>
            <w:r>
              <w:rPr>
                <w:rFonts w:cs="Calibri Light" w:ascii="Calibri Light" w:hAnsi="Calibri Light"/>
                <w:sz w:val="20"/>
                <w:szCs w:val="20"/>
                <w:lang w:val="de-DE" w:eastAsia="en-US" w:bidi="ar-SA"/>
              </w:rPr>
              <w:t>„</w:t>
            </w:r>
            <w:r>
              <w:rPr>
                <w:rFonts w:cs="Calibri Light" w:ascii="Calibri Light" w:hAnsi="Calibri Light"/>
                <w:i/>
                <w:iCs/>
                <w:sz w:val="20"/>
                <w:szCs w:val="20"/>
                <w:lang w:val="de-DE" w:eastAsia="en-US" w:bidi="ar-SA"/>
              </w:rPr>
              <w:t>stärker harmonisierte Regeln für Anreize in der sektoriellen Gesetzgebung“</w:t>
            </w:r>
            <w:r>
              <w:rPr>
                <w:rFonts w:cs="Calibri Light" w:ascii="Calibri Light" w:hAnsi="Calibri Light"/>
                <w:sz w:val="20"/>
                <w:szCs w:val="20"/>
                <w:lang w:val="de-DE" w:eastAsia="en-US" w:bidi="ar-SA"/>
              </w:rPr>
              <w:t xml:space="preserve"> </w:t>
            </w:r>
          </w:p>
          <w:p>
            <w:pPr>
              <w:pStyle w:val="Default"/>
              <w:numPr>
                <w:ilvl w:val="0"/>
                <w:numId w:val="3"/>
              </w:numPr>
              <w:ind w:left="599" w:hanging="239"/>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 xml:space="preserve">Änderungen zu IDD, MiFID II zur Verbesserung der Fairness und Qualität der Finanzberatung“ </w:t>
            </w:r>
          </w:p>
        </w:tc>
      </w:tr>
      <w:tr>
        <w:trPr/>
        <w:tc>
          <w:tcPr>
            <w:tcW w:w="53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color w:val="0070C0"/>
                <w:sz w:val="20"/>
                <w:szCs w:val="20"/>
                <w:lang w:val="de-DE" w:eastAsia="en-US" w:bidi="ar-SA"/>
              </w:rPr>
              <w:t>Die europäischen Kapitalmärkte für EU-Bürger als Sparer und Anleger attraktiver gestalten</w:t>
            </w:r>
          </w:p>
          <w:p>
            <w:pPr>
              <w:pStyle w:val="Normal"/>
              <w:spacing w:lineRule="auto" w:line="240" w:before="0" w:after="0"/>
              <w:rPr>
                <w:lang w:val="de-DE" w:eastAsia="en-US" w:bidi="ar-SA"/>
              </w:rPr>
            </w:pPr>
            <w:r>
              <w:rPr>
                <w:rFonts w:cs="Calibri Light" w:ascii="Calibri Light" w:hAnsi="Calibri Light"/>
                <w:sz w:val="20"/>
                <w:szCs w:val="20"/>
                <w:lang w:val="de-DE" w:eastAsia="en-US" w:bidi="ar-SA"/>
              </w:rPr>
              <w:t>3) „Die ordnungsgemäße Durchsetzung der EU-Vorschriften gegen missbräuchliche Verkäufe sicherstellen“</w:t>
            </w:r>
          </w:p>
          <w:p>
            <w:pPr>
              <w:pStyle w:val="Normal"/>
              <w:spacing w:lineRule="auto" w:line="240" w:before="0" w:after="0"/>
              <w:rPr>
                <w:lang w:val="de-DE" w:eastAsia="en-US" w:bidi="ar-SA"/>
              </w:rPr>
            </w:pPr>
            <w:r>
              <w:rPr>
                <w:rFonts w:cs="Calibri Light" w:ascii="Calibri Light" w:hAnsi="Calibri Light"/>
                <w:sz w:val="20"/>
                <w:szCs w:val="20"/>
                <w:lang w:val="de-DE" w:eastAsia="en-US" w:bidi="ar-SA"/>
              </w:rPr>
              <w:t>4) „Steuern als Anreiz einsetzen, nicht als Strafe“</w:t>
            </w:r>
          </w:p>
          <w:p>
            <w:pPr>
              <w:pStyle w:val="Normal"/>
              <w:spacing w:lineRule="auto" w:line="240" w:before="0" w:after="120"/>
              <w:rPr>
                <w:lang w:val="de-DE" w:eastAsia="en-US" w:bidi="ar-SA"/>
              </w:rPr>
            </w:pPr>
            <w:r>
              <w:rPr>
                <w:rFonts w:cs="Calibri Light" w:ascii="Calibri Light" w:hAnsi="Calibri Light"/>
                <w:sz w:val="20"/>
                <w:szCs w:val="20"/>
                <w:lang w:val="de-DE" w:eastAsia="en-US" w:bidi="ar-SA"/>
              </w:rPr>
              <w:t xml:space="preserve">5) „Institutionelle Anleger stärker in die Pflicht nehmen“ </w:t>
            </w:r>
          </w:p>
          <w:p>
            <w:pPr>
              <w:pStyle w:val="Normal"/>
              <w:spacing w:lineRule="auto" w:line="240" w:before="0" w:after="0"/>
              <w:rPr>
                <w:lang w:val="de-DE" w:eastAsia="en-US" w:bidi="ar-SA"/>
              </w:rPr>
            </w:pPr>
            <w:r>
              <w:rPr>
                <w:rFonts w:cs="Calibri Light" w:ascii="Calibri Light" w:hAnsi="Calibri Light"/>
                <w:b/>
                <w:bCs/>
                <w:color w:val="0070C0"/>
                <w:sz w:val="20"/>
                <w:szCs w:val="20"/>
                <w:lang w:val="de-DE" w:eastAsia="en-US" w:bidi="ar-SA"/>
              </w:rPr>
              <w:t>Gewährleistung eines fairen und gleichberechtigten Zugangs zu Rechtsmitteln</w:t>
            </w:r>
          </w:p>
          <w:p>
            <w:pPr>
              <w:pStyle w:val="Normal"/>
              <w:spacing w:lineRule="auto" w:line="240" w:before="0" w:after="0"/>
              <w:rPr>
                <w:lang w:val="de-DE" w:eastAsia="en-US" w:bidi="ar-SA"/>
              </w:rPr>
            </w:pPr>
            <w:r>
              <w:rPr>
                <w:rFonts w:cs="Calibri Light" w:ascii="Calibri Light" w:hAnsi="Calibri Light"/>
                <w:sz w:val="20"/>
                <w:szCs w:val="20"/>
                <w:lang w:val="de-DE" w:eastAsia="en-US" w:bidi="ar-SA"/>
              </w:rPr>
              <w:t>6) „Gemeinsame Regeln für kollektive Instrumente der Rechtsdurchsetzung für alle EU-Anleger einführen“</w:t>
            </w:r>
          </w:p>
          <w:p>
            <w:pPr>
              <w:pStyle w:val="Normal"/>
              <w:spacing w:lineRule="auto" w:line="240" w:before="0" w:after="0"/>
              <w:rPr>
                <w:rFonts w:ascii="Calibri Light" w:hAnsi="Calibri Light" w:cs="Calibri Light"/>
                <w:sz w:val="20"/>
                <w:szCs w:val="20"/>
                <w:lang w:val="de-DE" w:eastAsia="en-US" w:bidi="ar-SA"/>
              </w:rPr>
            </w:pPr>
            <w:r>
              <w:rPr>
                <w:rFonts w:cs="Calibri Light" w:ascii="Calibri Light" w:hAnsi="Calibri Light"/>
                <w:sz w:val="20"/>
                <w:szCs w:val="20"/>
                <w:lang w:val="de-DE" w:eastAsia="en-US" w:bidi="ar-SA"/>
              </w:rPr>
            </w:r>
          </w:p>
          <w:p>
            <w:pPr>
              <w:pStyle w:val="Normal"/>
              <w:spacing w:lineRule="auto" w:line="240" w:before="0" w:after="0"/>
              <w:rPr>
                <w:rFonts w:ascii="Calibri Light" w:hAnsi="Calibri Light" w:cs="Calibri Light"/>
                <w:sz w:val="20"/>
                <w:szCs w:val="20"/>
                <w:lang w:val="de-DE" w:eastAsia="en-US" w:bidi="ar-SA"/>
              </w:rPr>
            </w:pPr>
            <w:r>
              <w:rPr>
                <w:rFonts w:cs="Calibri Light" w:ascii="Calibri Light" w:hAnsi="Calibri Light"/>
                <w:sz w:val="20"/>
                <w:szCs w:val="20"/>
                <w:lang w:val="de-DE" w:eastAsia="en-US" w:bidi="ar-SA"/>
              </w:rPr>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sz w:val="20"/>
                <w:szCs w:val="20"/>
                <w:lang w:val="de-DE" w:eastAsia="en-US" w:bidi="ar-SA"/>
              </w:rPr>
              <w:t>Angelegenheiten &amp; grundlegende Veränderungen:</w:t>
            </w:r>
          </w:p>
          <w:p>
            <w:pPr>
              <w:pStyle w:val="ListParagraph"/>
              <w:numPr>
                <w:ilvl w:val="0"/>
                <w:numId w:val="2"/>
              </w:numPr>
              <w:spacing w:lineRule="auto" w:line="240" w:before="0" w:after="0"/>
              <w:ind w:left="176" w:hanging="214"/>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Das Vertrauen der Bürger in die Kapitalmärkte sollte zusätzlich gestärkt werden, indem sichergestellt wird, dass die Instrumente der kollektiven Rechtsdurchsetzung einen angemessenen Anwendungsbereich haben und wirksam sind.“</w:t>
            </w:r>
          </w:p>
          <w:p>
            <w:pPr>
              <w:pStyle w:val="ListParagraph"/>
              <w:numPr>
                <w:ilvl w:val="1"/>
                <w:numId w:val="2"/>
              </w:numPr>
              <w:spacing w:lineRule="auto" w:line="240" w:before="0" w:after="0"/>
              <w:ind w:left="599" w:hanging="219"/>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b/>
                <w:bCs/>
                <w:i/>
                <w:iCs/>
                <w:sz w:val="20"/>
                <w:szCs w:val="20"/>
                <w:lang w:val="de-DE" w:eastAsia="en-US" w:bidi="ar-SA"/>
              </w:rPr>
              <w:t xml:space="preserve">Das HLF fordert die Mitgesetzgeber auf, private Direktanlagen von Kleinanlegern in Aktien und festverzinsliche Instrumente nicht zu benachteiligen, indem sie sie in den Anwendungsbereich der Richtlinie über Vertretungsklagen zum Schutz der Kollektivinteressen der Verbraucher </w:t>
            </w:r>
            <w:r>
              <w:rPr>
                <w:rFonts w:cs="Calibri Light" w:ascii="Calibri Light" w:hAnsi="Calibri Light"/>
                <w:sz w:val="20"/>
                <w:szCs w:val="20"/>
                <w:lang w:val="de-DE" w:eastAsia="en-US" w:bidi="ar-SA"/>
              </w:rPr>
              <w:t xml:space="preserve">(...) </w:t>
            </w:r>
            <w:r>
              <w:rPr>
                <w:rFonts w:cs="Calibri Light" w:ascii="Calibri Light" w:hAnsi="Calibri Light"/>
                <w:b/>
                <w:bCs/>
                <w:i/>
                <w:iCs/>
                <w:sz w:val="20"/>
                <w:szCs w:val="20"/>
                <w:lang w:val="de-DE" w:eastAsia="en-US" w:bidi="ar-SA"/>
              </w:rPr>
              <w:t>durch die Einbeziehung der Marktmissbrauchsverordnung und der Aktionärsrechterichtlinie in deren Anhang I aufnehmen.“</w:t>
            </w:r>
          </w:p>
          <w:p>
            <w:pPr>
              <w:pStyle w:val="ListParagraph"/>
              <w:numPr>
                <w:ilvl w:val="0"/>
                <w:numId w:val="2"/>
              </w:numPr>
              <w:spacing w:lineRule="auto" w:line="240" w:before="0" w:after="0"/>
              <w:ind w:left="176" w:hanging="214"/>
              <w:jc w:val="both"/>
              <w:rPr>
                <w:lang w:val="de-DE" w:eastAsia="en-US" w:bidi="ar-SA"/>
              </w:rPr>
            </w:pPr>
            <w:r>
              <w:rPr>
                <w:rFonts w:cs="Calibri Light" w:ascii="Calibri Light" w:hAnsi="Calibri Light"/>
                <w:sz w:val="20"/>
                <w:szCs w:val="20"/>
                <w:lang w:val="de-DE" w:eastAsia="en-US" w:bidi="ar-SA"/>
              </w:rPr>
              <w:t>„</w:t>
            </w:r>
            <w:r>
              <w:rPr>
                <w:rFonts w:cs="Calibri Light" w:ascii="Calibri Light" w:hAnsi="Calibri Light"/>
                <w:sz w:val="20"/>
                <w:szCs w:val="20"/>
                <w:lang w:val="de-DE" w:eastAsia="en-US" w:bidi="ar-SA"/>
              </w:rPr>
              <w:t>M</w:t>
            </w:r>
            <w:r>
              <w:rPr>
                <w:rFonts w:cs="Calibri Light" w:ascii="Calibri Light" w:hAnsi="Calibri Light"/>
                <w:i/>
                <w:iCs/>
                <w:sz w:val="20"/>
                <w:szCs w:val="20"/>
                <w:lang w:val="de-DE" w:eastAsia="en-US" w:bidi="ar-SA"/>
              </w:rPr>
              <w:t>angelnde Harmonisierung und Standardisierung der Vorschriften über die Zuteilung von Ansprüchen und die Ausübung von Stimmrechten durch die Aktionäre in den Mitgliedstaaten“</w:t>
            </w:r>
            <w:r>
              <w:rPr>
                <w:rFonts w:cs="Calibri Light" w:ascii="Calibri Light" w:hAnsi="Calibri Light"/>
                <w:sz w:val="20"/>
                <w:szCs w:val="20"/>
                <w:lang w:val="de-DE" w:eastAsia="en-US" w:bidi="ar-SA"/>
              </w:rPr>
              <w:t>.</w:t>
            </w:r>
          </w:p>
          <w:p>
            <w:pPr>
              <w:pStyle w:val="ListParagraph"/>
              <w:numPr>
                <w:ilvl w:val="0"/>
                <w:numId w:val="3"/>
              </w:numPr>
              <w:spacing w:lineRule="auto" w:line="240" w:before="0" w:after="0"/>
              <w:ind w:left="605" w:hanging="245"/>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 xml:space="preserve">Einen Vorschlag für eine Verordnung über Aktionärsrechte vorlegen, um </w:t>
            </w:r>
            <w:r>
              <w:rPr>
                <w:rFonts w:cs="Calibri Light" w:ascii="Calibri Light" w:hAnsi="Calibri Light"/>
                <w:b/>
                <w:bCs/>
                <w:i/>
                <w:iCs/>
                <w:sz w:val="20"/>
                <w:szCs w:val="20"/>
                <w:lang w:val="de-DE" w:eastAsia="en-US" w:bidi="ar-SA"/>
              </w:rPr>
              <w:t xml:space="preserve">eine harmonisierte Definition des Begriffs „Aktionär“ </w:t>
            </w:r>
            <w:r>
              <w:rPr>
                <w:rFonts w:cs="Calibri Light" w:ascii="Calibri Light" w:hAnsi="Calibri Light"/>
                <w:i/>
                <w:iCs/>
                <w:sz w:val="20"/>
                <w:szCs w:val="20"/>
                <w:lang w:val="de-DE" w:eastAsia="en-US" w:bidi="ar-SA"/>
              </w:rPr>
              <w:t xml:space="preserve">auf EU-Ebene </w:t>
            </w:r>
            <w:r>
              <w:rPr>
                <w:rFonts w:cs="Calibri Light" w:ascii="Calibri Light" w:hAnsi="Calibri Light"/>
                <w:b/>
                <w:bCs/>
                <w:i/>
                <w:iCs/>
                <w:sz w:val="20"/>
                <w:szCs w:val="20"/>
                <w:lang w:val="de-DE" w:eastAsia="en-US" w:bidi="ar-SA"/>
              </w:rPr>
              <w:t>zu schaffen“</w:t>
            </w:r>
            <w:r>
              <w:rPr>
                <w:rFonts w:cs="Calibri Light" w:ascii="Calibri Light" w:hAnsi="Calibri Light"/>
                <w:sz w:val="20"/>
                <w:szCs w:val="20"/>
                <w:lang w:val="de-DE" w:eastAsia="en-US" w:bidi="ar-SA"/>
              </w:rPr>
              <w:t>.</w:t>
            </w:r>
          </w:p>
          <w:p>
            <w:pPr>
              <w:pStyle w:val="ListParagraph"/>
              <w:numPr>
                <w:ilvl w:val="0"/>
                <w:numId w:val="2"/>
              </w:numPr>
              <w:spacing w:lineRule="auto" w:line="240" w:before="0" w:after="0"/>
              <w:ind w:left="176" w:hanging="214"/>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Durchführung komplexer und unterschiedlicher Kapitalmaßnahmen in den Mitgliedstaaten ist nach wie vor ineffizient und kostspielig.“</w:t>
            </w:r>
          </w:p>
          <w:p>
            <w:pPr>
              <w:pStyle w:val="ListParagraph"/>
              <w:numPr>
                <w:ilvl w:val="1"/>
                <w:numId w:val="2"/>
              </w:numPr>
              <w:spacing w:lineRule="auto" w:line="240" w:before="0" w:after="0"/>
              <w:ind w:left="599" w:hanging="218"/>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 xml:space="preserve">Die Aktionärsrechterichtlinie 2 (SRD 2) und ihre </w:t>
            </w:r>
            <w:r>
              <w:rPr>
                <w:rFonts w:cs="Calibri Light" w:ascii="Calibri Light" w:hAnsi="Calibri Light"/>
                <w:b/>
                <w:bCs/>
                <w:i/>
                <w:iCs/>
                <w:sz w:val="20"/>
                <w:szCs w:val="20"/>
                <w:lang w:val="de-DE" w:eastAsia="en-US" w:bidi="ar-SA"/>
              </w:rPr>
              <w:t xml:space="preserve">Durchführungsverordnung </w:t>
            </w:r>
            <w:r>
              <w:rPr>
                <w:rFonts w:cs="Calibri Light" w:ascii="Calibri Light" w:hAnsi="Calibri Light"/>
                <w:i/>
                <w:iCs/>
                <w:sz w:val="20"/>
                <w:szCs w:val="20"/>
                <w:lang w:val="de-DE" w:eastAsia="en-US" w:bidi="ar-SA"/>
              </w:rPr>
              <w:t>ändern</w:t>
            </w:r>
            <w:r>
              <w:rPr>
                <w:rFonts w:cs="Calibri Light" w:ascii="Calibri Light" w:hAnsi="Calibri Light"/>
                <w:b/>
                <w:bCs/>
                <w:i/>
                <w:iCs/>
                <w:sz w:val="20"/>
                <w:szCs w:val="20"/>
                <w:lang w:val="de-DE" w:eastAsia="en-US" w:bidi="ar-SA"/>
              </w:rPr>
              <w:t>, um die Interaktion zwischen Anlegern, Intermediären einschließlich Zentralverwahrern, und Emittenten/Beauftragten von Emittenten bei der Ausübung von Stimmrechten und die Abwicklung von Kapitalmaßnahmen noch besser zu klären und  zu harmonisieren.</w:t>
            </w:r>
            <w:r>
              <w:rPr>
                <w:rFonts w:cs="Calibri Light" w:ascii="Calibri Light" w:hAnsi="Calibri Light"/>
                <w:i/>
                <w:iCs/>
                <w:sz w:val="20"/>
                <w:szCs w:val="20"/>
                <w:lang w:val="de-DE" w:eastAsia="en-US" w:bidi="ar-SA"/>
              </w:rPr>
              <w:t>“</w:t>
            </w:r>
          </w:p>
          <w:p>
            <w:pPr>
              <w:pStyle w:val="ListParagraph"/>
              <w:numPr>
                <w:ilvl w:val="0"/>
                <w:numId w:val="2"/>
              </w:numPr>
              <w:spacing w:lineRule="auto" w:line="240" w:before="0" w:after="0"/>
              <w:ind w:left="174" w:hanging="218"/>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Nutzung neuer Technologien bietet das Potenzial, Effizienzsteigerungen (...) zu erzielen und die Ausübung der Aktionärsrechte in einem grenzüberschreitenden Kontext zu erleichtern.“</w:t>
            </w:r>
          </w:p>
          <w:p>
            <w:pPr>
              <w:pStyle w:val="ListParagraph"/>
              <w:numPr>
                <w:ilvl w:val="0"/>
                <w:numId w:val="3"/>
              </w:numPr>
              <w:spacing w:lineRule="auto" w:line="240" w:before="0" w:after="0"/>
              <w:ind w:left="599" w:hanging="239"/>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b/>
                <w:bCs/>
                <w:i/>
                <w:iCs/>
                <w:sz w:val="20"/>
                <w:szCs w:val="20"/>
                <w:lang w:val="de-DE" w:eastAsia="en-US" w:bidi="ar-SA"/>
              </w:rPr>
              <w:t>Die Nutzung neuer digitaler Technologien  erleichtern</w:t>
            </w:r>
            <w:r>
              <w:rPr>
                <w:rFonts w:cs="Calibri Light" w:ascii="Calibri Light" w:hAnsi="Calibri Light"/>
                <w:i/>
                <w:iCs/>
                <w:sz w:val="20"/>
                <w:szCs w:val="20"/>
                <w:lang w:val="de-DE" w:eastAsia="en-US" w:bidi="ar-SA"/>
              </w:rPr>
              <w:t xml:space="preserve">, um (i) </w:t>
            </w:r>
            <w:r>
              <w:rPr>
                <w:rFonts w:cs="Calibri Light" w:ascii="Calibri Light" w:hAnsi="Calibri Light"/>
                <w:b/>
                <w:bCs/>
                <w:i/>
                <w:iCs/>
                <w:sz w:val="20"/>
                <w:szCs w:val="20"/>
                <w:lang w:val="de-DE" w:eastAsia="en-US" w:bidi="ar-SA"/>
              </w:rPr>
              <w:t xml:space="preserve">ein breiteres Engagement von Anlegern </w:t>
            </w:r>
            <w:r>
              <w:rPr>
                <w:rFonts w:cs="Calibri Light" w:ascii="Calibri Light" w:hAnsi="Calibri Light"/>
                <w:i/>
                <w:iCs/>
                <w:sz w:val="20"/>
                <w:szCs w:val="20"/>
                <w:lang w:val="de-DE" w:eastAsia="en-US" w:bidi="ar-SA"/>
              </w:rPr>
              <w:t xml:space="preserve">zu ermöglichen </w:t>
            </w:r>
            <w:r>
              <w:rPr>
                <w:rFonts w:cs="Calibri Light" w:ascii="Calibri Light" w:hAnsi="Calibri Light"/>
                <w:sz w:val="20"/>
                <w:szCs w:val="20"/>
                <w:lang w:val="de-DE" w:eastAsia="en-US" w:bidi="ar-SA"/>
              </w:rPr>
              <w:t xml:space="preserve">(...) </w:t>
            </w:r>
            <w:r>
              <w:rPr>
                <w:rFonts w:cs="Calibri Light" w:ascii="Calibri Light" w:hAnsi="Calibri Light"/>
                <w:i/>
                <w:iCs/>
                <w:sz w:val="20"/>
                <w:szCs w:val="20"/>
                <w:lang w:val="de-DE" w:eastAsia="en-US" w:bidi="ar-SA"/>
              </w:rPr>
              <w:t xml:space="preserve">und (ii) </w:t>
            </w:r>
            <w:r>
              <w:rPr>
                <w:rFonts w:cs="Calibri Light" w:ascii="Calibri Light" w:hAnsi="Calibri Light"/>
                <w:b/>
                <w:bCs/>
                <w:i/>
                <w:iCs/>
                <w:sz w:val="20"/>
                <w:szCs w:val="20"/>
                <w:lang w:val="de-DE" w:eastAsia="en-US" w:bidi="ar-SA"/>
              </w:rPr>
              <w:t>die Verfahren für Kapitalmaßnahmen und Hauptversammlungen effizienter zu gestalten.</w:t>
            </w:r>
            <w:r>
              <w:rPr>
                <w:rFonts w:cs="Calibri Light" w:ascii="Calibri Light" w:hAnsi="Calibri Light"/>
                <w:i/>
                <w:iCs/>
                <w:sz w:val="20"/>
                <w:szCs w:val="20"/>
                <w:lang w:val="de-DE" w:eastAsia="en-US" w:bidi="ar-SA"/>
              </w:rPr>
              <w:t>“</w:t>
            </w:r>
          </w:p>
          <w:p>
            <w:pPr>
              <w:pStyle w:val="ListParagraph"/>
              <w:numPr>
                <w:ilvl w:val="0"/>
                <w:numId w:val="4"/>
              </w:numPr>
              <w:spacing w:lineRule="auto" w:line="240" w:before="0" w:after="0"/>
              <w:ind w:left="174" w:hanging="174"/>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Ein einheitliches EU-weites System würde es ermöglichen, bei der Quellensteuer auf Kapitalerträge eine sofortige Entlastung an der Quelle zu erhalten.“</w:t>
            </w:r>
          </w:p>
          <w:p>
            <w:pPr>
              <w:pStyle w:val="ListParagraph"/>
              <w:numPr>
                <w:ilvl w:val="0"/>
                <w:numId w:val="5"/>
              </w:numPr>
              <w:spacing w:lineRule="auto" w:line="240" w:before="0" w:after="0"/>
              <w:ind w:left="599" w:hanging="218"/>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Kommission wird aufgefordert, im EU-Recht gemeinsame Definitionen, gemeinsame Verfahren und ein einheitliches Formular für Quellensteuererleichterungen an der Quelle und deren Straffung festzulegen.“</w:t>
            </w:r>
          </w:p>
          <w:p>
            <w:pPr>
              <w:pStyle w:val="ListParagraph"/>
              <w:numPr>
                <w:ilvl w:val="0"/>
                <w:numId w:val="4"/>
              </w:numPr>
              <w:spacing w:lineRule="auto" w:line="240" w:before="0" w:after="0"/>
              <w:ind w:left="174" w:hanging="174"/>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EU leidet unter einem chronischen Mangel an Finanzmitteln für Unternehmen, die das Potenzial haben, zu globalen Akteuren heranzuwachsen, sowie für langfristige Investitionen, die für die ökologische Nachhaltigkeit erforderlich sind“.</w:t>
            </w:r>
          </w:p>
          <w:p>
            <w:pPr>
              <w:pStyle w:val="ListParagraph"/>
              <w:numPr>
                <w:ilvl w:val="1"/>
                <w:numId w:val="4"/>
              </w:numPr>
              <w:spacing w:lineRule="auto" w:line="240" w:before="0" w:after="0"/>
              <w:ind w:left="599" w:hanging="218"/>
              <w:jc w:val="both"/>
              <w:rPr>
                <w:rFonts w:ascii="Calibri Light" w:hAnsi="Calibri Light" w:cs="Calibri Light"/>
                <w:i/>
                <w:i/>
                <w:iCs/>
                <w:sz w:val="20"/>
                <w:szCs w:val="20"/>
              </w:rPr>
            </w:pPr>
            <w:r>
              <w:rPr>
                <w:rFonts w:cs="Calibri Light" w:ascii="Calibri Light" w:hAnsi="Calibri Light"/>
                <w:sz w:val="20"/>
                <w:szCs w:val="20"/>
                <w:lang w:val="de-DE" w:eastAsia="en-US" w:bidi="ar-SA"/>
              </w:rPr>
              <w:t>„</w:t>
            </w:r>
            <w:r>
              <w:rPr>
                <w:rFonts w:cs="Calibri Light" w:ascii="Calibri Light" w:hAnsi="Calibri Light"/>
                <w:i/>
                <w:iCs/>
                <w:sz w:val="20"/>
                <w:szCs w:val="20"/>
                <w:lang w:val="de-DE" w:eastAsia="en-US" w:bidi="ar-SA"/>
              </w:rPr>
              <w:t xml:space="preserve">Die Mitgliedstaaten werden aufgefordert, die für Europäische langfristige Investmentfonds (ELTIF) geltenden Steuervorschriften und/oder </w:t>
            </w:r>
            <w:r>
              <w:rPr>
                <w:rFonts w:cs="Calibri Light" w:ascii="Calibri Light" w:hAnsi="Calibri Light"/>
                <w:b w:val="false"/>
                <w:bCs w:val="false"/>
                <w:i/>
                <w:iCs/>
                <w:sz w:val="20"/>
                <w:szCs w:val="20"/>
                <w:lang w:val="de-DE" w:eastAsia="en-US" w:bidi="ar-SA"/>
              </w:rPr>
              <w:t>die</w:t>
            </w:r>
            <w:r>
              <w:rPr>
                <w:rFonts w:cs="Calibri Light" w:ascii="Calibri Light" w:hAnsi="Calibri Light"/>
                <w:i/>
                <w:iCs/>
                <w:sz w:val="20"/>
                <w:szCs w:val="20"/>
                <w:lang w:val="de-DE" w:eastAsia="en-US" w:bidi="ar-SA"/>
              </w:rPr>
              <w:t xml:space="preserve"> steuerliche Vorzugsbehandlung für ELTIF zu vereinfachen. Darüber hinaus sollten die Mitgliedstaaten steuerliche Anreize in Betracht ziehen, um langfristige Investitionen in KMU durch ELTIF zu fördern“.</w:t>
            </w:r>
          </w:p>
        </w:tc>
      </w:tr>
      <w:tr>
        <w:trPr/>
        <w:tc>
          <w:tcPr>
            <w:tcW w:w="53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color w:val="0070C0"/>
                <w:sz w:val="20"/>
                <w:szCs w:val="20"/>
                <w:lang w:val="de-DE" w:eastAsia="en-US" w:bidi="ar-SA"/>
              </w:rPr>
              <w:t>Verbesserung der Wettbewerbsfähigkeit der europäischen Kapitalmärkte für KMU</w:t>
            </w:r>
          </w:p>
          <w:p>
            <w:pPr>
              <w:pStyle w:val="Normal"/>
              <w:spacing w:lineRule="auto" w:line="240" w:before="0" w:after="0"/>
              <w:rPr>
                <w:lang w:val="de-DE" w:eastAsia="en-US" w:bidi="ar-SA"/>
              </w:rPr>
            </w:pPr>
            <w:r>
              <w:rPr>
                <w:rFonts w:cs="Calibri Light" w:ascii="Calibri Light" w:hAnsi="Calibri Light"/>
                <w:sz w:val="20"/>
                <w:szCs w:val="20"/>
                <w:lang w:val="de-DE" w:eastAsia="en-US" w:bidi="ar-SA"/>
              </w:rPr>
              <w:t>7) „Die Attraktivität der EU-Börsen für KMU in der EU erhöhen“</w:t>
            </w:r>
          </w:p>
          <w:p>
            <w:pPr>
              <w:pStyle w:val="Normal"/>
              <w:spacing w:lineRule="auto" w:line="240" w:before="0" w:after="0"/>
              <w:rPr>
                <w:lang w:val="de-DE" w:eastAsia="en-US" w:bidi="ar-SA"/>
              </w:rPr>
            </w:pPr>
            <w:r>
              <w:rPr>
                <w:rFonts w:cs="Calibri Light" w:ascii="Calibri Light" w:hAnsi="Calibri Light"/>
                <w:sz w:val="20"/>
                <w:szCs w:val="20"/>
                <w:lang w:val="de-DE" w:eastAsia="en-US" w:bidi="ar-SA"/>
              </w:rPr>
              <w:t>8) „Den IPO-Markt in Kontinentaleuropa stärken ...“</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sz w:val="20"/>
                <w:szCs w:val="20"/>
                <w:lang w:val="de-DE" w:eastAsia="en-US" w:bidi="ar-SA"/>
              </w:rPr>
              <w:t>Angelegenheiten &amp; grundlegende Veränderungen:</w:t>
            </w:r>
          </w:p>
          <w:p>
            <w:pPr>
              <w:pStyle w:val="ListParagraph"/>
              <w:numPr>
                <w:ilvl w:val="0"/>
                <w:numId w:val="6"/>
              </w:numPr>
              <w:spacing w:lineRule="auto" w:line="240" w:before="0" w:after="0"/>
              <w:ind w:left="173" w:hanging="218"/>
              <w:jc w:val="both"/>
              <w:rPr>
                <w:lang w:val="de-DE" w:eastAsia="en-US" w:bidi="ar-SA"/>
              </w:rPr>
            </w:pPr>
            <w:r>
              <w:rPr>
                <w:rFonts w:cs="Calibri Light" w:ascii="Calibri Light" w:hAnsi="Calibri Light"/>
                <w:sz w:val="20"/>
                <w:szCs w:val="20"/>
                <w:lang w:val="de-DE" w:eastAsia="en-US" w:bidi="ar-SA"/>
              </w:rPr>
              <w:t>„</w:t>
            </w:r>
            <w:r>
              <w:rPr>
                <w:rFonts w:cs="Calibri Light" w:ascii="Calibri Light" w:hAnsi="Calibri Light"/>
                <w:i/>
                <w:iCs/>
                <w:sz w:val="20"/>
                <w:szCs w:val="20"/>
                <w:lang w:val="de-DE" w:eastAsia="en-US" w:bidi="ar-SA"/>
              </w:rPr>
              <w:t>Wenn sichergestellt wird, dass KMU nicht mit einem unverhältnismäßig hohen Verwaltungsaufwand und unverhältnismäßigen Kosten für die Einhaltung der Börsennotierungsanforderungen, einschließlich Marktmissbrauch, konfrontiert werden, wird dies ihre Zurückhaltung bei Börsennotierungen auf öffentlichen Märkten verringern.“</w:t>
            </w:r>
          </w:p>
          <w:p>
            <w:pPr>
              <w:pStyle w:val="ListParagraph"/>
              <w:numPr>
                <w:ilvl w:val="1"/>
                <w:numId w:val="4"/>
              </w:numPr>
              <w:spacing w:lineRule="auto" w:line="240" w:before="0" w:after="0"/>
              <w:ind w:left="599" w:hanging="218"/>
              <w:jc w:val="both"/>
              <w:rPr>
                <w:lang w:val="de-DE" w:eastAsia="en-US" w:bidi="ar-SA"/>
              </w:rPr>
            </w:pPr>
            <w:r>
              <w:rPr>
                <w:rFonts w:cs="Calibri Light" w:ascii="Calibri Light" w:hAnsi="Calibri Light"/>
                <w:sz w:val="20"/>
                <w:szCs w:val="20"/>
                <w:lang w:val="de-DE" w:eastAsia="en-US" w:bidi="ar-SA"/>
              </w:rPr>
              <w:t>neue Definition für KMU („</w:t>
            </w:r>
            <w:r>
              <w:rPr>
                <w:rFonts w:cs="Calibri Light" w:ascii="Calibri Light" w:hAnsi="Calibri Light"/>
                <w:b w:val="false"/>
                <w:bCs w:val="false"/>
                <w:i/>
                <w:iCs/>
                <w:sz w:val="20"/>
                <w:szCs w:val="20"/>
                <w:lang w:val="de-DE" w:eastAsia="en-US" w:bidi="ar-SA"/>
              </w:rPr>
              <w:t>börsennotierte Gesellschaften mit geringer oder mittl</w:t>
            </w:r>
            <w:r>
              <w:rPr>
                <w:rFonts w:cs="Calibri Light" w:ascii="Calibri Light" w:hAnsi="Calibri Light"/>
                <w:i/>
                <w:iCs/>
                <w:sz w:val="20"/>
                <w:szCs w:val="20"/>
                <w:lang w:val="de-DE" w:eastAsia="en-US" w:bidi="ar-SA"/>
              </w:rPr>
              <w:t>erer Kapitalisierung“)</w:t>
            </w:r>
            <w:r>
              <w:rPr>
                <w:rFonts w:cs="Calibri Light" w:ascii="Calibri Light" w:hAnsi="Calibri Light"/>
                <w:sz w:val="20"/>
                <w:szCs w:val="20"/>
                <w:lang w:val="de-DE" w:eastAsia="en-US" w:bidi="ar-SA"/>
              </w:rPr>
              <w:t>;</w:t>
            </w:r>
          </w:p>
          <w:p>
            <w:pPr>
              <w:pStyle w:val="ListParagraph"/>
              <w:numPr>
                <w:ilvl w:val="1"/>
                <w:numId w:val="4"/>
              </w:numPr>
              <w:spacing w:lineRule="auto" w:line="240" w:before="0" w:after="0"/>
              <w:ind w:left="599" w:hanging="218"/>
              <w:jc w:val="both"/>
              <w:rPr>
                <w:lang w:val="de-DE" w:eastAsia="en-US" w:bidi="ar-SA"/>
              </w:rPr>
            </w:pPr>
            <w:r>
              <w:rPr>
                <w:rFonts w:cs="Calibri Light" w:ascii="Calibri Light" w:hAnsi="Calibri Light"/>
                <w:sz w:val="20"/>
                <w:szCs w:val="20"/>
                <w:lang w:val="de-DE" w:eastAsia="en-US" w:bidi="ar-SA"/>
              </w:rPr>
              <w:t>„</w:t>
            </w:r>
            <w:r>
              <w:rPr>
                <w:rFonts w:cs="Calibri Light" w:ascii="Calibri Light" w:hAnsi="Calibri Light"/>
                <w:b/>
                <w:bCs/>
                <w:i/>
                <w:iCs/>
                <w:sz w:val="20"/>
                <w:szCs w:val="20"/>
                <w:lang w:val="de-DE" w:eastAsia="en-US" w:bidi="ar-SA"/>
              </w:rPr>
              <w:t>Übergangsfristen beim Börsengang</w:t>
            </w:r>
            <w:r>
              <w:rPr>
                <w:rFonts w:cs="Calibri Light" w:ascii="Calibri Light" w:hAnsi="Calibri Light"/>
                <w:i/>
                <w:iCs/>
                <w:sz w:val="20"/>
                <w:szCs w:val="20"/>
                <w:lang w:val="de-DE" w:eastAsia="en-US" w:bidi="ar-SA"/>
              </w:rPr>
              <w:t>“</w:t>
            </w:r>
            <w:r>
              <w:rPr>
                <w:rFonts w:cs="Calibri Light" w:ascii="Calibri Light" w:hAnsi="Calibri Light"/>
                <w:sz w:val="20"/>
                <w:szCs w:val="20"/>
                <w:lang w:val="de-DE" w:eastAsia="en-US" w:bidi="ar-SA"/>
              </w:rPr>
              <w:t xml:space="preserve"> durch Erleichterung der Anforderungen an die Börsennotierung, um „</w:t>
            </w:r>
            <w:r>
              <w:rPr>
                <w:rFonts w:cs="Calibri Light" w:ascii="Calibri Light" w:hAnsi="Calibri Light"/>
                <w:i/>
                <w:iCs/>
                <w:sz w:val="20"/>
                <w:szCs w:val="20"/>
                <w:lang w:val="de-DE" w:eastAsia="en-US" w:bidi="ar-SA"/>
              </w:rPr>
              <w:t>in den Genuss einer Übergangsfrist von bis zu maximal 5 Jahren für die Anwendung bestimmter Elemente der einschlägigen Gesetzgebung zu kommen“</w:t>
            </w:r>
            <w:r>
              <w:rPr>
                <w:rFonts w:cs="Calibri Light" w:ascii="Calibri Light" w:hAnsi="Calibri Light"/>
                <w:sz w:val="20"/>
                <w:szCs w:val="20"/>
                <w:lang w:val="de-DE" w:eastAsia="en-US" w:bidi="ar-SA"/>
              </w:rPr>
              <w:t>.</w:t>
            </w:r>
          </w:p>
          <w:p>
            <w:pPr>
              <w:pStyle w:val="ListParagraph"/>
              <w:numPr>
                <w:ilvl w:val="1"/>
                <w:numId w:val="4"/>
              </w:numPr>
              <w:spacing w:lineRule="auto" w:line="240" w:before="0" w:after="0"/>
              <w:ind w:left="599" w:hanging="218"/>
              <w:jc w:val="both"/>
              <w:rPr>
                <w:lang w:val="de-DE" w:eastAsia="en-US" w:bidi="ar-SA"/>
              </w:rPr>
            </w:pPr>
            <w:r>
              <w:rPr>
                <w:rFonts w:cs="Calibri Light" w:ascii="Calibri Light" w:hAnsi="Calibri Light"/>
                <w:sz w:val="20"/>
                <w:szCs w:val="20"/>
                <w:lang w:val="de-DE" w:eastAsia="en-US" w:bidi="ar-SA"/>
              </w:rPr>
              <w:t>„</w:t>
            </w:r>
            <w:r>
              <w:rPr>
                <w:rFonts w:cs="Calibri Light" w:ascii="Calibri Light" w:hAnsi="Calibri Light"/>
                <w:b/>
                <w:bCs/>
                <w:i/>
                <w:iCs/>
                <w:sz w:val="20"/>
                <w:szCs w:val="20"/>
                <w:lang w:val="de-DE" w:eastAsia="en-US" w:bidi="ar-SA"/>
              </w:rPr>
              <w:t>Schaffung eines EU-weiten öffentlich-privaten IPO-Fonds, der von der EU unterstützt wird.</w:t>
            </w:r>
            <w:r>
              <w:rPr>
                <w:rFonts w:cs="Calibri Light" w:ascii="Calibri Light" w:hAnsi="Calibri Light"/>
                <w:i/>
                <w:iCs/>
                <w:sz w:val="20"/>
                <w:szCs w:val="20"/>
                <w:lang w:val="de-DE" w:eastAsia="en-US" w:bidi="ar-SA"/>
              </w:rPr>
              <w:t>“</w:t>
            </w:r>
          </w:p>
          <w:p>
            <w:pPr>
              <w:pStyle w:val="ListParagraph"/>
              <w:numPr>
                <w:ilvl w:val="1"/>
                <w:numId w:val="4"/>
              </w:numPr>
              <w:spacing w:lineRule="auto" w:line="240" w:before="0" w:after="0"/>
              <w:ind w:left="599" w:hanging="218"/>
              <w:jc w:val="both"/>
              <w:rPr>
                <w:lang w:val="de-DE" w:eastAsia="en-US" w:bidi="ar-SA"/>
              </w:rPr>
            </w:pPr>
            <w:r>
              <w:rPr>
                <w:rFonts w:cs="Calibri Light" w:ascii="Calibri Light" w:hAnsi="Calibri Light"/>
                <w:sz w:val="20"/>
                <w:szCs w:val="20"/>
                <w:lang w:val="de-DE" w:eastAsia="en-US" w:bidi="ar-SA"/>
              </w:rPr>
              <w:t>„</w:t>
            </w:r>
            <w:r>
              <w:rPr>
                <w:rFonts w:cs="Calibri Light" w:ascii="Calibri Light" w:hAnsi="Calibri Light"/>
                <w:b/>
                <w:bCs/>
                <w:i/>
                <w:iCs/>
                <w:sz w:val="20"/>
                <w:szCs w:val="20"/>
                <w:lang w:val="de-DE" w:eastAsia="en-US" w:bidi="ar-SA"/>
              </w:rPr>
              <w:t>Forschung in KMU von der Entflechtungsvorschrift in MiFID II ausnehmen.</w:t>
            </w:r>
            <w:r>
              <w:rPr>
                <w:rFonts w:cs="Calibri Light" w:ascii="Calibri Light" w:hAnsi="Calibri Light"/>
                <w:sz w:val="20"/>
                <w:szCs w:val="20"/>
                <w:lang w:val="de-DE" w:eastAsia="en-US" w:bidi="ar-SA"/>
              </w:rPr>
              <w:t>“</w:t>
            </w:r>
          </w:p>
          <w:p>
            <w:pPr>
              <w:pStyle w:val="ListParagraph"/>
              <w:numPr>
                <w:ilvl w:val="1"/>
                <w:numId w:val="4"/>
              </w:numPr>
              <w:spacing w:lineRule="auto" w:line="240" w:before="0" w:after="0"/>
              <w:ind w:left="599" w:hanging="218"/>
              <w:jc w:val="both"/>
              <w:rPr>
                <w:lang w:val="de-DE" w:eastAsia="en-US" w:bidi="ar-SA"/>
              </w:rPr>
            </w:pPr>
            <w:r>
              <w:rPr>
                <w:rFonts w:cs="Calibri Light" w:ascii="Calibri Light" w:hAnsi="Calibri Light"/>
                <w:b/>
                <w:bCs/>
                <w:i/>
                <w:iCs/>
                <w:sz w:val="20"/>
                <w:szCs w:val="20"/>
                <w:lang w:val="de-DE" w:eastAsia="en-US" w:bidi="ar-SA"/>
              </w:rPr>
              <w:t>„</w:t>
            </w:r>
            <w:r>
              <w:rPr>
                <w:rFonts w:cs="Calibri Light" w:ascii="Calibri Light" w:hAnsi="Calibri Light"/>
                <w:b/>
                <w:bCs/>
                <w:i/>
                <w:iCs/>
                <w:sz w:val="20"/>
                <w:szCs w:val="20"/>
                <w:lang w:val="de-DE" w:eastAsia="en-US" w:bidi="ar-SA"/>
              </w:rPr>
              <w:t>Prospekterleichterungen“</w:t>
            </w:r>
            <w:r>
              <w:rPr>
                <w:rFonts w:cs="Calibri Light" w:ascii="Calibri Light" w:hAnsi="Calibri Light"/>
                <w:b/>
                <w:bCs/>
                <w:sz w:val="20"/>
                <w:szCs w:val="20"/>
                <w:lang w:val="de-DE" w:eastAsia="en-US" w:bidi="ar-SA"/>
              </w:rPr>
              <w:t xml:space="preserve"> </w:t>
            </w:r>
            <w:r>
              <w:rPr>
                <w:rFonts w:cs="Calibri Light" w:ascii="Calibri Light" w:hAnsi="Calibri Light"/>
                <w:b w:val="false"/>
                <w:bCs w:val="false"/>
                <w:sz w:val="20"/>
                <w:szCs w:val="20"/>
                <w:lang w:val="de-DE" w:eastAsia="en-US" w:bidi="ar-SA"/>
              </w:rPr>
              <w:t xml:space="preserve">in Bezug auf </w:t>
            </w:r>
            <w:r>
              <w:rPr>
                <w:rFonts w:cs="Calibri Light" w:ascii="Calibri Light" w:hAnsi="Calibri Light"/>
                <w:sz w:val="20"/>
                <w:szCs w:val="20"/>
                <w:lang w:val="de-DE" w:eastAsia="en-US" w:bidi="ar-SA"/>
              </w:rPr>
              <w:t>Fristen, Dauer, Schwellenwerte und Passporting.</w:t>
            </w:r>
          </w:p>
          <w:p>
            <w:pPr>
              <w:pStyle w:val="ListParagraph"/>
              <w:numPr>
                <w:ilvl w:val="0"/>
                <w:numId w:val="6"/>
              </w:numPr>
              <w:spacing w:lineRule="auto" w:line="240" w:before="0" w:after="0"/>
              <w:ind w:left="173" w:hanging="218"/>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Der Mangel an leicht zugänglichen, zuverlässigen, verständlichen und vergleichbaren öffentlichen Informationen ist einer der Gründe, warum Unternehmen (...) Schwierigkeiten haben, Investoren anzuwerben.“</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Vorschlag für eine Gesetzgebung für die ESMA zur Einrichtung einer EU-weiten digitalen Plattform für den Zugang (einheitlicher europäischer Zugangspunkt, EU Single Access Point oder „ESAP“) zu öffentlichen finanziellen und nicht-finanziellen Informationen von Unternehmen sowie zu anderen Finanzprodukten oder tätigkeitsbezogenen öffentlichen Informationen.“</w:t>
            </w:r>
          </w:p>
        </w:tc>
      </w:tr>
      <w:tr>
        <w:trPr/>
        <w:tc>
          <w:tcPr>
            <w:tcW w:w="53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lang w:val="de-DE" w:eastAsia="en-US" w:bidi="ar-SA"/>
              </w:rPr>
            </w:pPr>
            <w:r>
              <w:rPr>
                <w:rFonts w:cs="Calibri Light" w:ascii="Calibri Light" w:hAnsi="Calibri Light"/>
                <w:b/>
                <w:bCs/>
                <w:color w:val="0070C0"/>
                <w:sz w:val="20"/>
                <w:szCs w:val="20"/>
                <w:lang w:val="de-DE" w:eastAsia="en-US" w:bidi="ar-SA"/>
              </w:rPr>
              <w:t>Besserer Zugang zu vergleichbaren, redlichen, eindeutigen und nicht irreführenden Informationen</w:t>
            </w:r>
          </w:p>
          <w:p>
            <w:pPr>
              <w:pStyle w:val="Normal"/>
              <w:spacing w:lineRule="auto" w:line="240" w:before="0" w:after="0"/>
              <w:rPr>
                <w:rFonts w:ascii="Calibri Light" w:hAnsi="Calibri Light" w:cs="Calibri Light"/>
                <w:b/>
                <w:b/>
                <w:bCs/>
                <w:sz w:val="20"/>
                <w:szCs w:val="20"/>
              </w:rPr>
            </w:pPr>
            <w:r>
              <w:rPr>
                <w:rFonts w:cs="Calibri Light" w:ascii="Calibri Light" w:hAnsi="Calibri Light"/>
                <w:sz w:val="20"/>
                <w:szCs w:val="20"/>
                <w:lang w:val="de-DE" w:eastAsia="en-US" w:bidi="ar-SA"/>
              </w:rPr>
              <w:t xml:space="preserve">9) „(...) </w:t>
            </w:r>
            <w:r>
              <w:rPr>
                <w:rFonts w:cs="Calibri Light" w:ascii="Calibri Light" w:hAnsi="Calibri Light"/>
                <w:b/>
                <w:bCs/>
                <w:sz w:val="20"/>
                <w:szCs w:val="20"/>
                <w:lang w:val="de-DE" w:eastAsia="en-US" w:bidi="ar-SA"/>
              </w:rPr>
              <w:t>Dringende Überprüfung der PRIIP-Verordnung“</w:t>
            </w:r>
          </w:p>
          <w:p>
            <w:pPr>
              <w:pStyle w:val="Normal"/>
              <w:spacing w:lineRule="auto" w:line="240" w:before="0" w:after="0"/>
              <w:rPr>
                <w:lang w:val="de-DE" w:eastAsia="en-US" w:bidi="ar-SA"/>
              </w:rPr>
            </w:pPr>
            <w:r>
              <w:rPr>
                <w:rFonts w:cs="Calibri Light" w:ascii="Calibri Light" w:hAnsi="Calibri Light"/>
                <w:sz w:val="20"/>
                <w:szCs w:val="20"/>
                <w:lang w:val="de-DE" w:eastAsia="en-US" w:bidi="ar-SA"/>
              </w:rPr>
              <w:t>10) „</w:t>
            </w:r>
            <w:r>
              <w:rPr>
                <w:rFonts w:cs="Calibri Light" w:ascii="Calibri Light" w:hAnsi="Calibri Light"/>
                <w:b/>
                <w:bCs/>
                <w:sz w:val="20"/>
                <w:szCs w:val="20"/>
                <w:lang w:val="de-DE" w:eastAsia="en-US" w:bidi="ar-SA"/>
              </w:rPr>
              <w:t xml:space="preserve">Vereinfachung </w:t>
            </w:r>
            <w:r>
              <w:rPr>
                <w:rFonts w:cs="Calibri Light" w:ascii="Calibri Light" w:hAnsi="Calibri Light"/>
                <w:sz w:val="20"/>
                <w:szCs w:val="20"/>
                <w:lang w:val="de-DE" w:eastAsia="en-US" w:bidi="ar-SA"/>
              </w:rPr>
              <w:t>und Standardisierung der Basisinformationsblätter“</w:t>
            </w:r>
          </w:p>
          <w:p>
            <w:pPr>
              <w:pStyle w:val="Normal"/>
              <w:spacing w:lineRule="auto" w:line="240" w:before="0" w:after="0"/>
              <w:rPr>
                <w:lang w:val="de-DE" w:eastAsia="en-US" w:bidi="ar-SA"/>
              </w:rPr>
            </w:pPr>
            <w:r>
              <w:rPr>
                <w:rFonts w:cs="Calibri Light" w:ascii="Calibri Light" w:hAnsi="Calibri Light"/>
                <w:sz w:val="20"/>
                <w:szCs w:val="20"/>
                <w:lang w:val="de-DE" w:eastAsia="en-US" w:bidi="ar-SA"/>
              </w:rPr>
              <w:t xml:space="preserve">11) „Schaffung öffentlicher oder zumindest unabhängiger </w:t>
            </w:r>
            <w:r>
              <w:rPr>
                <w:rFonts w:cs="Calibri Light" w:ascii="Calibri Light" w:hAnsi="Calibri Light"/>
                <w:b/>
                <w:bCs/>
                <w:sz w:val="20"/>
                <w:szCs w:val="20"/>
                <w:lang w:val="de-DE" w:eastAsia="en-US" w:bidi="ar-SA"/>
              </w:rPr>
              <w:t>EU-weiter webbasierter Vergleichsinstrumente</w:t>
            </w:r>
            <w:r>
              <w:rPr>
                <w:rFonts w:cs="Calibri Light" w:ascii="Calibri Light" w:hAnsi="Calibri Light"/>
                <w:sz w:val="20"/>
                <w:szCs w:val="20"/>
                <w:lang w:val="de-DE" w:eastAsia="en-US" w:bidi="ar-SA"/>
              </w:rPr>
              <w:t>“</w:t>
            </w:r>
          </w:p>
          <w:p>
            <w:pPr>
              <w:pStyle w:val="Normal"/>
              <w:spacing w:lineRule="auto" w:line="240" w:before="0" w:after="0"/>
              <w:rPr>
                <w:lang w:val="de-DE" w:eastAsia="en-US" w:bidi="ar-SA"/>
              </w:rPr>
            </w:pPr>
            <w:r>
              <w:rPr>
                <w:rFonts w:cs="Calibri Light" w:ascii="Calibri Light" w:hAnsi="Calibri Light"/>
                <w:sz w:val="20"/>
                <w:szCs w:val="20"/>
                <w:lang w:val="de-DE" w:eastAsia="en-US" w:bidi="ar-SA"/>
              </w:rPr>
              <w:t xml:space="preserve">12) „Unterscheidung </w:t>
            </w:r>
            <w:r>
              <w:rPr>
                <w:rFonts w:cs="Calibri Light" w:ascii="Calibri Light" w:hAnsi="Calibri Light"/>
                <w:b/>
                <w:bCs/>
                <w:sz w:val="20"/>
                <w:szCs w:val="20"/>
                <w:lang w:val="de-DE" w:eastAsia="en-US" w:bidi="ar-SA"/>
              </w:rPr>
              <w:t>zwischen unerfahrenen und erfahrenen Anlegern.</w:t>
            </w:r>
            <w:r>
              <w:rPr>
                <w:rFonts w:cs="Calibri Light" w:ascii="Calibri Light" w:hAnsi="Calibri Light"/>
                <w:sz w:val="20"/>
                <w:szCs w:val="20"/>
                <w:lang w:val="de-DE" w:eastAsia="en-US" w:bidi="ar-SA"/>
              </w:rPr>
              <w:t>..“</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sz w:val="20"/>
                <w:szCs w:val="20"/>
                <w:lang w:val="de-DE" w:eastAsia="en-US" w:bidi="ar-SA"/>
              </w:rPr>
              <w:t>Angelegenheiten &amp; grundlegende Veränderungen:</w:t>
            </w:r>
          </w:p>
          <w:p>
            <w:pPr>
              <w:pStyle w:val="ListParagraph"/>
              <w:numPr>
                <w:ilvl w:val="0"/>
                <w:numId w:val="6"/>
              </w:numPr>
              <w:spacing w:lineRule="auto" w:line="240" w:before="0" w:after="0"/>
              <w:ind w:left="173" w:hanging="218"/>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Offenlegungsregeln müssen neu bewertet werden, um sie kohärenter, für Kleinanleger verständlicher und auf digitalem Weg zugänglich zu machen.“</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Kommission wird aufgefordert, so bald wie möglich und rechtzeitig, um einen Konflikt angesichts des Auslaufens der Ausnahmeregelung für OGAW zu vermeiden, die PRIIP-Verordnung zu überprüfen, um die von den meisten Interessengruppen aufgeworfenen Fragen in Bezug auf die Verständlichkeit und Vergleichbarkeit der Informationen und die Kohärenz mit den MIFID-Informationsvorschriften, insbesondere für die Angaben über Wertentwicklung und Kosten, zu behandeln.“</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sz w:val="20"/>
                <w:szCs w:val="20"/>
                <w:lang w:val="de-DE" w:eastAsia="en-US" w:bidi="ar-SA"/>
              </w:rPr>
              <w:t>„</w:t>
            </w:r>
            <w:r>
              <w:rPr>
                <w:rFonts w:cs="Calibri Light" w:ascii="Calibri Light" w:hAnsi="Calibri Light"/>
                <w:i/>
                <w:iCs/>
                <w:sz w:val="20"/>
                <w:szCs w:val="20"/>
                <w:lang w:val="de-DE" w:eastAsia="en-US" w:bidi="ar-SA"/>
              </w:rPr>
              <w:t>Die Kommission wird zudem aufgefordert, eine eingehende Analyse und Bewertung aller geltenden einschlägigen Vorschriften und ihrer Umsetzung vorzunehmen.“</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Kommission sollte sicherstellen, dass die Offenlegung im Rahmen des PRIIPS KID angemessen und aussagekräftig ist, um angemessene Vergleiche der wichtigsten Produktmerkmale zu ermöglichen, einschließlich der langfristigen Wertentwicklung der Anlageprodukte und ihrer Vergleichsindizes in der Vergangenheit.“</w:t>
            </w:r>
          </w:p>
          <w:p>
            <w:pPr>
              <w:pStyle w:val="ListParagraph"/>
              <w:numPr>
                <w:ilvl w:val="0"/>
                <w:numId w:val="6"/>
              </w:numPr>
              <w:spacing w:lineRule="auto" w:line="240" w:before="0" w:after="0"/>
              <w:ind w:left="173" w:hanging="218"/>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Gestraffte Regeln zur Offenlegung könnten die Schaffung effektiverer Datenbanken und Vergleichsinstrumente für Anlageprodukte erleichtern.“</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Kommission sollte prüfen, wie die Entwicklung unabhängiger webbasierter Vergleichsinstrumente für Anlageprodukte gefördert werden kann.“</w:t>
            </w:r>
          </w:p>
          <w:p>
            <w:pPr>
              <w:pStyle w:val="ListParagraph"/>
              <w:numPr>
                <w:ilvl w:val="0"/>
                <w:numId w:val="6"/>
              </w:numPr>
              <w:spacing w:lineRule="auto" w:line="240" w:before="0" w:after="0"/>
              <w:ind w:left="173" w:hanging="218"/>
              <w:jc w:val="both"/>
              <w:rPr>
                <w:lang w:val="de-DE" w:eastAsia="en-US" w:bidi="ar-SA"/>
              </w:rPr>
            </w:pPr>
            <w:r>
              <w:rPr>
                <w:rFonts w:cs="Calibri Light" w:ascii="Calibri Light" w:hAnsi="Calibri Light"/>
                <w:sz w:val="20"/>
                <w:szCs w:val="20"/>
                <w:lang w:val="de-DE" w:eastAsia="en-US" w:bidi="ar-SA"/>
              </w:rPr>
              <w:t>„</w:t>
            </w:r>
            <w:r>
              <w:rPr>
                <w:rFonts w:cs="Calibri Light" w:ascii="Calibri Light" w:hAnsi="Calibri Light"/>
                <w:i/>
                <w:iCs/>
                <w:sz w:val="20"/>
                <w:szCs w:val="20"/>
                <w:lang w:val="de-DE" w:eastAsia="en-US" w:bidi="ar-SA"/>
              </w:rPr>
              <w:t>Eine neue Kategorie von qualifizierten Anlegern oder die Möglichkeit, sich als professionelle Anleger zu entscheiden, würde erfahreneren Kunden eine besser zugeschnittene Offenlegung von Informationen ermöglichen.“</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Eine neue Kategorie nichtprofessioneller qualifizierter Anleger schaffen [...] oder die Definition der professionellen Anleger gemäß MiFID II ändern.“</w:t>
            </w:r>
          </w:p>
        </w:tc>
      </w:tr>
      <w:tr>
        <w:trPr/>
        <w:tc>
          <w:tcPr>
            <w:tcW w:w="53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color w:val="0070C0"/>
                <w:sz w:val="20"/>
                <w:szCs w:val="20"/>
                <w:lang w:val="de-DE" w:eastAsia="en-US" w:bidi="ar-SA"/>
              </w:rPr>
              <w:t>Verbesserung der langfristigen und nachhaltigen Wertschöpfung</w:t>
            </w:r>
          </w:p>
          <w:p>
            <w:pPr>
              <w:pStyle w:val="Normal"/>
              <w:spacing w:lineRule="auto" w:line="240" w:before="0" w:after="0"/>
              <w:rPr>
                <w:lang w:val="de-DE" w:eastAsia="en-US" w:bidi="ar-SA"/>
              </w:rPr>
            </w:pPr>
            <w:r>
              <w:rPr>
                <w:rFonts w:cs="Calibri Light" w:ascii="Calibri Light" w:hAnsi="Calibri Light"/>
                <w:sz w:val="20"/>
                <w:szCs w:val="20"/>
                <w:lang w:val="de-DE" w:eastAsia="en-US" w:bidi="ar-SA"/>
              </w:rPr>
              <w:t xml:space="preserve">13) „Follow-up der </w:t>
            </w:r>
            <w:r>
              <w:rPr>
                <w:rFonts w:cs="Calibri Light" w:ascii="Calibri Light" w:hAnsi="Calibri Light"/>
                <w:b/>
                <w:bCs/>
                <w:sz w:val="20"/>
                <w:szCs w:val="20"/>
                <w:lang w:val="de-DE" w:eastAsia="en-US" w:bidi="ar-SA"/>
              </w:rPr>
              <w:t xml:space="preserve">besten Praktiken der Mitarbeiterkapitalbeteiligung </w:t>
            </w:r>
            <w:r>
              <w:rPr>
                <w:rFonts w:cs="Calibri Light" w:ascii="Calibri Light" w:hAnsi="Calibri Light"/>
                <w:sz w:val="20"/>
                <w:szCs w:val="20"/>
                <w:lang w:val="de-DE" w:eastAsia="en-US" w:bidi="ar-SA"/>
              </w:rPr>
              <w:t>mit einer CMU-„Aktion“</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sz w:val="20"/>
                <w:szCs w:val="20"/>
                <w:lang w:val="de-DE" w:eastAsia="en-US" w:bidi="ar-SA"/>
              </w:rPr>
              <w:t>Angelegenheiten &amp; grundlegende Veränderungen:</w:t>
            </w:r>
          </w:p>
          <w:p>
            <w:pPr>
              <w:pStyle w:val="ListParagraph"/>
              <w:numPr>
                <w:ilvl w:val="0"/>
                <w:numId w:val="6"/>
              </w:numPr>
              <w:spacing w:lineRule="auto" w:line="240" w:before="0" w:after="0"/>
              <w:ind w:left="173" w:hanging="218"/>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Der Einsatz von Mitarbeiterkapitalbeteiligungsprogrammen sollte in der EU gefördert werden, um die Beteiligung der Bürger an den Kapitalmärkten und die Entwicklung einer Aktienkultur zu unterstützen.“</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Kommission wird aufgefordert</w:t>
            </w:r>
            <w:r>
              <w:rPr>
                <w:rFonts w:cs="Calibri Light" w:ascii="Calibri Light" w:hAnsi="Calibri Light"/>
                <w:b/>
                <w:bCs/>
                <w:i/>
                <w:iCs/>
                <w:sz w:val="20"/>
                <w:szCs w:val="20"/>
                <w:lang w:val="de-DE" w:eastAsia="en-US" w:bidi="ar-SA"/>
              </w:rPr>
              <w:t>, den Einsatz der MKB gemeinsam mit den Mitgliedstaaten EU-weit zu fördern</w:t>
            </w:r>
            <w:r>
              <w:rPr>
                <w:rFonts w:cs="Calibri Light" w:ascii="Calibri Light" w:hAnsi="Calibri Light"/>
                <w:i/>
                <w:iCs/>
                <w:sz w:val="20"/>
                <w:szCs w:val="20"/>
                <w:lang w:val="de-DE" w:eastAsia="en-US" w:bidi="ar-SA"/>
              </w:rPr>
              <w:t>. Zu diesem Zweck sollte die Kommission prüfen, welche EU-Mittel zur Unterstützung dieses Ziels eingesetzt werden könnten.“</w:t>
            </w:r>
          </w:p>
        </w:tc>
      </w:tr>
      <w:tr>
        <w:trPr/>
        <w:tc>
          <w:tcPr>
            <w:tcW w:w="53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color w:val="0070C0"/>
                <w:sz w:val="20"/>
                <w:szCs w:val="20"/>
                <w:lang w:val="de-DE" w:eastAsia="en-US" w:bidi="ar-SA"/>
              </w:rPr>
              <w:t>Förderung der Anlegerbildung als Schlüssel zum Erfolg einer echten CMU</w:t>
            </w:r>
          </w:p>
          <w:p>
            <w:pPr>
              <w:pStyle w:val="Normal"/>
              <w:spacing w:lineRule="auto" w:line="240" w:before="0" w:after="0"/>
              <w:rPr>
                <w:lang w:val="de-DE" w:eastAsia="en-US" w:bidi="ar-SA"/>
              </w:rPr>
            </w:pPr>
            <w:r>
              <w:rPr>
                <w:rFonts w:cs="Calibri Light" w:ascii="Calibri Light" w:hAnsi="Calibri Light"/>
                <w:sz w:val="20"/>
                <w:szCs w:val="20"/>
                <w:lang w:val="de-DE" w:eastAsia="en-US" w:bidi="ar-SA"/>
              </w:rPr>
              <w:t>14) „V</w:t>
            </w:r>
            <w:r>
              <w:rPr>
                <w:rFonts w:cs="Calibri Light" w:ascii="Calibri Light" w:hAnsi="Calibri Light"/>
                <w:b/>
                <w:bCs/>
                <w:sz w:val="20"/>
                <w:szCs w:val="20"/>
                <w:lang w:val="de-DE" w:eastAsia="en-US" w:bidi="ar-SA"/>
              </w:rPr>
              <w:t xml:space="preserve">on den Vertreibern </w:t>
            </w:r>
            <w:r>
              <w:rPr>
                <w:rFonts w:cs="Calibri Light" w:ascii="Calibri Light" w:hAnsi="Calibri Light"/>
                <w:sz w:val="20"/>
                <w:szCs w:val="20"/>
                <w:lang w:val="de-DE" w:eastAsia="en-US" w:bidi="ar-SA"/>
              </w:rPr>
              <w:t>[..</w:t>
            </w:r>
            <w:r>
              <w:rPr>
                <w:rFonts w:cs="Calibri Light" w:ascii="Calibri Light" w:hAnsi="Calibri Light"/>
                <w:b/>
                <w:bCs/>
                <w:sz w:val="20"/>
                <w:szCs w:val="20"/>
                <w:lang w:val="de-DE" w:eastAsia="en-US" w:bidi="ar-SA"/>
              </w:rPr>
              <w:t>.] verlangen</w:t>
            </w:r>
            <w:r>
              <w:rPr>
                <w:rFonts w:cs="Calibri Light" w:ascii="Calibri Light" w:hAnsi="Calibri Light"/>
                <w:sz w:val="20"/>
                <w:szCs w:val="20"/>
                <w:lang w:val="de-DE" w:eastAsia="en-US" w:bidi="ar-SA"/>
              </w:rPr>
              <w:t>, die Finanzbildung ihrer Mitarbeiter zu verbessern“</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lang w:val="de-DE" w:eastAsia="en-US" w:bidi="ar-SA"/>
              </w:rPr>
            </w:pPr>
            <w:r>
              <w:rPr>
                <w:rFonts w:cs="Calibri Light" w:ascii="Calibri Light" w:hAnsi="Calibri Light"/>
                <w:b/>
                <w:bCs/>
                <w:sz w:val="20"/>
                <w:szCs w:val="20"/>
                <w:lang w:val="de-DE" w:eastAsia="en-US" w:bidi="ar-SA"/>
              </w:rPr>
              <w:t>Angelegenheiten &amp; grundlegende Veränderungen:</w:t>
            </w:r>
          </w:p>
          <w:p>
            <w:pPr>
              <w:pStyle w:val="ListParagraph"/>
              <w:numPr>
                <w:ilvl w:val="0"/>
                <w:numId w:val="6"/>
              </w:numPr>
              <w:spacing w:lineRule="auto" w:line="240" w:before="0" w:after="0"/>
              <w:ind w:left="173" w:hanging="218"/>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Ein Zertifikat für Finanzberater – und ihre bessere Ausbildung – würde das angemessene Niveau an Qualifikationen, Wissen und Fähigkeiten für professionelle Berater sicherstellen.“</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 xml:space="preserve">Die Kommission wird aufgefordert, einen Vorschlag für die Einführung </w:t>
            </w:r>
            <w:r>
              <w:rPr>
                <w:rFonts w:cs="Calibri Light" w:ascii="Calibri Light" w:hAnsi="Calibri Light"/>
                <w:b/>
                <w:bCs/>
                <w:i/>
                <w:iCs/>
                <w:sz w:val="20"/>
                <w:szCs w:val="20"/>
                <w:lang w:val="de-DE" w:eastAsia="en-US" w:bidi="ar-SA"/>
              </w:rPr>
              <w:t xml:space="preserve">eines paneuropäischen Qualitätszeichens (Labels) für europäische Finanzberater </w:t>
            </w:r>
            <w:r>
              <w:rPr>
                <w:rFonts w:cs="Calibri Light" w:ascii="Calibri Light" w:hAnsi="Calibri Light"/>
                <w:i/>
                <w:iCs/>
                <w:sz w:val="20"/>
                <w:szCs w:val="20"/>
                <w:lang w:val="de-DE" w:eastAsia="en-US" w:bidi="ar-SA"/>
              </w:rPr>
              <w:t>vorzulegen“.</w:t>
            </w:r>
          </w:p>
          <w:p>
            <w:pPr>
              <w:pStyle w:val="ListParagraph"/>
              <w:numPr>
                <w:ilvl w:val="0"/>
                <w:numId w:val="6"/>
              </w:numPr>
              <w:spacing w:lineRule="auto" w:line="240" w:before="0" w:after="0"/>
              <w:ind w:left="173" w:hanging="218"/>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 xml:space="preserve">Besseres Finanzwissen, unter anderem durch Mechanismen wie Mitarbeiterkapitalbeteiligungsprogramme und Anstöße in wichtigen Lebensphasen </w:t>
            </w:r>
            <w:r>
              <w:rPr>
                <w:rFonts w:cs="Calibri Light" w:ascii="Calibri Light" w:hAnsi="Calibri Light"/>
                <w:sz w:val="20"/>
                <w:szCs w:val="20"/>
                <w:lang w:val="de-DE" w:eastAsia="en-US" w:bidi="ar-SA"/>
              </w:rPr>
              <w:t xml:space="preserve">(...), </w:t>
            </w:r>
            <w:r>
              <w:rPr>
                <w:rFonts w:cs="Calibri Light" w:ascii="Calibri Light" w:hAnsi="Calibri Light"/>
                <w:i/>
                <w:iCs/>
                <w:sz w:val="20"/>
                <w:szCs w:val="20"/>
                <w:lang w:val="de-DE" w:eastAsia="en-US" w:bidi="ar-SA"/>
              </w:rPr>
              <w:t>hilft, die Bürger zu befähigen...</w:t>
            </w:r>
            <w:r>
              <w:rPr>
                <w:rFonts w:cs="Calibri Light" w:ascii="Calibri Light" w:hAnsi="Calibri Light"/>
                <w:sz w:val="20"/>
                <w:szCs w:val="20"/>
                <w:lang w:val="de-DE" w:eastAsia="en-US" w:bidi="ar-SA"/>
              </w:rPr>
              <w:t>“</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Kommission wird aufgefordert, gemeinsam mit den Mitgliedstaaten die Nutzung der MKB in der gesamten EU zu fördern.“</w:t>
            </w:r>
          </w:p>
          <w:p>
            <w:pPr>
              <w:pStyle w:val="ListParagraph"/>
              <w:numPr>
                <w:ilvl w:val="0"/>
                <w:numId w:val="6"/>
              </w:numPr>
              <w:spacing w:lineRule="auto" w:line="240" w:before="0" w:after="0"/>
              <w:ind w:left="173" w:hanging="218"/>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Mitgliedstaaten sollten zudem Maßnahmen unterstützen, die die finanzielle Beratung der Verbraucher in Bezug auf Anlagen und Altersvorsorgesparen fördern.“</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Die Mitgliedstaaten sollten nationale Finanzberatungsstellen für Verbraucher einrichten.“</w:t>
            </w:r>
          </w:p>
          <w:p>
            <w:pPr>
              <w:pStyle w:val="ListParagraph"/>
              <w:numPr>
                <w:ilvl w:val="0"/>
                <w:numId w:val="6"/>
              </w:numPr>
              <w:spacing w:lineRule="auto" w:line="240" w:before="0" w:after="0"/>
              <w:ind w:left="173" w:hanging="218"/>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Mehr Finanzwissen würde zu einer höheren Beteiligung von Kleinanlegern führen, was für das Wachstum der EU-Kapitalmärkte förderlich wäre“.</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 xml:space="preserve">Die Kommission sollte vorschlagen, </w:t>
            </w:r>
            <w:r>
              <w:rPr>
                <w:rFonts w:cs="Calibri Light" w:ascii="Calibri Light" w:hAnsi="Calibri Light"/>
                <w:b/>
                <w:bCs/>
                <w:i/>
                <w:iCs/>
                <w:sz w:val="20"/>
                <w:szCs w:val="20"/>
                <w:lang w:val="de-DE" w:eastAsia="en-US" w:bidi="ar-SA"/>
              </w:rPr>
              <w:t>die Empfehlung des Rates „Schlüsselkompetenzen für lebenslanges Lernen“ zu überarbeiten</w:t>
            </w:r>
            <w:r>
              <w:rPr>
                <w:rFonts w:cs="Calibri Light" w:ascii="Calibri Light" w:hAnsi="Calibri Light"/>
                <w:i/>
                <w:iCs/>
                <w:sz w:val="20"/>
                <w:szCs w:val="20"/>
                <w:lang w:val="de-DE" w:eastAsia="en-US" w:bidi="ar-SA"/>
              </w:rPr>
              <w:t>, um Finanzbildung27 als eigenständige Schlüsselkompetenz einzuführen.“</w:t>
            </w:r>
          </w:p>
          <w:p>
            <w:pPr>
              <w:pStyle w:val="ListParagraph"/>
              <w:numPr>
                <w:ilvl w:val="0"/>
                <w:numId w:val="7"/>
              </w:numPr>
              <w:spacing w:lineRule="auto" w:line="240" w:before="0" w:after="0"/>
              <w:ind w:left="720" w:hanging="263"/>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 xml:space="preserve">Die Kommission sollte einen </w:t>
            </w:r>
            <w:r>
              <w:rPr>
                <w:rFonts w:cs="Calibri Light" w:ascii="Calibri Light" w:hAnsi="Calibri Light"/>
                <w:b/>
                <w:bCs/>
                <w:i/>
                <w:iCs/>
                <w:sz w:val="20"/>
                <w:szCs w:val="20"/>
                <w:lang w:val="de-DE" w:eastAsia="en-US" w:bidi="ar-SA"/>
              </w:rPr>
              <w:t xml:space="preserve">EU-Zuständigkeitsrahmen </w:t>
            </w:r>
            <w:r>
              <w:rPr>
                <w:rFonts w:cs="Calibri Light" w:ascii="Calibri Light" w:hAnsi="Calibri Light"/>
                <w:i/>
                <w:iCs/>
                <w:sz w:val="20"/>
                <w:szCs w:val="20"/>
                <w:lang w:val="de-DE" w:eastAsia="en-US" w:bidi="ar-SA"/>
              </w:rPr>
              <w:t xml:space="preserve">für Finanzbildung einrichten und </w:t>
            </w:r>
            <w:r>
              <w:rPr>
                <w:rFonts w:cs="Calibri Light" w:ascii="Calibri Light" w:hAnsi="Calibri Light"/>
                <w:b/>
                <w:bCs/>
                <w:i/>
                <w:iCs/>
                <w:sz w:val="20"/>
                <w:szCs w:val="20"/>
                <w:lang w:val="de-DE" w:eastAsia="en-US" w:bidi="ar-SA"/>
              </w:rPr>
              <w:t>seine Einbeziehung in Arbeitsgruppen für die Mitgliedstaaten erleichtern.</w:t>
            </w:r>
            <w:r>
              <w:rPr>
                <w:rFonts w:cs="Calibri Light" w:ascii="Calibri Light" w:hAnsi="Calibri Light"/>
                <w:i/>
                <w:iCs/>
                <w:sz w:val="20"/>
                <w:szCs w:val="20"/>
                <w:lang w:val="de-DE" w:eastAsia="en-US" w:bidi="ar-SA"/>
              </w:rPr>
              <w:t>“</w:t>
            </w:r>
          </w:p>
        </w:tc>
      </w:tr>
      <w:tr>
        <w:trPr/>
        <w:tc>
          <w:tcPr>
            <w:tcW w:w="53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de-DE" w:eastAsia="en-US" w:bidi="ar-SA"/>
              </w:rPr>
            </w:pPr>
            <w:r>
              <w:rPr>
                <w:rFonts w:cs="Calibri Light" w:ascii="Calibri Light" w:hAnsi="Calibri Light"/>
                <w:b/>
                <w:bCs/>
                <w:color w:val="0070C0"/>
                <w:sz w:val="20"/>
                <w:szCs w:val="20"/>
                <w:lang w:val="de-DE" w:eastAsia="en-US" w:bidi="ar-SA"/>
              </w:rPr>
              <w:t>Die Unterstützung der EU für die Einbeziehung der Nutzer von Finanzdienstleistungen in die Politikgestaltung der EU aufrechterhalten</w:t>
            </w:r>
          </w:p>
          <w:p>
            <w:pPr>
              <w:pStyle w:val="Normal"/>
              <w:spacing w:lineRule="auto" w:line="240" w:before="0" w:after="120"/>
              <w:jc w:val="both"/>
              <w:rPr>
                <w:lang w:val="de-DE" w:eastAsia="en-US" w:bidi="ar-SA"/>
              </w:rPr>
            </w:pPr>
            <w:r>
              <w:rPr>
                <w:rFonts w:cs="Calibri Light" w:ascii="Calibri Light" w:hAnsi="Calibri Light"/>
                <w:sz w:val="20"/>
                <w:szCs w:val="20"/>
                <w:lang w:val="de-DE" w:eastAsia="en-US" w:bidi="ar-SA"/>
              </w:rPr>
              <w:t xml:space="preserve">15) „Sicherstellen, dass unabhängige Experten von Nutzerorganisationen </w:t>
            </w:r>
            <w:r>
              <w:rPr>
                <w:rFonts w:cs="Calibri Light" w:ascii="Calibri Light" w:hAnsi="Calibri Light"/>
                <w:b/>
                <w:bCs/>
                <w:sz w:val="20"/>
                <w:szCs w:val="20"/>
                <w:lang w:val="de-DE" w:eastAsia="en-US" w:bidi="ar-SA"/>
              </w:rPr>
              <w:t xml:space="preserve">angemessen vertreten und entschädigt </w:t>
            </w:r>
            <w:r>
              <w:rPr>
                <w:rFonts w:cs="Calibri Light" w:ascii="Calibri Light" w:hAnsi="Calibri Light"/>
                <w:sz w:val="20"/>
                <w:szCs w:val="20"/>
                <w:lang w:val="de-DE" w:eastAsia="en-US" w:bidi="ar-SA"/>
              </w:rPr>
              <w:t>werden...“</w:t>
            </w:r>
          </w:p>
          <w:p>
            <w:pPr>
              <w:pStyle w:val="Normal"/>
              <w:spacing w:lineRule="auto" w:line="240" w:before="0" w:after="0"/>
              <w:jc w:val="both"/>
              <w:rPr>
                <w:lang w:val="de-DE" w:eastAsia="en-US" w:bidi="ar-SA"/>
              </w:rPr>
            </w:pPr>
            <w:r>
              <w:rPr>
                <w:rFonts w:cs="Calibri Light" w:ascii="Calibri Light" w:hAnsi="Calibri Light"/>
                <w:b/>
                <w:bCs/>
                <w:color w:val="0070C0"/>
                <w:sz w:val="20"/>
                <w:szCs w:val="20"/>
                <w:lang w:val="de-DE" w:eastAsia="en-US" w:bidi="ar-SA"/>
              </w:rPr>
              <w:t>Erhöhung der Effizienz der Verfahren der EU-Institutionen</w:t>
            </w:r>
          </w:p>
          <w:p>
            <w:pPr>
              <w:pStyle w:val="Normal"/>
              <w:spacing w:lineRule="auto" w:line="240" w:before="0" w:after="0"/>
              <w:jc w:val="both"/>
              <w:rPr>
                <w:lang w:val="de-DE" w:eastAsia="en-US" w:bidi="ar-SA"/>
              </w:rPr>
            </w:pPr>
            <w:r>
              <w:rPr>
                <w:rFonts w:cs="Calibri Light" w:ascii="Calibri Light" w:hAnsi="Calibri Light"/>
                <w:sz w:val="20"/>
                <w:szCs w:val="20"/>
                <w:lang w:val="de-DE" w:eastAsia="en-US" w:bidi="ar-SA"/>
              </w:rPr>
              <w:t>16) „Die Aufsicht über die Produktaufsicht und die Governance-Anforderungen verbessern...“</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lang w:val="de-DE" w:eastAsia="en-US" w:bidi="ar-SA"/>
              </w:rPr>
            </w:pPr>
            <w:r>
              <w:rPr>
                <w:rFonts w:cs="Calibri Light" w:ascii="Calibri Light" w:hAnsi="Calibri Light"/>
                <w:b/>
                <w:bCs/>
                <w:sz w:val="20"/>
                <w:szCs w:val="20"/>
                <w:lang w:val="de-DE" w:eastAsia="en-US" w:bidi="ar-SA"/>
              </w:rPr>
              <w:t>Angelegenheiten &amp; grundlegende Veränderungen:</w:t>
            </w:r>
          </w:p>
          <w:p>
            <w:pPr>
              <w:pStyle w:val="ListParagraph"/>
              <w:numPr>
                <w:ilvl w:val="0"/>
                <w:numId w:val="8"/>
              </w:numPr>
              <w:spacing w:lineRule="auto" w:line="240" w:before="0" w:after="0"/>
              <w:ind w:left="174" w:hanging="174"/>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 xml:space="preserve">Das HLF unterstützt die Stärkung der Regelungsbefugnisse von ESMA und EIOPA </w:t>
            </w:r>
            <w:r>
              <w:rPr>
                <w:rFonts w:cs="Calibri Light" w:ascii="Calibri Light" w:hAnsi="Calibri Light"/>
                <w:sz w:val="20"/>
                <w:szCs w:val="20"/>
                <w:lang w:val="de-DE" w:eastAsia="en-US" w:bidi="ar-SA"/>
              </w:rPr>
              <w:t xml:space="preserve">(...) </w:t>
            </w:r>
            <w:r>
              <w:rPr>
                <w:rFonts w:cs="Calibri Light" w:ascii="Calibri Light" w:hAnsi="Calibri Light"/>
                <w:i/>
                <w:iCs/>
                <w:sz w:val="20"/>
                <w:szCs w:val="20"/>
                <w:lang w:val="de-DE" w:eastAsia="en-US" w:bidi="ar-SA"/>
              </w:rPr>
              <w:t>unter anderem durch eine Reform ihrer Governance und die Stärkung ihrer Befugnisse und ihres Instrumentariums...“</w:t>
            </w:r>
          </w:p>
          <w:p>
            <w:pPr>
              <w:pStyle w:val="ListParagraph"/>
              <w:numPr>
                <w:ilvl w:val="0"/>
                <w:numId w:val="3"/>
              </w:numPr>
              <w:spacing w:lineRule="auto" w:line="240" w:before="0" w:after="0"/>
              <w:ind w:left="599" w:hanging="239"/>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Stärkung oder gegebenenfalls Einführung von Befugnissen zum Verbot oder zur Einschränkung der Vermarktung, des Vertriebs oder des Verkaufs bestimmter Finanzprodukte, -instrumente oder -aktivitäten“</w:t>
            </w:r>
          </w:p>
          <w:p>
            <w:pPr>
              <w:pStyle w:val="ListParagraph"/>
              <w:numPr>
                <w:ilvl w:val="0"/>
                <w:numId w:val="3"/>
              </w:numPr>
              <w:spacing w:lineRule="auto" w:line="240" w:before="0" w:after="0"/>
              <w:ind w:left="599" w:hanging="239"/>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Sicherstellung einer ausgewogenen Vertretung in den Interessengruppen zwischen Vertretern der Branche und privaten Nutzern/Verbrauchern und Durchsetzung der Regel zur „angemessenen Entschädigung“ für nicht gewinnorientierte branchenfremde Vertreter (Artikel 37)“</w:t>
            </w:r>
          </w:p>
          <w:p>
            <w:pPr>
              <w:pStyle w:val="ListParagraph"/>
              <w:numPr>
                <w:ilvl w:val="0"/>
                <w:numId w:val="3"/>
              </w:numPr>
              <w:spacing w:lineRule="auto" w:line="240" w:before="0" w:after="0"/>
              <w:ind w:left="599" w:hanging="239"/>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 xml:space="preserve">Einführung neuer oder zusätzlicher Bestimmungen in </w:t>
            </w:r>
            <w:r>
              <w:rPr>
                <w:rFonts w:cs="Calibri Light" w:ascii="Calibri Light" w:hAnsi="Calibri Light"/>
                <w:sz w:val="20"/>
                <w:szCs w:val="20"/>
                <w:lang w:val="de-DE" w:eastAsia="en-US" w:bidi="ar-SA"/>
              </w:rPr>
              <w:t xml:space="preserve">(...) </w:t>
            </w:r>
            <w:r>
              <w:rPr>
                <w:rFonts w:cs="Calibri Light" w:ascii="Calibri Light" w:hAnsi="Calibri Light"/>
                <w:i/>
                <w:iCs/>
                <w:sz w:val="20"/>
                <w:szCs w:val="20"/>
                <w:lang w:val="de-DE" w:eastAsia="en-US" w:bidi="ar-SA"/>
              </w:rPr>
              <w:t xml:space="preserve">und den einschlägigen sektoriellen Rechtsvorschriften der Union </w:t>
            </w:r>
            <w:r>
              <w:rPr>
                <w:rFonts w:cs="Calibri Light" w:ascii="Calibri Light" w:hAnsi="Calibri Light"/>
                <w:sz w:val="20"/>
                <w:szCs w:val="20"/>
                <w:lang w:val="de-DE" w:eastAsia="en-US" w:bidi="ar-SA"/>
              </w:rPr>
              <w:t>(...)</w:t>
            </w:r>
            <w:r>
              <w:rPr>
                <w:rFonts w:cs="Calibri Light" w:ascii="Calibri Light" w:hAnsi="Calibri Light"/>
                <w:i/>
                <w:iCs/>
                <w:sz w:val="20"/>
                <w:szCs w:val="20"/>
                <w:lang w:val="de-DE" w:eastAsia="en-US" w:bidi="ar-SA"/>
              </w:rPr>
              <w:t xml:space="preserve">, um der ESMA/EIOPA die Aufgabe zu übertragen, die </w:t>
            </w:r>
            <w:r>
              <w:rPr>
                <w:rFonts w:cs="Calibri Light" w:ascii="Calibri Light" w:hAnsi="Calibri Light"/>
                <w:b/>
                <w:bCs/>
                <w:i/>
                <w:iCs/>
                <w:sz w:val="20"/>
                <w:szCs w:val="20"/>
                <w:lang w:val="de-DE" w:eastAsia="en-US" w:bidi="ar-SA"/>
              </w:rPr>
              <w:t xml:space="preserve">nationalen Ansätze hinsichtlich der Verwaltungspraktiken </w:t>
            </w:r>
            <w:r>
              <w:rPr>
                <w:rFonts w:cs="Calibri Light" w:ascii="Calibri Light" w:hAnsi="Calibri Light"/>
                <w:i/>
                <w:iCs/>
                <w:sz w:val="20"/>
                <w:szCs w:val="20"/>
                <w:lang w:val="de-DE" w:eastAsia="en-US" w:bidi="ar-SA"/>
              </w:rPr>
              <w:t xml:space="preserve">weiter </w:t>
            </w:r>
            <w:r>
              <w:rPr>
                <w:rFonts w:cs="Calibri Light" w:ascii="Calibri Light" w:hAnsi="Calibri Light"/>
                <w:b/>
                <w:bCs/>
                <w:i/>
                <w:iCs/>
                <w:sz w:val="20"/>
                <w:szCs w:val="20"/>
                <w:lang w:val="de-DE" w:eastAsia="en-US" w:bidi="ar-SA"/>
              </w:rPr>
              <w:t>zu</w:t>
            </w:r>
            <w:r>
              <w:rPr>
                <w:rFonts w:cs="Calibri Light" w:ascii="Calibri Light" w:hAnsi="Calibri Light"/>
                <w:i/>
                <w:iCs/>
                <w:sz w:val="20"/>
                <w:szCs w:val="20"/>
                <w:lang w:val="de-DE" w:eastAsia="en-US" w:bidi="ar-SA"/>
              </w:rPr>
              <w:t xml:space="preserve"> </w:t>
            </w:r>
            <w:r>
              <w:rPr>
                <w:rFonts w:cs="Calibri Light" w:ascii="Calibri Light" w:hAnsi="Calibri Light"/>
                <w:b/>
                <w:bCs/>
                <w:i/>
                <w:iCs/>
                <w:sz w:val="20"/>
                <w:szCs w:val="20"/>
                <w:lang w:val="de-DE" w:eastAsia="en-US" w:bidi="ar-SA"/>
              </w:rPr>
              <w:t>harmonisieren.</w:t>
            </w:r>
            <w:r>
              <w:rPr>
                <w:rFonts w:cs="Calibri Light" w:ascii="Calibri Light" w:hAnsi="Calibri Light"/>
                <w:b w:val="false"/>
                <w:bCs w:val="false"/>
                <w:i/>
                <w:iCs/>
                <w:sz w:val="20"/>
                <w:szCs w:val="20"/>
                <w:lang w:val="de-DE" w:eastAsia="en-US" w:bidi="ar-SA"/>
              </w:rPr>
              <w:t>“</w:t>
            </w:r>
          </w:p>
          <w:p>
            <w:pPr>
              <w:pStyle w:val="ListParagraph"/>
              <w:numPr>
                <w:ilvl w:val="0"/>
                <w:numId w:val="3"/>
              </w:numPr>
              <w:spacing w:lineRule="auto" w:line="240" w:before="0" w:after="0"/>
              <w:ind w:left="599" w:hanging="239"/>
              <w:jc w:val="both"/>
              <w:rPr>
                <w:lang w:val="de-DE" w:eastAsia="en-US" w:bidi="ar-SA"/>
              </w:rPr>
            </w:pPr>
            <w:r>
              <w:rPr>
                <w:rFonts w:cs="Calibri Light" w:ascii="Calibri Light" w:hAnsi="Calibri Light"/>
                <w:i/>
                <w:iCs/>
                <w:sz w:val="20"/>
                <w:szCs w:val="20"/>
                <w:lang w:val="de-DE" w:eastAsia="en-US" w:bidi="ar-SA"/>
              </w:rPr>
              <w:t>„</w:t>
            </w:r>
            <w:r>
              <w:rPr>
                <w:rFonts w:cs="Calibri Light" w:ascii="Calibri Light" w:hAnsi="Calibri Light"/>
                <w:i/>
                <w:iCs/>
                <w:sz w:val="20"/>
                <w:szCs w:val="20"/>
                <w:lang w:val="de-DE" w:eastAsia="en-US" w:bidi="ar-SA"/>
              </w:rPr>
              <w:t xml:space="preserve">Stärkung der bestehenden </w:t>
            </w:r>
            <w:r>
              <w:rPr>
                <w:rFonts w:cs="Calibri Light" w:ascii="Calibri Light" w:hAnsi="Calibri Light"/>
                <w:b/>
                <w:bCs/>
                <w:i/>
                <w:iCs/>
                <w:sz w:val="20"/>
                <w:szCs w:val="20"/>
                <w:lang w:val="de-DE" w:eastAsia="en-US" w:bidi="ar-SA"/>
              </w:rPr>
              <w:t>Sanktionsbefugnisse</w:t>
            </w:r>
            <w:r>
              <w:rPr>
                <w:rFonts w:cs="Calibri Light" w:ascii="Calibri Light" w:hAnsi="Calibri Light"/>
                <w:i/>
                <w:iCs/>
                <w:sz w:val="20"/>
                <w:szCs w:val="20"/>
                <w:lang w:val="de-DE" w:eastAsia="en-US" w:bidi="ar-SA"/>
              </w:rPr>
              <w:t xml:space="preserve"> der ESMA</w:t>
            </w:r>
            <w:r>
              <w:rPr>
                <w:rFonts w:cs="Calibri Light" w:ascii="Calibri Light" w:hAnsi="Calibri Light"/>
                <w:b/>
                <w:bCs/>
                <w:i/>
                <w:iCs/>
                <w:sz w:val="20"/>
                <w:szCs w:val="20"/>
                <w:lang w:val="de-DE" w:eastAsia="en-US" w:bidi="ar-SA"/>
              </w:rPr>
              <w:t>, um ihre Wirksamkeit sicherzustellen.</w:t>
            </w:r>
            <w:r>
              <w:rPr>
                <w:rFonts w:cs="Calibri Light" w:ascii="Calibri Light" w:hAnsi="Calibri Light"/>
                <w:i/>
                <w:iCs/>
                <w:sz w:val="20"/>
                <w:szCs w:val="20"/>
                <w:lang w:val="de-DE" w:eastAsia="en-US" w:bidi="ar-SA"/>
              </w:rPr>
              <w:t>“</w:t>
            </w:r>
          </w:p>
        </w:tc>
      </w:tr>
    </w:tbl>
    <w:p>
      <w:pPr>
        <w:pStyle w:val="Normal"/>
        <w:rPr>
          <w:rFonts w:ascii="Calibri Light" w:hAnsi="Calibri Light" w:cs="Calibri Light"/>
          <w:b/>
          <w:b/>
          <w:bCs/>
          <w:sz w:val="20"/>
          <w:szCs w:val="20"/>
          <w:lang w:val="de-DE" w:eastAsia="en-US" w:bidi="ar-SA"/>
        </w:rPr>
      </w:pPr>
      <w:r>
        <w:rPr>
          <w:rFonts w:cs="Calibri Light" w:ascii="Calibri Light" w:hAnsi="Calibri Light"/>
          <w:b/>
          <w:bCs/>
          <w:sz w:val="20"/>
          <w:szCs w:val="20"/>
          <w:lang w:val="de-DE" w:eastAsia="en-US" w:bidi="ar-SA"/>
        </w:rPr>
      </w:r>
    </w:p>
    <w:p>
      <w:pPr>
        <w:pStyle w:val="Textkrper"/>
        <w:spacing w:lineRule="auto" w:line="240" w:before="120" w:after="0"/>
        <w:rPr>
          <w:lang w:val="de-DE" w:eastAsia="en-US" w:bidi="ar-SA"/>
        </w:rPr>
      </w:pPr>
      <w:r>
        <w:rPr/>
      </w:r>
    </w:p>
    <w:sectPr>
      <w:type w:val="continuous"/>
      <w:pgSz w:orient="landscape" w:w="16838" w:h="11906"/>
      <w:pgMar w:left="1440" w:right="1440" w:header="708" w:top="1440" w:footer="708" w:bottom="144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mbria">
    <w:charset w:val="01"/>
    <w:family w:val="swiss"/>
    <w:pitch w:val="default"/>
  </w:font>
  <w:font w:name="Tahoma">
    <w:charset w:val="01"/>
    <w:family w:val="swiss"/>
    <w:pitch w:val="default"/>
  </w:font>
  <w:font w:name="Times New Roman">
    <w:charset w:val="01"/>
    <w:family w:val="swiss"/>
    <w:pitch w:val="default"/>
  </w:font>
  <w:font w:name="Arial">
    <w:charset w:val="01"/>
    <w:family w:val="swiss"/>
    <w:pitch w:val="default"/>
  </w:font>
  <w:font w:name="Lato">
    <w:charset w:val="01"/>
    <w:family w:val="swiss"/>
    <w:pitch w:val="default"/>
  </w:font>
  <w:font w:name="Calibri Light">
    <w:charset w:val="01"/>
    <w:family w:val="swiss"/>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120" w:after="0"/>
      <w:ind w:left="-567" w:hanging="0"/>
      <w:jc w:val="center"/>
      <w:rPr>
        <w:b/>
        <w:b/>
        <w:color w:val="006FB4"/>
        <w:sz w:val="16"/>
        <w:szCs w:val="16"/>
        <w:lang w:val="en-US"/>
      </w:rPr>
    </w:pPr>
    <w:r>
      <w:rPr>
        <w:b/>
        <w:color w:val="006FB4"/>
        <w:sz w:val="16"/>
        <w:szCs w:val="16"/>
        <w:lang w:val="en-US"/>
      </w:rPr>
      <w:t>Europäische</w:t>
    </w:r>
    <w:r>
      <w:rPr>
        <w:b/>
        <w:color w:val="006FB4"/>
        <w:sz w:val="16"/>
        <w:szCs w:val="16"/>
        <w:lang w:val="de-DE"/>
      </w:rPr>
      <w:t>r Verband der Anleger</w:t>
    </w:r>
    <w:r>
      <w:rPr>
        <w:b/>
        <w:color w:val="006FB4"/>
        <w:sz w:val="16"/>
        <w:szCs w:val="16"/>
        <w:lang w:val="en-US"/>
      </w:rPr>
      <w:t xml:space="preserve"> und Nutzer von Finanzdienstleistungen</w:t>
    </w:r>
  </w:p>
  <w:p>
    <w:pPr>
      <w:pStyle w:val="Normal"/>
      <w:spacing w:lineRule="auto" w:line="240" w:before="0" w:after="0"/>
      <w:ind w:left="-567" w:hanging="0"/>
      <w:jc w:val="center"/>
      <w:rPr>
        <w:color w:val="006FB4"/>
        <w:sz w:val="16"/>
        <w:szCs w:val="16"/>
        <w:lang w:val="de-DE"/>
      </w:rPr>
    </w:pPr>
    <w:r>
      <w:rPr>
        <w:color w:val="006FB4"/>
        <w:sz w:val="16"/>
        <w:szCs w:val="16"/>
        <w:lang w:val="de-DE"/>
      </w:rPr>
      <w:t>44, Rue d'Arenberg, 1000 Brüssel - Belgien</w:t>
    </w:r>
  </w:p>
  <w:p>
    <w:pPr>
      <w:pStyle w:val="Normal"/>
      <w:spacing w:lineRule="auto" w:line="240" w:before="0" w:after="0"/>
      <w:ind w:left="-567" w:hanging="0"/>
      <w:jc w:val="center"/>
      <w:rPr/>
    </w:pPr>
    <w:r>
      <w:rPr>
        <w:color w:val="006FB4"/>
        <w:sz w:val="16"/>
        <w:szCs w:val="16"/>
        <w:lang w:val="de-DE"/>
      </w:rPr>
      <w:t xml:space="preserve">Tel. (+32) 02 514 37 77 - Fax. </w:t>
    </w:r>
    <w:r>
      <w:rPr>
        <w:color w:val="006FB4"/>
        <w:sz w:val="16"/>
        <w:szCs w:val="16"/>
        <w:lang w:val="pt-PT"/>
      </w:rPr>
      <w:t>(+32) 02 514 36 66</w:t>
    </w:r>
  </w:p>
  <w:p>
    <w:pPr>
      <w:pStyle w:val="Normal"/>
      <w:spacing w:lineRule="auto" w:line="240" w:before="0" w:after="0"/>
      <w:ind w:left="-567" w:hanging="0"/>
      <w:jc w:val="center"/>
      <w:rPr/>
    </w:pPr>
    <w:r>
      <w:rPr>
        <w:color w:val="006FB4"/>
        <w:sz w:val="16"/>
        <w:szCs w:val="16"/>
        <w:lang w:val="pt-PT"/>
      </w:rPr>
      <w:t>E-Mail: info@betterfinance.eu -</w:t>
    </w:r>
    <w:bookmarkStart w:id="4" w:name="_Hlk944867"/>
    <w:r>
      <w:rPr>
        <w:color w:val="006FB4"/>
        <w:sz w:val="16"/>
        <w:szCs w:val="16"/>
        <w:lang w:val="pt-PT"/>
      </w:rPr>
      <w:t xml:space="preserve"> </w:t>
    </w:r>
    <w:hyperlink r:id="rId1">
      <w:r>
        <w:rPr>
          <w:color w:val="006FB4"/>
          <w:sz w:val="16"/>
          <w:szCs w:val="16"/>
          <w:u w:val="single"/>
          <w:lang w:val="it-IT"/>
        </w:rPr>
        <w:t xml:space="preserve">http://www.betterfinance.eu </w:t>
      </w:r>
    </w:hyperlink>
    <w:bookmarkEnd w:id="4"/>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anchor behindDoc="1" distT="0" distB="0" distL="114300" distR="114300" simplePos="0" locked="0" layoutInCell="1" allowOverlap="1" relativeHeight="12">
          <wp:simplePos x="0" y="0"/>
          <wp:positionH relativeFrom="margin">
            <wp:posOffset>2564130</wp:posOffset>
          </wp:positionH>
          <wp:positionV relativeFrom="paragraph">
            <wp:posOffset>-265430</wp:posOffset>
          </wp:positionV>
          <wp:extent cx="3138170" cy="64516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3138170" cy="645160"/>
                  </a:xfrm>
                  <a:prstGeom prst="rect">
                    <a:avLst/>
                  </a:prstGeom>
                </pic:spPr>
              </pic:pic>
            </a:graphicData>
          </a:graphic>
        </wp:anchor>
      </w:drawing>
    </w:r>
  </w:p>
  <w:p>
    <w:pPr>
      <w:pStyle w:val="Kopfzeile"/>
      <w:rPr/>
    </w:pPr>
    <w:r>
      <w:rPr/>
    </w:r>
  </w:p>
  <w:p>
    <w:pPr>
      <w:pStyle w:val="Kopfzeile"/>
      <w:rPr>
        <w:sz w:val="12"/>
        <w:szCs w:val="12"/>
      </w:rPr>
    </w:pPr>
    <w:r>
      <w:rPr>
        <w:sz w:val="12"/>
        <w:szCs w:val="12"/>
      </w:rPr>
    </w:r>
  </w:p>
  <w:p>
    <w:pPr>
      <w:pStyle w:val="Kopfzeile"/>
      <w:rPr>
        <w:sz w:val="12"/>
        <w:szCs w:val="12"/>
      </w:rPr>
    </w:pPr>
    <w:r>
      <w:rPr>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Wingdings" w:hAnsi="Wingdings" w:cs="Wingdings"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Wingdings" w:hAnsi="Wingdings" w:cs="Wingdings"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Wingdings" w:hAnsi="Wingdings" w:cs="Wingdings"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360" w:hanging="360"/>
      </w:pPr>
      <w:rPr>
        <w:rFonts w:ascii="Symbol" w:hAnsi="Symbol" w:cs="Symbol" w:hint="default"/>
      </w:rPr>
    </w:lvl>
    <w:lvl w:ilvl="1">
      <w:start w:val="0"/>
      <w:numFmt w:val="bullet"/>
      <w:lvlText w:val=""/>
      <w:lvlJc w:val="left"/>
      <w:pPr>
        <w:tabs>
          <w:tab w:val="num" w:pos="0"/>
        </w:tabs>
        <w:ind w:left="1080" w:hanging="360"/>
      </w:pPr>
      <w:rPr>
        <w:rFonts w:ascii="Wingdings" w:hAnsi="Wingdings" w:cs="Wingdings" w:hint="default"/>
      </w:rPr>
    </w:lvl>
    <w:lvl w:ilvl="2">
      <w:start w:val="0"/>
      <w:numFmt w:val="bullet"/>
      <w:lvlText w:val=""/>
      <w:lvlJc w:val="left"/>
      <w:pPr>
        <w:tabs>
          <w:tab w:val="num" w:pos="0"/>
        </w:tabs>
        <w:ind w:left="1800" w:hanging="360"/>
      </w:pPr>
      <w:rPr>
        <w:rFonts w:ascii="Wingdings" w:hAnsi="Wingdings" w:cs="Wingdings" w:hint="default"/>
      </w:rPr>
    </w:lvl>
    <w:lvl w:ilvl="3">
      <w:start w:val="0"/>
      <w:numFmt w:val="bullet"/>
      <w:lvlText w:val=""/>
      <w:lvlJc w:val="left"/>
      <w:pPr>
        <w:tabs>
          <w:tab w:val="num" w:pos="0"/>
        </w:tabs>
        <w:ind w:left="2520" w:hanging="360"/>
      </w:pPr>
      <w:rPr>
        <w:rFonts w:ascii="Symbol" w:hAnsi="Symbol" w:cs="Symbol" w:hint="default"/>
      </w:rPr>
    </w:lvl>
    <w:lvl w:ilvl="4">
      <w:start w:val="0"/>
      <w:numFmt w:val="bullet"/>
      <w:lvlText w:val="o"/>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Wingdings" w:hAnsi="Wingdings" w:cs="Wingdings" w:hint="default"/>
      </w:rPr>
    </w:lvl>
    <w:lvl w:ilvl="6">
      <w:start w:val="0"/>
      <w:numFmt w:val="bullet"/>
      <w:lvlText w:val=""/>
      <w:lvlJc w:val="left"/>
      <w:pPr>
        <w:tabs>
          <w:tab w:val="num" w:pos="0"/>
        </w:tabs>
        <w:ind w:left="4680" w:hanging="360"/>
      </w:pPr>
      <w:rPr>
        <w:rFonts w:ascii="Symbol" w:hAnsi="Symbol" w:cs="Symbol" w:hint="default"/>
      </w:rPr>
    </w:lvl>
    <w:lvl w:ilvl="7">
      <w:start w:val="0"/>
      <w:numFmt w:val="bullet"/>
      <w:lvlText w:val="o"/>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Wingdings" w:hAnsi="Wingdings" w:cs="Wingdings" w:hint="default"/>
      </w:rPr>
    </w:lvl>
  </w:abstractNum>
  <w:abstractNum w:abstractNumId="5">
    <w:lvl w:ilvl="0">
      <w:numFmt w:val="bullet"/>
      <w:lvlText w:val=""/>
      <w:lvlJc w:val="left"/>
      <w:pPr>
        <w:tabs>
          <w:tab w:val="num" w:pos="0"/>
        </w:tabs>
        <w:ind w:left="894" w:hanging="360"/>
      </w:pPr>
      <w:rPr>
        <w:rFonts w:ascii="Wingdings" w:hAnsi="Wingdings" w:cs="Wingdings" w:hint="default"/>
      </w:rPr>
    </w:lvl>
    <w:lvl w:ilvl="1">
      <w:start w:val="0"/>
      <w:numFmt w:val="bullet"/>
      <w:lvlText w:val="o"/>
      <w:lvlJc w:val="left"/>
      <w:pPr>
        <w:tabs>
          <w:tab w:val="num" w:pos="0"/>
        </w:tabs>
        <w:ind w:left="1614" w:hanging="360"/>
      </w:pPr>
      <w:rPr>
        <w:rFonts w:ascii="Courier New" w:hAnsi="Courier New" w:cs="Courier New" w:hint="default"/>
      </w:rPr>
    </w:lvl>
    <w:lvl w:ilvl="2">
      <w:start w:val="0"/>
      <w:numFmt w:val="bullet"/>
      <w:lvlText w:val=""/>
      <w:lvlJc w:val="left"/>
      <w:pPr>
        <w:tabs>
          <w:tab w:val="num" w:pos="0"/>
        </w:tabs>
        <w:ind w:left="2334" w:hanging="360"/>
      </w:pPr>
      <w:rPr>
        <w:rFonts w:ascii="Wingdings" w:hAnsi="Wingdings" w:cs="Wingdings" w:hint="default"/>
      </w:rPr>
    </w:lvl>
    <w:lvl w:ilvl="3">
      <w:start w:val="0"/>
      <w:numFmt w:val="bullet"/>
      <w:lvlText w:val=""/>
      <w:lvlJc w:val="left"/>
      <w:pPr>
        <w:tabs>
          <w:tab w:val="num" w:pos="0"/>
        </w:tabs>
        <w:ind w:left="3054" w:hanging="360"/>
      </w:pPr>
      <w:rPr>
        <w:rFonts w:ascii="Symbol" w:hAnsi="Symbol" w:cs="Symbol" w:hint="default"/>
      </w:rPr>
    </w:lvl>
    <w:lvl w:ilvl="4">
      <w:start w:val="0"/>
      <w:numFmt w:val="bullet"/>
      <w:lvlText w:val="o"/>
      <w:lvlJc w:val="left"/>
      <w:pPr>
        <w:tabs>
          <w:tab w:val="num" w:pos="0"/>
        </w:tabs>
        <w:ind w:left="3774" w:hanging="360"/>
      </w:pPr>
      <w:rPr>
        <w:rFonts w:ascii="Courier New" w:hAnsi="Courier New" w:cs="Courier New" w:hint="default"/>
      </w:rPr>
    </w:lvl>
    <w:lvl w:ilvl="5">
      <w:start w:val="0"/>
      <w:numFmt w:val="bullet"/>
      <w:lvlText w:val=""/>
      <w:lvlJc w:val="left"/>
      <w:pPr>
        <w:tabs>
          <w:tab w:val="num" w:pos="0"/>
        </w:tabs>
        <w:ind w:left="4494" w:hanging="360"/>
      </w:pPr>
      <w:rPr>
        <w:rFonts w:ascii="Wingdings" w:hAnsi="Wingdings" w:cs="Wingdings" w:hint="default"/>
      </w:rPr>
    </w:lvl>
    <w:lvl w:ilvl="6">
      <w:start w:val="0"/>
      <w:numFmt w:val="bullet"/>
      <w:lvlText w:val=""/>
      <w:lvlJc w:val="left"/>
      <w:pPr>
        <w:tabs>
          <w:tab w:val="num" w:pos="0"/>
        </w:tabs>
        <w:ind w:left="5214" w:hanging="360"/>
      </w:pPr>
      <w:rPr>
        <w:rFonts w:ascii="Symbol" w:hAnsi="Symbol" w:cs="Symbol" w:hint="default"/>
      </w:rPr>
    </w:lvl>
    <w:lvl w:ilvl="7">
      <w:start w:val="0"/>
      <w:numFmt w:val="bullet"/>
      <w:lvlText w:val="o"/>
      <w:lvlJc w:val="left"/>
      <w:pPr>
        <w:tabs>
          <w:tab w:val="num" w:pos="0"/>
        </w:tabs>
        <w:ind w:left="5934" w:hanging="360"/>
      </w:pPr>
      <w:rPr>
        <w:rFonts w:ascii="Courier New" w:hAnsi="Courier New" w:cs="Courier New" w:hint="default"/>
      </w:rPr>
    </w:lvl>
    <w:lvl w:ilvl="8">
      <w:start w:val="0"/>
      <w:numFmt w:val="bullet"/>
      <w:lvlText w:val=""/>
      <w:lvlJc w:val="left"/>
      <w:pPr>
        <w:tabs>
          <w:tab w:val="num" w:pos="0"/>
        </w:tabs>
        <w:ind w:left="6654"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Wingdings" w:hAnsi="Wingdings" w:cs="Wingdings"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
      <w:lvlJc w:val="left"/>
      <w:pPr>
        <w:tabs>
          <w:tab w:val="num" w:pos="0"/>
        </w:tabs>
        <w:ind w:left="360" w:hanging="360"/>
      </w:pPr>
      <w:rPr>
        <w:rFonts w:ascii="Symbol" w:hAnsi="Symbol" w:cs="Symbol" w:hint="default"/>
      </w:rPr>
    </w:lvl>
    <w:lvl w:ilvl="1">
      <w:start w:val="0"/>
      <w:numFmt w:val="bullet"/>
      <w:lvlText w:val="o"/>
      <w:lvlJc w:val="left"/>
      <w:pPr>
        <w:tabs>
          <w:tab w:val="num" w:pos="0"/>
        </w:tabs>
        <w:ind w:left="1080" w:hanging="360"/>
      </w:pPr>
      <w:rPr>
        <w:rFonts w:ascii="Courier New" w:hAnsi="Courier New" w:cs="Courier New" w:hint="default"/>
      </w:rPr>
    </w:lvl>
    <w:lvl w:ilvl="2">
      <w:start w:val="0"/>
      <w:numFmt w:val="bullet"/>
      <w:lvlText w:val=""/>
      <w:lvlJc w:val="left"/>
      <w:pPr>
        <w:tabs>
          <w:tab w:val="num" w:pos="0"/>
        </w:tabs>
        <w:ind w:left="1800" w:hanging="360"/>
      </w:pPr>
      <w:rPr>
        <w:rFonts w:ascii="Wingdings" w:hAnsi="Wingdings" w:cs="Wingdings" w:hint="default"/>
      </w:rPr>
    </w:lvl>
    <w:lvl w:ilvl="3">
      <w:start w:val="0"/>
      <w:numFmt w:val="bullet"/>
      <w:lvlText w:val=""/>
      <w:lvlJc w:val="left"/>
      <w:pPr>
        <w:tabs>
          <w:tab w:val="num" w:pos="0"/>
        </w:tabs>
        <w:ind w:left="2520" w:hanging="360"/>
      </w:pPr>
      <w:rPr>
        <w:rFonts w:ascii="Symbol" w:hAnsi="Symbol" w:cs="Symbol" w:hint="default"/>
      </w:rPr>
    </w:lvl>
    <w:lvl w:ilvl="4">
      <w:start w:val="0"/>
      <w:numFmt w:val="bullet"/>
      <w:lvlText w:val="o"/>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Wingdings" w:hAnsi="Wingdings" w:cs="Wingdings" w:hint="default"/>
      </w:rPr>
    </w:lvl>
    <w:lvl w:ilvl="6">
      <w:start w:val="0"/>
      <w:numFmt w:val="bullet"/>
      <w:lvlText w:val=""/>
      <w:lvlJc w:val="left"/>
      <w:pPr>
        <w:tabs>
          <w:tab w:val="num" w:pos="0"/>
        </w:tabs>
        <w:ind w:left="4680" w:hanging="360"/>
      </w:pPr>
      <w:rPr>
        <w:rFonts w:ascii="Symbol" w:hAnsi="Symbol" w:cs="Symbol" w:hint="default"/>
      </w:rPr>
    </w:lvl>
    <w:lvl w:ilvl="7">
      <w:start w:val="0"/>
      <w:numFmt w:val="bullet"/>
      <w:lvlText w:val="o"/>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useWord2013TrackBottomHyphenation" w:uri="http://schemas.microsoft.com/office/word" w:val="1"/>
  </w:compat>
  <w:themeFontLang w:val="en-B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textAlignment w:val="baseline"/>
    </w:pPr>
    <w:rPr>
      <w:rFonts w:ascii="Calibri" w:hAnsi="Calibri" w:eastAsia="Calibri" w:cs="Arial"/>
      <w:color w:val="auto"/>
      <w:kern w:val="0"/>
      <w:sz w:val="22"/>
      <w:szCs w:val="22"/>
      <w:lang w:val="en-GB" w:eastAsia="en-US" w:bidi="ar-SA"/>
    </w:rPr>
  </w:style>
  <w:style w:type="paragraph" w:styleId="Berschrift1">
    <w:name w:val="Heading 1"/>
    <w:basedOn w:val="Normal"/>
    <w:next w:val="Normal"/>
    <w:uiPriority w:val="9"/>
    <w:qFormat/>
    <w:pPr>
      <w:keepNext w:val="true"/>
      <w:keepLines/>
      <w:spacing w:before="240" w:after="0"/>
      <w:outlineLvl w:val="0"/>
    </w:pPr>
    <w:rPr>
      <w:rFonts w:ascii="Cambria" w:hAnsi="Cambria" w:eastAsia="SimSun" w:cs="Times New Roman"/>
      <w:color w:val="365F91"/>
      <w:sz w:val="32"/>
      <w:szCs w:val="32"/>
    </w:rPr>
  </w:style>
  <w:style w:type="paragraph" w:styleId="Berschrift2">
    <w:name w:val="Heading 2"/>
    <w:basedOn w:val="Normal"/>
    <w:next w:val="Normal"/>
    <w:uiPriority w:val="9"/>
    <w:unhideWhenUsed/>
    <w:qFormat/>
    <w:pPr>
      <w:keepNext w:val="true"/>
      <w:keepLines/>
      <w:spacing w:before="40" w:after="0"/>
      <w:outlineLvl w:val="1"/>
    </w:pPr>
    <w:rPr>
      <w:rFonts w:ascii="Cambria" w:hAnsi="Cambria" w:eastAsia="SimSun" w:cs="Times New Roman"/>
      <w:color w:val="365F91"/>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BodyTextChar" w:customStyle="1">
    <w:name w:val="Body Text Char"/>
    <w:basedOn w:val="DefaultParagraphFont"/>
    <w:qFormat/>
    <w:rPr>
      <w:rFonts w:ascii="Tahoma" w:hAnsi="Tahoma" w:eastAsia="Times New Roman" w:cs="Times New Roman"/>
      <w:spacing w:val="10"/>
      <w:sz w:val="17"/>
      <w:szCs w:val="20"/>
      <w:lang w:val="en-US"/>
    </w:rPr>
  </w:style>
  <w:style w:type="character" w:styleId="TitleChar" w:customStyle="1">
    <w:name w:val="Title Char"/>
    <w:basedOn w:val="DefaultParagraphFont"/>
    <w:qFormat/>
    <w:rPr>
      <w:rFonts w:ascii="Cambria" w:hAnsi="Cambria" w:eastAsia="SimSun" w:cs="Times New Roman"/>
      <w:spacing w:val="-10"/>
      <w:kern w:val="2"/>
      <w:sz w:val="56"/>
      <w:szCs w:val="56"/>
    </w:rPr>
  </w:style>
  <w:style w:type="character" w:styleId="BalloonTextChar" w:customStyle="1">
    <w:name w:val="Balloon Text Char"/>
    <w:basedOn w:val="DefaultParagraphFont"/>
    <w:qFormat/>
    <w:rPr>
      <w:rFonts w:ascii="Times New Roman" w:hAnsi="Times New Roman" w:cs="Times New Roman"/>
      <w:sz w:val="18"/>
      <w:szCs w:val="18"/>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qFormat/>
    <w:rPr>
      <w:sz w:val="20"/>
      <w:szCs w:val="20"/>
    </w:rPr>
  </w:style>
  <w:style w:type="character" w:styleId="CommentSubjectChar" w:customStyle="1">
    <w:name w:val="Comment Subject Char"/>
    <w:basedOn w:val="CommentTextChar"/>
    <w:qFormat/>
    <w:rPr>
      <w:b/>
      <w:bCs/>
      <w:sz w:val="20"/>
      <w:szCs w:val="20"/>
    </w:rPr>
  </w:style>
  <w:style w:type="character" w:styleId="FootnoteTextChar" w:customStyle="1">
    <w:name w:val="Footnote Text Char"/>
    <w:basedOn w:val="DefaultParagraphFont"/>
    <w:qFormat/>
    <w:rPr>
      <w:sz w:val="20"/>
      <w:szCs w:val="20"/>
    </w:rPr>
  </w:style>
  <w:style w:type="character" w:styleId="Funotenanker">
    <w:name w:val="Fußnotenanker"/>
    <w:rPr>
      <w:vertAlign w:val="superscript"/>
    </w:rPr>
  </w:style>
  <w:style w:type="character" w:styleId="FootnoteCharacters">
    <w:name w:val="Footnote Characters"/>
    <w:basedOn w:val="DefaultParagraphFont"/>
    <w:qFormat/>
    <w:rPr>
      <w:vertAlign w:val="superscript"/>
    </w:rPr>
  </w:style>
  <w:style w:type="character" w:styleId="Strong">
    <w:name w:val="Strong"/>
    <w:qFormat/>
    <w:rPr>
      <w:b/>
      <w:bCs/>
    </w:rPr>
  </w:style>
  <w:style w:type="character" w:styleId="Internetverknpfung">
    <w:name w:val="Internetverknüpfung"/>
    <w:basedOn w:val="DefaultParagraphFont"/>
    <w:rPr>
      <w:color w:val="0000FF"/>
      <w:u w:val="single"/>
    </w:rPr>
  </w:style>
  <w:style w:type="character" w:styleId="UnresolvedMention">
    <w:name w:val="Unresolved Mention"/>
    <w:basedOn w:val="DefaultParagraphFont"/>
    <w:qFormat/>
    <w:rPr>
      <w:color w:val="605E5C"/>
      <w:shd w:fill="E1DFDD" w:val="clear"/>
    </w:rPr>
  </w:style>
  <w:style w:type="character" w:styleId="BesuchteInternetverknpfung">
    <w:name w:val="Besuchte Internetverknüpfung"/>
    <w:basedOn w:val="DefaultParagraphFont"/>
    <w:rPr>
      <w:color w:val="800080"/>
      <w:u w:val="single"/>
    </w:rPr>
  </w:style>
  <w:style w:type="character" w:styleId="Heading2Char" w:customStyle="1">
    <w:name w:val="Heading 2 Char"/>
    <w:basedOn w:val="DefaultParagraphFont"/>
    <w:qFormat/>
    <w:rPr>
      <w:rFonts w:ascii="Cambria" w:hAnsi="Cambria" w:eastAsia="SimSun" w:cs="Times New Roman"/>
      <w:color w:val="365F91"/>
      <w:sz w:val="26"/>
      <w:szCs w:val="26"/>
    </w:rPr>
  </w:style>
  <w:style w:type="character" w:styleId="Heading1Char" w:customStyle="1">
    <w:name w:val="Heading 1 Char"/>
    <w:basedOn w:val="DefaultParagraphFont"/>
    <w:qFormat/>
    <w:rPr>
      <w:rFonts w:ascii="Cambria" w:hAnsi="Cambria" w:eastAsia="SimSun" w:cs="Times New Roman"/>
      <w:color w:val="365F91"/>
      <w:sz w:val="32"/>
      <w:szCs w:val="32"/>
    </w:rPr>
  </w:style>
  <w:style w:type="character" w:styleId="Betont">
    <w:name w:val="Betont"/>
    <w:qFormat/>
    <w:rPr>
      <w:i/>
      <w:iCs/>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lineRule="exact" w:line="240"/>
    </w:pPr>
    <w:rPr>
      <w:rFonts w:ascii="Tahoma" w:hAnsi="Tahoma" w:eastAsia="Times New Roman" w:cs="Times New Roman"/>
      <w:spacing w:val="10"/>
      <w:sz w:val="17"/>
      <w:szCs w:val="20"/>
      <w:lang w:val="en-US"/>
    </w:rPr>
  </w:style>
  <w:style w:type="paragraph" w:styleId="Liste">
    <w:name w:val="List"/>
    <w:basedOn w:val="Textkrper"/>
    <w:pPr/>
    <w:rPr>
      <w:rFonts w:ascii="Arial" w:hAnsi="Arial" w:cs="Arial"/>
    </w:rPr>
  </w:style>
  <w:style w:type="paragraph" w:styleId="Beschriftung">
    <w:name w:val="Caption"/>
    <w:basedOn w:val="Normal"/>
    <w:qFormat/>
    <w:pPr>
      <w:suppressLineNumbers/>
      <w:spacing w:before="120" w:after="120"/>
    </w:pPr>
    <w:rPr>
      <w:rFonts w:ascii="Arial" w:hAnsi="Arial" w:cs="Arial"/>
      <w:i/>
      <w:iCs/>
      <w:sz w:val="24"/>
      <w:szCs w:val="24"/>
    </w:rPr>
  </w:style>
  <w:style w:type="paragraph" w:styleId="Verzeichnis">
    <w:name w:val="Verzeichnis"/>
    <w:basedOn w:val="Normal"/>
    <w:qFormat/>
    <w:pPr>
      <w:suppressLineNumbers/>
    </w:pPr>
    <w:rPr>
      <w:rFonts w:ascii="Arial" w:hAnsi="Arial" w:cs="Arial"/>
    </w:rPr>
  </w:style>
  <w:style w:type="paragraph" w:styleId="KopfundFuzeile">
    <w:name w:val="Kopf- und Fußzeile"/>
    <w:basedOn w:val="Normal"/>
    <w:qFormat/>
    <w:pPr/>
    <w:rPr/>
  </w:style>
  <w:style w:type="paragraph" w:styleId="Kopfzeile">
    <w:name w:val="Header"/>
    <w:basedOn w:val="Normal"/>
    <w:pPr>
      <w:tabs>
        <w:tab w:val="clear" w:pos="720"/>
        <w:tab w:val="center" w:pos="4536" w:leader="none"/>
        <w:tab w:val="right" w:pos="9072" w:leader="none"/>
      </w:tabs>
      <w:spacing w:lineRule="auto" w:line="240" w:before="0" w:after="0"/>
    </w:pPr>
    <w:rPr/>
  </w:style>
  <w:style w:type="paragraph" w:styleId="Fuzeile">
    <w:name w:val="Footer"/>
    <w:basedOn w:val="Normal"/>
    <w:pPr>
      <w:tabs>
        <w:tab w:val="clear" w:pos="720"/>
        <w:tab w:val="center" w:pos="4536" w:leader="none"/>
        <w:tab w:val="right" w:pos="9072" w:leader="none"/>
      </w:tabs>
      <w:spacing w:lineRule="auto" w:line="240" w:before="0" w:after="0"/>
    </w:pPr>
    <w:rPr/>
  </w:style>
  <w:style w:type="paragraph" w:styleId="Titel">
    <w:name w:val="Title"/>
    <w:basedOn w:val="Normal"/>
    <w:next w:val="Normal"/>
    <w:uiPriority w:val="10"/>
    <w:qFormat/>
    <w:pPr>
      <w:spacing w:lineRule="auto" w:line="240" w:before="0" w:after="0"/>
    </w:pPr>
    <w:rPr>
      <w:rFonts w:ascii="Cambria" w:hAnsi="Cambria" w:eastAsia="SimSun" w:cs="Times New Roman"/>
      <w:spacing w:val="-10"/>
      <w:kern w:val="2"/>
      <w:sz w:val="56"/>
      <w:szCs w:val="56"/>
    </w:rPr>
  </w:style>
  <w:style w:type="paragraph" w:styleId="BalloonText">
    <w:name w:val="Balloon Text"/>
    <w:basedOn w:val="Normal"/>
    <w:qFormat/>
    <w:pPr>
      <w:spacing w:lineRule="auto" w:line="240" w:before="0" w:after="0"/>
    </w:pPr>
    <w:rPr>
      <w:rFonts w:ascii="Times New Roman" w:hAnsi="Times New Roman" w:cs="Times New Roman"/>
      <w:sz w:val="18"/>
      <w:szCs w:val="18"/>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Funote">
    <w:name w:val="Footnote Text"/>
    <w:basedOn w:val="Normal"/>
    <w:pPr>
      <w:spacing w:lineRule="auto" w:line="240" w:before="0" w:after="0"/>
    </w:pPr>
    <w:rPr>
      <w:sz w:val="20"/>
      <w:szCs w:val="20"/>
    </w:rPr>
  </w:style>
  <w:style w:type="paragraph" w:styleId="ListParagraph">
    <w:name w:val="List Paragraph"/>
    <w:basedOn w:val="Normal"/>
    <w:qFormat/>
    <w:pPr>
      <w:ind w:left="720" w:hanging="0"/>
    </w:pPr>
    <w:rPr/>
  </w:style>
  <w:style w:type="paragraph" w:styleId="Default" w:customStyle="1">
    <w:name w:val="Default"/>
    <w:qFormat/>
    <w:pPr>
      <w:widowControl/>
      <w:suppressAutoHyphens w:val="true"/>
      <w:bidi w:val="0"/>
      <w:spacing w:lineRule="auto" w:line="240" w:before="0" w:after="0"/>
      <w:jc w:val="left"/>
      <w:textAlignment w:val="baseline"/>
    </w:pPr>
    <w:rPr>
      <w:rFonts w:ascii="Times New Roman" w:hAnsi="Times New Roman" w:eastAsia="Calibri" w:cs="Times New Roman"/>
      <w:color w:val="000000"/>
      <w:kern w:val="0"/>
      <w:sz w:val="24"/>
      <w:szCs w:val="24"/>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europa.eu/info/files/200610-cmu-high-level-forum-final-report_en" TargetMode="External"/><Relationship Id="rId3" Type="http://schemas.openxmlformats.org/officeDocument/2006/relationships/hyperlink" Target="https://betterfinance.eu/publication/better-finance-key-priorities-for-the-next-five-years-&#9474;-2019-2024/" TargetMode="External"/><Relationship Id="rId4" Type="http://schemas.openxmlformats.org/officeDocument/2006/relationships/hyperlink" Target="mailto:houdmont@betterfinance.eu"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http://www.eurofinuse.org/"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2" ma:contentTypeDescription="Create a new document." ma:contentTypeScope="" ma:versionID="fad30e866c7e5bd87e01b4be7e13f445">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3d251b770648fbf44b28e39a1ec2cbaa"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ADB02-90CB-4B9E-9CCC-25FAE14DD4E2}"/>
</file>

<file path=customXml/itemProps2.xml><?xml version="1.0" encoding="utf-8"?>
<ds:datastoreItem xmlns:ds="http://schemas.openxmlformats.org/officeDocument/2006/customXml" ds:itemID="{CE930DE7-1928-4AA2-BA23-C188623511B3}"/>
</file>

<file path=customXml/itemProps3.xml><?xml version="1.0" encoding="utf-8"?>
<ds:datastoreItem xmlns:ds="http://schemas.openxmlformats.org/officeDocument/2006/customXml" ds:itemID="{382701C7-4C80-4AEE-A7D1-885A38406422}"/>
</file>

<file path=docProps/app.xml><?xml version="1.0" encoding="utf-8"?>
<Properties xmlns="http://schemas.openxmlformats.org/officeDocument/2006/extended-properties" xmlns:vt="http://schemas.openxmlformats.org/officeDocument/2006/docPropsVTypes">
  <Template>Normal</Template>
  <TotalTime>364</TotalTime>
  <Application>LibreOffice/6.4.6.2$Windows_X86_64 LibreOffice_project/0ce51a4fd21bff07a5c061082cc82c5ed232f115</Application>
  <Pages>3</Pages>
  <Words>2433</Words>
  <Characters>17401</Characters>
  <CharactersWithSpaces>19682</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2020-11-19T18:58:00Z</dcterms:created>
  <dc:creator>Arnaud Houdmont</dc:creator>
  <dc:description/>
  <dc:language>de-DE</dc:language>
  <cp:lastModifiedBy/>
  <cp:lastPrinted>2020-12-20T21:33:11Z</cp:lastPrinted>
  <dcterms:modified xsi:type="dcterms:W3CDTF">2020-12-20T22:10:09Z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0x010100B5308A9776426D41840A8C2CCB15B3F3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