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de-DE" w:eastAsia="en-US" w:bidi="ar-SA"/>
        </w:rPr>
      </w:pPr>
      <w:r>
        <w:rPr>
          <w:lang w:val="de-DE" w:eastAsia="en-US" w:bidi="ar-SA"/>
        </w:rPr>
      </w:r>
    </w:p>
    <w:p>
      <w:pPr>
        <w:pStyle w:val="Textkrper"/>
        <w:spacing w:lineRule="auto" w:line="312" w:before="0" w:after="120"/>
        <w:jc w:val="both"/>
        <w:rPr/>
      </w:pPr>
      <w:bookmarkStart w:id="0" w:name="_Hlk4143464"/>
      <w:r>
        <w:rPr>
          <w:rStyle w:val="Strong"/>
          <w:sz w:val="18"/>
          <w:lang w:val="de-DE" w:eastAsia="en-US" w:bidi="ar-SA"/>
        </w:rPr>
        <w:t xml:space="preserve">PRESSEMITTEILUNG </w:t>
      </w:r>
    </w:p>
    <w:p>
      <w:pPr>
        <w:pStyle w:val="Berschrift2"/>
        <w:spacing w:before="40" w:after="80"/>
        <w:jc w:val="both"/>
        <w:rPr>
          <w:lang w:val="de-DE" w:eastAsia="en-US" w:bidi="ar-SA"/>
        </w:rPr>
      </w:pPr>
      <w:r>
        <w:rPr>
          <w:rFonts w:eastAsia="Calibri" w:cs="Arial"/>
          <w:b/>
          <w:spacing w:val="20"/>
          <w:kern w:val="2"/>
          <w:sz w:val="30"/>
          <w:szCs w:val="30"/>
          <w:lang w:val="de-DE" w:eastAsia="en-US" w:bidi="ar-SA"/>
        </w:rPr>
        <w:t>Europäischer Vorschlag für eine Finanztransaktionssteuer (FTS) zielt unverhältnismäßig stark auf EU-Bürger und weniger auf Finanzinstitute ab</w:t>
      </w:r>
    </w:p>
    <w:p>
      <w:pPr>
        <w:pStyle w:val="Normal"/>
        <w:spacing w:before="0" w:after="120"/>
        <w:jc w:val="both"/>
        <w:rPr>
          <w:lang w:val="de-DE" w:eastAsia="en-US" w:bidi="ar-SA"/>
        </w:rPr>
      </w:pPr>
      <w:r>
        <w:rPr>
          <w:rFonts w:cs="Calibri Light" w:ascii="Calibri Light" w:hAnsi="Calibri Light"/>
          <w:b/>
          <w:lang w:val="de-DE" w:eastAsia="en-US" w:bidi="ar-SA"/>
        </w:rPr>
        <w:t xml:space="preserve">Brüssel, 21. Januar 2019 </w:t>
      </w:r>
      <w:r>
        <w:rPr>
          <w:rFonts w:cs="Calibri Light" w:ascii="Calibri Light" w:hAnsi="Calibri Light"/>
          <w:lang w:val="de-DE" w:eastAsia="en-US" w:bidi="ar-SA"/>
        </w:rPr>
        <w:t xml:space="preserve">- </w:t>
      </w:r>
      <w:bookmarkEnd w:id="0"/>
      <w:r>
        <w:rPr>
          <w:rFonts w:cs="Calibri Light" w:ascii="Calibri Light" w:hAnsi="Calibri Light"/>
          <w:lang w:val="de-DE" w:eastAsia="en-US" w:bidi="ar-SA"/>
        </w:rPr>
        <w:t>Bereits 2013 hat BETTER FINANCE klar seine Unterstützung für eine europäische Finanztransaktionssteuer (FTS) mit ihrem erklärten Hauptziel zum Ausdruck gebracht, „</w:t>
      </w:r>
      <w:r>
        <w:rPr>
          <w:rFonts w:cs="Calibri Light" w:ascii="Calibri Light" w:hAnsi="Calibri Light"/>
          <w:i/>
          <w:iCs/>
          <w:lang w:val="de-DE" w:eastAsia="en-US" w:bidi="ar-SA"/>
        </w:rPr>
        <w:t>[sicherzustellen], dass Finanzinstitute einen fairen und substanziellen Beitrag zur Deckung der Kosten der jüngsten Krise leisten ... und die Realwirtschaft, KMU, Haushalte usw. abschirmen“</w:t>
      </w:r>
      <w:r>
        <w:rPr>
          <w:rFonts w:cs="Calibri Light" w:ascii="Calibri Light" w:hAnsi="Calibri Light"/>
          <w:lang w:val="de-DE" w:eastAsia="en-US" w:bidi="ar-SA"/>
        </w:rPr>
        <w:t xml:space="preserve">. </w:t>
      </w:r>
    </w:p>
    <w:p>
      <w:pPr>
        <w:pStyle w:val="Normal"/>
        <w:spacing w:before="0" w:after="120"/>
        <w:jc w:val="both"/>
        <w:rPr/>
      </w:pPr>
      <w:r>
        <w:rPr>
          <w:rFonts w:cs="Calibri Light" w:ascii="Calibri Light" w:hAnsi="Calibri Light"/>
          <w:lang w:val="de-DE" w:eastAsia="en-US" w:bidi="ar-SA"/>
        </w:rPr>
        <w:t xml:space="preserve">Gleichzeitig </w:t>
      </w:r>
      <w:hyperlink r:id="rId2">
        <w:r>
          <w:rPr>
            <w:rStyle w:val="Internetverknpfung"/>
            <w:rFonts w:cs="Calibri Light" w:ascii="Calibri Light" w:hAnsi="Calibri Light"/>
            <w:lang w:val="de-DE" w:eastAsia="en-US" w:bidi="ar-SA"/>
          </w:rPr>
          <w:t>äußerte BETTER FINANCE erhebliche Bedenken an dem im Februar 2013 von der Europäischen Kommission vorgelegten Vorschlag für eine Finanztransaktionssteuer</w:t>
        </w:r>
      </w:hyperlink>
      <w:r>
        <w:rPr>
          <w:rFonts w:cs="Calibri Light" w:ascii="Calibri Light" w:hAnsi="Calibri Light"/>
          <w:lang w:val="de-DE" w:eastAsia="en-US" w:bidi="ar-SA"/>
        </w:rPr>
        <w:t>, da er das gesetzte Ziel nicht erreichen würde und es wieder einmal die EU-Bürger und nicht die Finanzinstitute sein würden, die für den Großteil dieser Finanztransaktionssteuer aufkommen müssten.</w:t>
      </w:r>
    </w:p>
    <w:p>
      <w:pPr>
        <w:pStyle w:val="Normal"/>
        <w:spacing w:before="0" w:after="120"/>
        <w:jc w:val="both"/>
        <w:rPr>
          <w:lang w:val="de-DE" w:eastAsia="en-US" w:bidi="ar-SA"/>
        </w:rPr>
      </w:pPr>
      <w:r>
        <w:rPr>
          <w:rFonts w:cs="Calibri Light" w:ascii="Calibri Light" w:hAnsi="Calibri Light"/>
          <w:lang w:val="de-DE" w:eastAsia="en-US" w:bidi="ar-SA"/>
        </w:rPr>
        <w:t>Statt Transaktionen zwischen Finanzinstituten ins Visier zu nehmen, wie dies dem lobenswerten Ziel der Finanztransaktionssteuer gerecht werden würde, zielt der aktuelle Vorschlag erneut auf die EU-Bürger als Sparer und Endanleger ab, während die Finanzindustrie ungeschoren davonkommt.</w:t>
      </w:r>
    </w:p>
    <w:p>
      <w:pPr>
        <w:pStyle w:val="Normal"/>
        <w:spacing w:before="0" w:after="120"/>
        <w:jc w:val="both"/>
        <w:rPr>
          <w:lang w:val="de-DE" w:eastAsia="en-US" w:bidi="ar-SA"/>
        </w:rPr>
      </w:pPr>
      <w:r>
        <w:rPr>
          <w:rFonts w:cs="Calibri Light" w:ascii="Calibri Light" w:hAnsi="Calibri Light"/>
          <w:lang w:val="de-DE" w:eastAsia="en-US" w:bidi="ar-SA"/>
        </w:rPr>
        <w:t xml:space="preserve">Eine echte Finanztransaktionssteuer, die dem Anspruch genügt, auch die Finanzinstitute zum Schutz der Realwirtschaft und der EU-Bürger in die Pflicht zu nehmen, müsste Devisentransaktionen, insbesondere Devisenderivate, sowie andere Derivate besteuern, anstatt sich auf den Handel mit börsennotierten Aktien und Anleihen zu konzentrieren. </w:t>
      </w:r>
    </w:p>
    <w:p>
      <w:pPr>
        <w:pStyle w:val="Normal"/>
        <w:spacing w:before="0" w:after="120"/>
        <w:jc w:val="both"/>
        <w:rPr/>
      </w:pPr>
      <w:r>
        <w:rPr>
          <w:rFonts w:cs="Calibri Light" w:ascii="Calibri Light" w:hAnsi="Calibri Light"/>
          <w:lang w:val="de-DE" w:eastAsia="en-US" w:bidi="ar-SA"/>
        </w:rPr>
        <w:t xml:space="preserve">Mit einem Transaktionsvolumen von mehr als einer Billiarde Dollar pro Jahr –  bzw. mehr als </w:t>
      </w:r>
      <w:hyperlink r:id="rId3">
        <w:r>
          <w:rPr>
            <w:rStyle w:val="Internetverknpfung"/>
            <w:rFonts w:cs="Calibri Light" w:ascii="Calibri Light" w:hAnsi="Calibri Light"/>
            <w:lang w:val="de-DE" w:eastAsia="en-US" w:bidi="ar-SA"/>
          </w:rPr>
          <w:t>5 Billionen Dollar</w:t>
        </w:r>
      </w:hyperlink>
      <w:r>
        <w:rPr>
          <w:rFonts w:cs="Calibri Light" w:ascii="Calibri Light" w:hAnsi="Calibri Light"/>
          <w:lang w:val="de-DE" w:eastAsia="en-US" w:bidi="ar-SA"/>
        </w:rPr>
        <w:t xml:space="preserve"> pro Tag –  ist der Devisenmarkt (der sich überwiegend aus Devisenderivaten zusammensetzt) der bei Weitem größte Finanzmarkt der Welt, der alle anderen Märkte in den Schatten stellt. Im Vergleich dazu ist der viel bekanntere Weltaktienmarkt nur einen Bruchteil –  etwa 5 % – des Devisenmarktes wert. Dennoch wäre der größte aller Finanzmärkte und die privilegierte Spielwiese der Finanzinstitute von einer Finanztransaktionssteuer nicht betroffen und ist bis heute völlig undurchsichtig und weitgehend unreguliert. Das Gleiche gilt –  zu einem geringerem Grad –  für Zinsderivate, die nicht von Bürgern, sondern in der Regel ebenfalls von Finanzinstituten gehandelt werden.  Eine Finanztransaktionssteuer, die auf diese gigantischen professionellen Märkte anstatt auf Aktienmärkte abzielt, würde viel höhere Steuereinnahmen einbringen und sicherstellen, dass nicht erneut die EU-Bürger zur Kasse gebeten werden. </w:t>
      </w:r>
    </w:p>
    <w:p>
      <w:pPr>
        <w:pStyle w:val="Normal"/>
        <w:spacing w:before="0" w:after="120"/>
        <w:jc w:val="both"/>
        <w:rPr/>
      </w:pPr>
      <w:r>
        <w:rPr>
          <w:rFonts w:cs="Calibri Light" w:ascii="Calibri Light" w:hAnsi="Calibri Light"/>
          <w:lang w:val="de-DE" w:eastAsia="en-US" w:bidi="ar-SA"/>
        </w:rPr>
        <w:t xml:space="preserve">Sechs Jahre später wird das Thema Finanztransaktionssteuer nach wie vor im Rat blockiert, obwohl nach einem </w:t>
      </w:r>
      <w:hyperlink r:id="rId4">
        <w:r>
          <w:rPr>
            <w:rStyle w:val="Internetverknpfung"/>
            <w:rFonts w:cs="Calibri Light" w:ascii="Calibri Light" w:hAnsi="Calibri Light"/>
            <w:lang w:val="de-DE" w:eastAsia="en-US" w:bidi="ar-SA"/>
          </w:rPr>
          <w:t>Vermerk Deutschlands vom Juni 2019</w:t>
        </w:r>
      </w:hyperlink>
      <w:r>
        <w:rPr>
          <w:rFonts w:cs="Calibri Light" w:ascii="Calibri Light" w:hAnsi="Calibri Light"/>
          <w:lang w:val="de-DE" w:eastAsia="en-US" w:bidi="ar-SA"/>
        </w:rPr>
        <w:t>, in dem der Rat nachdrücklich aufgefordert wurde, die Verhandlungen wieder aufzunehmen und die in Frankreich bereits bestehende Finanztransaktionssteuer als Grundlage heranzuziehen, erneut Diskussionen stattfanden.</w:t>
      </w:r>
    </w:p>
    <w:p>
      <w:pPr>
        <w:pStyle w:val="Normal"/>
        <w:spacing w:before="0" w:after="120"/>
        <w:jc w:val="both"/>
        <w:rPr>
          <w:lang w:val="de-DE" w:eastAsia="en-US" w:bidi="ar-SA"/>
        </w:rPr>
      </w:pPr>
      <w:r>
        <w:rPr>
          <w:rFonts w:cs="Calibri Light" w:ascii="Calibri Light" w:hAnsi="Calibri Light"/>
          <w:lang w:val="de-DE" w:eastAsia="en-US" w:bidi="ar-SA"/>
        </w:rPr>
        <w:t xml:space="preserve">Leider wird im deutschen Vorschlag keines der Probleme in Verbindung mit der Finanztransaktionssteuer, die von BETTER FINANCE bereits 2013 angesprochen wurden, in Angriff genommen. Kurz gesagt, die vorgeschlagene Finanztransaktionssteuer würde eine Steuer von 0,2 % auf alle Aktiengeschäfte im Wert von mehr als 1 Milliarde Euro erheben, wobei Forex-Transaktionen sowie der Handel mit Anleihen und Derivaten und der Hochfrequenzhandel davon nicht betroffen wären. </w:t>
      </w:r>
    </w:p>
    <w:p>
      <w:pPr>
        <w:pStyle w:val="Normal"/>
        <w:spacing w:before="0" w:after="120"/>
        <w:jc w:val="both"/>
        <w:rPr/>
      </w:pPr>
      <w:r>
        <w:rPr>
          <w:rFonts w:cs="Calibri Light" w:ascii="Calibri Light" w:hAnsi="Calibri Light"/>
          <w:lang w:val="de-DE" w:eastAsia="en-US" w:bidi="ar-SA"/>
        </w:rPr>
        <w:t xml:space="preserve">Nach den </w:t>
      </w:r>
      <w:hyperlink r:id="rId5">
        <w:r>
          <w:rPr>
            <w:rStyle w:val="Internetverknpfung"/>
            <w:rFonts w:cs="Calibri Light" w:ascii="Calibri Light" w:hAnsi="Calibri Light"/>
            <w:lang w:val="de-DE" w:eastAsia="en-US" w:bidi="ar-SA"/>
          </w:rPr>
          <w:t xml:space="preserve">Worten des Europaabgeordneten Sven Giegold (Grüne) </w:t>
        </w:r>
      </w:hyperlink>
      <w:r>
        <w:rPr>
          <w:rFonts w:cs="Calibri Light" w:ascii="Calibri Light" w:hAnsi="Calibri Light"/>
          <w:lang w:val="de-DE" w:eastAsia="en-US" w:bidi="ar-SA"/>
        </w:rPr>
        <w:t>ist dieser absurde Vorschlag einer FTS „</w:t>
      </w:r>
      <w:r>
        <w:rPr>
          <w:rFonts w:cs="Calibri Light" w:ascii="Calibri Light" w:hAnsi="Calibri Light"/>
          <w:i/>
          <w:iCs/>
          <w:lang w:val="de-DE" w:eastAsia="en-US" w:bidi="ar-SA"/>
        </w:rPr>
        <w:t>keine echte Finanztransaktionssteuer, sondern eine Farce“</w:t>
      </w:r>
      <w:r>
        <w:rPr>
          <w:rFonts w:cs="Calibri Light" w:ascii="Calibri Light" w:hAnsi="Calibri Light"/>
          <w:lang w:val="de-DE" w:eastAsia="en-US" w:bidi="ar-SA"/>
        </w:rPr>
        <w:t xml:space="preserve"> und würde am Ende von „</w:t>
      </w:r>
      <w:r>
        <w:rPr>
          <w:rFonts w:cs="Calibri Light" w:ascii="Calibri Light" w:hAnsi="Calibri Light"/>
          <w:i/>
          <w:iCs/>
          <w:lang w:val="de-DE" w:eastAsia="en-US" w:bidi="ar-SA"/>
        </w:rPr>
        <w:t>Kleinanlegern“</w:t>
      </w:r>
      <w:r>
        <w:rPr>
          <w:rFonts w:cs="Calibri Light" w:ascii="Calibri Light" w:hAnsi="Calibri Light"/>
          <w:lang w:val="de-DE" w:eastAsia="en-US" w:bidi="ar-SA"/>
        </w:rPr>
        <w:t xml:space="preserve"> bezahlt werden. Selbst die vorgeschlagene Schwelle von 1 Milliarde Euro ändert nichts an dieser Realität, da die von Investment- und Pensionsfonds gezahlte Steuer einfach auf den Endnutzer abgewälzt werden würde: die langfristigen Sparer und privaten Anleger. </w:t>
      </w:r>
    </w:p>
    <w:p>
      <w:pPr>
        <w:pStyle w:val="Normal"/>
        <w:spacing w:before="0" w:after="120"/>
        <w:rPr>
          <w:lang w:val="de-DE" w:eastAsia="en-US" w:bidi="ar-SA"/>
        </w:rPr>
      </w:pPr>
      <w:r>
        <w:rPr>
          <w:rFonts w:cs="Calibri Light" w:ascii="Calibri Light" w:hAnsi="Calibri Light"/>
          <w:lang w:val="de-DE" w:eastAsia="en-US" w:bidi="ar-SA"/>
        </w:rPr>
        <w:t xml:space="preserve">In diesem Sinne fordert BETTER FINANCE die europäischen Behörden auf: </w:t>
      </w:r>
    </w:p>
    <w:p>
      <w:pPr>
        <w:pStyle w:val="ListParagraph"/>
        <w:numPr>
          <w:ilvl w:val="0"/>
          <w:numId w:val="1"/>
        </w:numPr>
        <w:spacing w:lineRule="auto" w:line="247" w:before="0" w:after="160"/>
        <w:rPr>
          <w:lang w:val="de-DE" w:eastAsia="en-US" w:bidi="ar-SA"/>
        </w:rPr>
      </w:pPr>
      <w:r>
        <w:rPr>
          <w:rFonts w:eastAsia="Times New Roman" w:cs="Calibri Light" w:ascii="Calibri Light" w:hAnsi="Calibri Light"/>
          <w:lang w:val="de-DE" w:eastAsia="en-US" w:bidi="ar-SA"/>
        </w:rPr>
        <w:t>EU-Bürger (d. h. nicht-professionelle Privatanleger) unmissverständlich von der FTS zu befreien;</w:t>
      </w:r>
    </w:p>
    <w:p>
      <w:pPr>
        <w:pStyle w:val="ListParagraph"/>
        <w:numPr>
          <w:ilvl w:val="0"/>
          <w:numId w:val="1"/>
        </w:numPr>
        <w:spacing w:lineRule="auto" w:line="247" w:before="0" w:after="160"/>
        <w:rPr>
          <w:lang w:val="de-DE" w:eastAsia="en-US" w:bidi="ar-SA"/>
        </w:rPr>
      </w:pPr>
      <w:r>
        <w:rPr>
          <w:rFonts w:eastAsia="Times New Roman" w:cs="Calibri Light" w:ascii="Calibri Light" w:hAnsi="Calibri Light"/>
          <w:lang w:val="de-DE" w:eastAsia="en-US" w:bidi="ar-SA"/>
        </w:rPr>
        <w:t xml:space="preserve">die Ausnahmeregelung für den größten Finanzmarkt der Welt, d. h. den Devisen- oder Devisenkassamarkt, aufzuheben; </w:t>
      </w:r>
    </w:p>
    <w:p>
      <w:pPr>
        <w:pStyle w:val="ListParagraph"/>
        <w:numPr>
          <w:ilvl w:val="0"/>
          <w:numId w:val="1"/>
        </w:numPr>
        <w:spacing w:lineRule="auto" w:line="247" w:before="0" w:after="160"/>
        <w:rPr>
          <w:lang w:val="de-DE" w:eastAsia="en-US" w:bidi="ar-SA"/>
        </w:rPr>
      </w:pPr>
      <w:r>
        <w:rPr>
          <w:rFonts w:eastAsia="Times New Roman" w:cs="Calibri Light" w:ascii="Calibri Light" w:hAnsi="Calibri Light"/>
          <w:lang w:val="de-DE" w:eastAsia="en-US" w:bidi="ar-SA"/>
        </w:rPr>
        <w:t>sicherzustellen, dass sämtliche Hochfrequenzhandelsgeschäfte (HFT) und Over-The-Counter-Geschäfte (OTC) in den Geltungsbereich der FTS einbezogen werden;</w:t>
      </w:r>
    </w:p>
    <w:p>
      <w:pPr>
        <w:pStyle w:val="Normal"/>
        <w:spacing w:before="0" w:after="120"/>
        <w:jc w:val="both"/>
        <w:rPr>
          <w:lang w:val="de-DE" w:eastAsia="en-US" w:bidi="ar-SA"/>
        </w:rPr>
      </w:pPr>
      <w:r>
        <w:rPr>
          <w:rFonts w:eastAsia="Times New Roman" w:cs="Calibri Light" w:ascii="Calibri Light" w:hAnsi="Calibri Light"/>
          <w:lang w:val="de-DE" w:eastAsia="en-US" w:bidi="ar-SA"/>
        </w:rPr>
        <w:t>massive Aufsichtsarbitrage und Steuerhinterziehung zu vermeiden, indem alle EU-Mitgliedstaaten und alle wichtigen Finanzzentren in den Anwendungsbereich einbezogen werden.</w:t>
      </w:r>
    </w:p>
    <w:p>
      <w:pPr>
        <w:pStyle w:val="Normal"/>
        <w:spacing w:lineRule="auto" w:line="264" w:before="0" w:after="60"/>
        <w:jc w:val="center"/>
        <w:rPr>
          <w:lang w:val="de-DE" w:eastAsia="en-US" w:bidi="ar-SA"/>
        </w:rPr>
      </w:pPr>
      <w:r>
        <w:rPr>
          <w:rFonts w:cs="Calibri Light" w:ascii="Calibri Light" w:hAnsi="Calibri Light"/>
          <w:lang w:val="de-DE" w:eastAsia="en-US" w:bidi="ar-SA"/>
        </w:rPr>
        <w:t>***</w:t>
      </w:r>
    </w:p>
    <w:p>
      <w:pPr>
        <w:pStyle w:val="Textkrper"/>
        <w:spacing w:lineRule="atLeast" w:line="30" w:before="240" w:after="0"/>
        <w:jc w:val="center"/>
        <w:rPr/>
      </w:pPr>
      <w:r>
        <w:rPr>
          <w:rFonts w:cs="Calibri Light" w:ascii="Calibri Light" w:hAnsi="Calibri Light"/>
          <w:sz w:val="18"/>
          <w:szCs w:val="18"/>
          <w:u w:val="single"/>
          <w:lang w:val="de-DE" w:eastAsia="en-US" w:bidi="ar-SA"/>
        </w:rPr>
        <w:t>Kontakt</w:t>
      </w:r>
      <w:r>
        <w:rPr>
          <w:rFonts w:cs="Calibri Light" w:ascii="Calibri Light" w:hAnsi="Calibri Light"/>
          <w:sz w:val="18"/>
          <w:szCs w:val="18"/>
          <w:lang w:val="de-DE" w:eastAsia="en-US" w:bidi="ar-SA"/>
        </w:rPr>
        <w:t xml:space="preserve">: Leiter der Kommunikationsabteilung ǀ Arnaud Houdmont ǀ +32 (0)2 514 37 77 ǀ </w:t>
      </w:r>
      <w:hyperlink r:id="rId6">
        <w:r>
          <w:rPr>
            <w:rStyle w:val="Internetverknpfung"/>
            <w:rFonts w:cs="Calibri Light" w:ascii="Calibri Light" w:hAnsi="Calibri Light"/>
            <w:sz w:val="18"/>
            <w:szCs w:val="18"/>
            <w:lang w:val="de-DE" w:eastAsia="en-US" w:bidi="ar-SA"/>
          </w:rPr>
          <w:t>houdmont@betterfinance.eu</w:t>
        </w:r>
      </w:hyperlink>
    </w:p>
    <w:sectPr>
      <w:headerReference w:type="default" r:id="rId7"/>
      <w:footerReference w:type="default" r:id="rId8"/>
      <w:type w:val="nextPage"/>
      <w:pgSz w:w="11906" w:h="16838"/>
      <w:pgMar w:left="1440" w:right="1440" w:header="708" w:top="1440" w:footer="708"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Calibri Light">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nl-BE"/>
      </w:rPr>
    </w:pPr>
    <w:r>
      <w:rPr>
        <w:b/>
        <w:color w:val="006FB4"/>
        <w:sz w:val="16"/>
        <w:szCs w:val="16"/>
        <w:lang w:val="nl-BE"/>
      </w:rPr>
      <w:t>Europäische</w:t>
    </w:r>
    <w:r>
      <w:rPr>
        <w:b/>
        <w:color w:val="006FB4"/>
        <w:sz w:val="16"/>
        <w:szCs w:val="16"/>
        <w:lang w:val="de-DE"/>
      </w:rPr>
      <w:t>r Verband</w:t>
    </w:r>
    <w:r>
      <w:rPr>
        <w:b/>
        <w:color w:val="006FB4"/>
        <w:sz w:val="16"/>
        <w:szCs w:val="16"/>
        <w:lang w:val="nl-BE"/>
      </w:rPr>
      <w:t xml:space="preserve"> der </w:t>
    </w:r>
    <w:r>
      <w:rPr>
        <w:b/>
        <w:color w:val="006FB4"/>
        <w:sz w:val="16"/>
        <w:szCs w:val="16"/>
        <w:lang w:val="de-DE"/>
      </w:rPr>
      <w:t>Anleger</w:t>
    </w:r>
    <w:r>
      <w:rPr>
        <w:b/>
        <w:color w:val="006FB4"/>
        <w:sz w:val="16"/>
        <w:szCs w:val="16"/>
        <w:lang w:val="nl-BE"/>
      </w:rPr>
      <w:t xml:space="preserve">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E-Mail: info@betterfinance.eu -</w:t>
    </w:r>
    <w:bookmarkStart w:id="1" w:name="_Hlk944867"/>
    <w:r>
      <w:rPr>
        <w:color w:val="006FB4"/>
        <w:sz w:val="16"/>
        <w:szCs w:val="16"/>
        <w:lang w:val="pt-PT"/>
      </w:rPr>
      <w:t xml:space="preserve"> </w:t>
    </w:r>
    <w:hyperlink r:id="rId1">
      <w:r>
        <w:rPr>
          <w:color w:val="006FB4"/>
          <w:sz w:val="16"/>
          <w:szCs w:val="16"/>
          <w:u w:val="single"/>
          <w:lang w:val="it-IT"/>
        </w:rPr>
        <w:t xml:space="preserve">http://www.betterfinance.eu </w:t>
      </w:r>
    </w:hyperlin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3">
          <wp:simplePos x="0" y="0"/>
          <wp:positionH relativeFrom="margin">
            <wp:posOffset>2564130</wp:posOffset>
          </wp:positionH>
          <wp:positionV relativeFrom="paragraph">
            <wp:posOffset>-265430</wp:posOffset>
          </wp:positionV>
          <wp:extent cx="3138170" cy="64516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3138170" cy="645160"/>
                  </a:xfrm>
                  <a:prstGeom prst="rect">
                    <a:avLst/>
                  </a:prstGeom>
                </pic:spPr>
              </pic:pic>
            </a:graphicData>
          </a:graphic>
        </wp:anchor>
      </w:drawing>
    </w:r>
  </w:p>
  <w:p>
    <w:pPr>
      <w:pStyle w:val="Kopfzeile"/>
      <w:rPr/>
    </w:pPr>
    <w:r>
      <w:rPr/>
    </w:r>
  </w:p>
  <w:p>
    <w:pPr>
      <w:pStyle w:val="Kopfzeile"/>
      <w:rPr>
        <w:sz w:val="12"/>
        <w:szCs w:val="12"/>
      </w:rPr>
    </w:pPr>
    <w:r>
      <w:rPr>
        <w:sz w:val="12"/>
        <w:szCs w:val="12"/>
      </w:rPr>
    </w:r>
  </w:p>
  <w:p>
    <w:pPr>
      <w:pStyle w:val="Kopfzeile"/>
      <w:rPr>
        <w:sz w:val="12"/>
        <w:szCs w:val="12"/>
      </w:rPr>
    </w:pPr>
    <w:r>
      <w:rPr>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useWord2013TrackBottomHyphenation" w:uri="http://schemas.microsoft.com/office/word" w:val="1"/>
  </w:compat>
  <w:themeFontLang w:val="en-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Arial"/>
      <w:color w:val="auto"/>
      <w:kern w:val="0"/>
      <w:sz w:val="22"/>
      <w:szCs w:val="22"/>
      <w:lang w:val="en-GB" w:eastAsia="en-US" w:bidi="ar-SA"/>
    </w:rPr>
  </w:style>
  <w:style w:type="paragraph" w:styleId="Berschrift1">
    <w:name w:val="Heading 1"/>
    <w:basedOn w:val="Normal"/>
    <w:next w:val="Normal"/>
    <w:uiPriority w:val="9"/>
    <w:qFormat/>
    <w:pPr>
      <w:keepNext w:val="true"/>
      <w:keepLines/>
      <w:spacing w:before="240" w:after="0"/>
      <w:outlineLvl w:val="0"/>
    </w:pPr>
    <w:rPr>
      <w:rFonts w:ascii="Cambria" w:hAnsi="Cambria" w:eastAsia="SimSun" w:cs="Times New Roman"/>
      <w:color w:val="365F91"/>
      <w:sz w:val="32"/>
      <w:szCs w:val="32"/>
    </w:rPr>
  </w:style>
  <w:style w:type="paragraph" w:styleId="Berschrift2">
    <w:name w:val="Heading 2"/>
    <w:basedOn w:val="Normal"/>
    <w:next w:val="Normal"/>
    <w:uiPriority w:val="9"/>
    <w:unhideWhenUsed/>
    <w:qFormat/>
    <w:pPr>
      <w:keepNext w:val="true"/>
      <w:keepLines/>
      <w:spacing w:before="40" w:after="0"/>
      <w:outlineLvl w:val="1"/>
    </w:pPr>
    <w:rPr>
      <w:rFonts w:ascii="Cambria" w:hAnsi="Cambria" w:eastAsia="SimSun" w:cs="Times New Roman"/>
      <w:color w:val="365F9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odyTextChar" w:customStyle="1">
    <w:name w:val="Body Text Char"/>
    <w:basedOn w:val="DefaultParagraphFont"/>
    <w:qFormat/>
    <w:rPr>
      <w:rFonts w:ascii="Tahoma" w:hAnsi="Tahoma" w:eastAsia="Times New Roman" w:cs="Times New Roman"/>
      <w:spacing w:val="10"/>
      <w:sz w:val="17"/>
      <w:szCs w:val="20"/>
      <w:lang w:val="en-US"/>
    </w:rPr>
  </w:style>
  <w:style w:type="character" w:styleId="TitleChar" w:customStyle="1">
    <w:name w:val="Title Char"/>
    <w:basedOn w:val="DefaultParagraphFont"/>
    <w:qFormat/>
    <w:rPr>
      <w:rFonts w:ascii="Cambria" w:hAnsi="Cambria" w:eastAsia="SimSun" w:cs="Times New Roman"/>
      <w:spacing w:val="-10"/>
      <w:kern w:val="2"/>
      <w:sz w:val="56"/>
      <w:szCs w:val="56"/>
    </w:rPr>
  </w:style>
  <w:style w:type="character" w:styleId="BalloonTextChar" w:customStyle="1">
    <w:name w:val="Balloon Text Char"/>
    <w:basedOn w:val="DefaultParagraphFont"/>
    <w:qFormat/>
    <w:rPr>
      <w:rFonts w:ascii="Times New Roman" w:hAnsi="Times New Roman" w:cs="Times New Roman"/>
      <w:sz w:val="18"/>
      <w:szCs w:val="18"/>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FootnoteTextChar" w:customStyle="1">
    <w:name w:val="Footnote Text Char"/>
    <w:basedOn w:val="DefaultParagraphFont"/>
    <w:qFormat/>
    <w:rPr>
      <w:sz w:val="20"/>
      <w:szCs w:val="20"/>
    </w:rPr>
  </w:style>
  <w:style w:type="character" w:styleId="Funotenanker">
    <w:name w:val="Fußnotenanker"/>
    <w:rPr>
      <w:vertAlign w:val="superscript"/>
    </w:rPr>
  </w:style>
  <w:style w:type="character" w:styleId="FootnoteCharacters">
    <w:name w:val="Footnote Characters"/>
    <w:basedOn w:val="DefaultParagraphFont"/>
    <w:qFormat/>
    <w:rPr>
      <w:vertAlign w:val="superscript"/>
    </w:rPr>
  </w:style>
  <w:style w:type="character" w:styleId="Strong">
    <w:name w:val="Strong"/>
    <w:qFormat/>
    <w:rPr>
      <w:b/>
      <w:bCs/>
    </w:rPr>
  </w:style>
  <w:style w:type="character" w:styleId="Internetverknpfung">
    <w:name w:val="Internetverknüpfung"/>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BesuchteInternetverknpfung">
    <w:name w:val="Besuchte Internetverknüpfung"/>
    <w:basedOn w:val="DefaultParagraphFont"/>
    <w:rPr>
      <w:color w:val="800080"/>
      <w:u w:val="single"/>
    </w:rPr>
  </w:style>
  <w:style w:type="character" w:styleId="Heading2Char" w:customStyle="1">
    <w:name w:val="Heading 2 Char"/>
    <w:basedOn w:val="DefaultParagraphFont"/>
    <w:qFormat/>
    <w:rPr>
      <w:rFonts w:ascii="Cambria" w:hAnsi="Cambria" w:eastAsia="SimSun" w:cs="Times New Roman"/>
      <w:color w:val="365F91"/>
      <w:sz w:val="26"/>
      <w:szCs w:val="26"/>
    </w:rPr>
  </w:style>
  <w:style w:type="character" w:styleId="Heading1Char" w:customStyle="1">
    <w:name w:val="Heading 1 Char"/>
    <w:basedOn w:val="DefaultParagraphFont"/>
    <w:qFormat/>
    <w:rPr>
      <w:rFonts w:ascii="Cambria" w:hAnsi="Cambria" w:eastAsia="SimSun" w:cs="Times New Roman"/>
      <w:color w:val="365F91"/>
      <w:sz w:val="32"/>
      <w:szCs w:val="32"/>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exact" w:line="240"/>
    </w:pPr>
    <w:rPr>
      <w:rFonts w:ascii="Tahoma" w:hAnsi="Tahoma" w:eastAsia="Times New Roman" w:cs="Times New Roman"/>
      <w:spacing w:val="10"/>
      <w:sz w:val="17"/>
      <w:szCs w:val="20"/>
      <w:lang w:val="en-US"/>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undFuzeile">
    <w:name w:val="Kopf- und Fußzeile"/>
    <w:basedOn w:val="Normal"/>
    <w:qFormat/>
    <w:pPr/>
    <w:rPr/>
  </w:style>
  <w:style w:type="paragraph" w:styleId="Kopfzeile">
    <w:name w:val="Header"/>
    <w:basedOn w:val="Normal"/>
    <w:pPr>
      <w:tabs>
        <w:tab w:val="clear" w:pos="720"/>
        <w:tab w:val="center" w:pos="4536" w:leader="none"/>
        <w:tab w:val="right" w:pos="9072" w:leader="none"/>
      </w:tabs>
      <w:spacing w:lineRule="auto" w:line="240" w:before="0" w:after="0"/>
    </w:pPr>
    <w:rPr/>
  </w:style>
  <w:style w:type="paragraph" w:styleId="Fuzeile">
    <w:name w:val="Footer"/>
    <w:basedOn w:val="Normal"/>
    <w:pPr>
      <w:tabs>
        <w:tab w:val="clear" w:pos="720"/>
        <w:tab w:val="center" w:pos="4536" w:leader="none"/>
        <w:tab w:val="right" w:pos="9072" w:leader="none"/>
      </w:tabs>
      <w:spacing w:lineRule="auto" w:line="240" w:before="0" w:after="0"/>
    </w:pPr>
    <w:rPr/>
  </w:style>
  <w:style w:type="paragraph" w:styleId="Titel">
    <w:name w:val="Title"/>
    <w:basedOn w:val="Normal"/>
    <w:next w:val="Normal"/>
    <w:uiPriority w:val="10"/>
    <w:qFormat/>
    <w:pPr>
      <w:spacing w:lineRule="auto" w:line="240" w:before="0" w:after="0"/>
    </w:pPr>
    <w:rPr>
      <w:rFonts w:ascii="Cambria" w:hAnsi="Cambria" w:eastAsia="SimSun" w:cs="Times New Roman"/>
      <w:spacing w:val="-10"/>
      <w:kern w:val="2"/>
      <w:sz w:val="56"/>
      <w:szCs w:val="56"/>
    </w:rPr>
  </w:style>
  <w:style w:type="paragraph" w:styleId="BalloonText">
    <w:name w:val="Balloon Text"/>
    <w:basedOn w:val="Normal"/>
    <w:qFormat/>
    <w:pPr>
      <w:spacing w:lineRule="auto" w:line="240" w:before="0" w:after="0"/>
    </w:pPr>
    <w:rPr>
      <w:rFonts w:ascii="Times New Roman" w:hAnsi="Times New Roman" w:cs="Times New Roman"/>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Funote">
    <w:name w:val="Footnote Text"/>
    <w:basedOn w:val="Normal"/>
    <w:pPr>
      <w:spacing w:lineRule="auto" w:line="240" w:before="0" w:after="0"/>
    </w:pPr>
    <w:rPr>
      <w:sz w:val="20"/>
      <w:szCs w:val="20"/>
    </w:rPr>
  </w:style>
  <w:style w:type="paragraph" w:styleId="ListParagraph">
    <w:name w:val="List Paragraph"/>
    <w:basedOn w:val="Normal"/>
    <w:qFormat/>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etterfinance.eu/publication/ftt-the-european-proposal-does-not-meet-its-objective-eu-citizens-are-likely-to-pay-instead-of-banks/" TargetMode="External"/><Relationship Id="rId3" Type="http://schemas.openxmlformats.org/officeDocument/2006/relationships/hyperlink" Target="https://www.investopedia.com/ask/answers/052715/how-big-derivatives-market.asp" TargetMode="External"/><Relationship Id="rId4" Type="http://schemas.openxmlformats.org/officeDocument/2006/relationships/hyperlink" Target="https://data.consilium.europa.eu/doc/document/ST-10097-2019-INIT/en/pdf" TargetMode="External"/><Relationship Id="rId5" Type="http://schemas.openxmlformats.org/officeDocument/2006/relationships/hyperlink" Target="https://www.ibtimes.com/germany-launches-new-plan-eu-financial-transaction-tax-2882762" TargetMode="External"/><Relationship Id="rId6" Type="http://schemas.openxmlformats.org/officeDocument/2006/relationships/hyperlink" Target="mailto:houdmont@betterfinance.e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C742E-8885-4E27-84B7-F61719F6F374}"/>
</file>

<file path=customXml/itemProps2.xml><?xml version="1.0" encoding="utf-8"?>
<ds:datastoreItem xmlns:ds="http://schemas.openxmlformats.org/officeDocument/2006/customXml" ds:itemID="{85003CAF-BA0D-4099-AB19-CA605315A762}"/>
</file>

<file path=customXml/itemProps3.xml><?xml version="1.0" encoding="utf-8"?>
<ds:datastoreItem xmlns:ds="http://schemas.openxmlformats.org/officeDocument/2006/customXml" ds:itemID="{521132F9-ADB6-40F2-B01C-ECA51EC967F0}"/>
</file>

<file path=docProps/app.xml><?xml version="1.0" encoding="utf-8"?>
<Properties xmlns="http://schemas.openxmlformats.org/officeDocument/2006/extended-properties" xmlns:vt="http://schemas.openxmlformats.org/officeDocument/2006/docPropsVTypes">
  <Template>Normal</Template>
  <TotalTime>69</TotalTime>
  <Application>LibreOffice/6.4.6.2$Windows_X86_64 LibreOffice_project/0ce51a4fd21bff07a5c061082cc82c5ed232f115</Application>
  <Pages>2</Pages>
  <Words>618</Words>
  <Characters>4151</Characters>
  <CharactersWithSpaces>4766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2020-11-19T18:56:00Z</dcterms:created>
  <dc:creator>Arnaud Houdmont</dc:creator>
  <dc:description/>
  <dc:language>de-DE</dc:language>
  <cp:lastModifiedBy/>
  <cp:lastPrinted>2020-12-20T21:11:34Z</cp:lastPrinted>
  <dcterms:modified xsi:type="dcterms:W3CDTF">2020-12-20T21:18:32Z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0x010100B5308A9776426D41840A8C2CCB15B3F3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