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de-DE" w:eastAsia="en-US" w:bidi="ar-SA"/>
        </w:rPr>
      </w:pPr>
      <w:r>
        <w:rPr>
          <w:lang w:val="de-DE" w:eastAsia="en-US" w:bidi="ar-SA"/>
        </w:rPr>
      </w:r>
    </w:p>
    <w:p>
      <w:pPr>
        <w:pStyle w:val="Textkrper"/>
        <w:spacing w:lineRule="auto" w:line="312" w:before="0" w:after="120"/>
        <w:jc w:val="both"/>
        <w:rPr/>
      </w:pPr>
      <w:r>
        <w:rPr>
          <w:rStyle w:val="Strong"/>
          <w:sz w:val="18"/>
          <w:lang w:val="de-DE" w:eastAsia="en-US" w:bidi="ar-SA"/>
        </w:rPr>
        <w:t xml:space="preserve">PRESSEMITTEILUNG </w:t>
      </w:r>
    </w:p>
    <w:p>
      <w:pPr>
        <w:pStyle w:val="Berschrift2"/>
        <w:spacing w:before="40" w:after="80"/>
        <w:jc w:val="both"/>
        <w:rPr>
          <w:lang w:val="de-DE" w:eastAsia="en-US" w:bidi="ar-SA"/>
        </w:rPr>
      </w:pPr>
      <w:r>
        <w:rPr>
          <w:rFonts w:eastAsia="Calibri" w:cs="Arial"/>
          <w:b/>
          <w:spacing w:val="20"/>
          <w:kern w:val="2"/>
          <w:sz w:val="30"/>
          <w:szCs w:val="30"/>
          <w:lang w:val="de-DE" w:eastAsia="en-US" w:bidi="ar-SA"/>
        </w:rPr>
        <w:t xml:space="preserve">Die EU-Aufsichtsbehörde kann sich nicht durchringen, ein vollständiges Verbot von Provisionen für Anlageberater von Privatanlegern zu empfehlen </w:t>
      </w:r>
    </w:p>
    <w:p>
      <w:pPr>
        <w:pStyle w:val="Normal"/>
        <w:jc w:val="both"/>
        <w:rPr/>
      </w:pPr>
      <w:bookmarkStart w:id="0" w:name="_Hlk4143464"/>
      <w:r>
        <w:rPr>
          <w:rFonts w:cs="Calibri Light" w:ascii="Calibri Light" w:hAnsi="Calibri Light"/>
          <w:b/>
          <w:lang w:val="de-DE" w:eastAsia="en-US" w:bidi="ar-SA"/>
        </w:rPr>
        <w:t>Brüssel, 4. Mai 2020</w:t>
      </w:r>
      <w:bookmarkEnd w:id="0"/>
      <w:r>
        <w:rPr>
          <w:rFonts w:cs="Calibri Light" w:ascii="Calibri Light" w:hAnsi="Calibri Light"/>
          <w:b/>
          <w:lang w:val="de-DE" w:eastAsia="en-US" w:bidi="ar-SA"/>
        </w:rPr>
        <w:t xml:space="preserve"> </w:t>
      </w:r>
      <w:r>
        <w:rPr>
          <w:rFonts w:cs="Calibri Light" w:ascii="Calibri Light" w:hAnsi="Calibri Light"/>
          <w:lang w:val="de-DE" w:eastAsia="en-US" w:bidi="ar-SA"/>
        </w:rPr>
        <w:t xml:space="preserve">- Am 1. April 2020 veröffentlichte die Europäische Wertpapier- und Marktaufsichtsbehörde (ESMA) ihre </w:t>
      </w:r>
      <w:hyperlink r:id="rId2">
        <w:r>
          <w:rPr>
            <w:rStyle w:val="Internetverknpfung"/>
            <w:rFonts w:cs="Calibri Light" w:ascii="Calibri Light" w:hAnsi="Calibri Light"/>
            <w:lang w:val="de-DE" w:eastAsia="en-US" w:bidi="ar-SA"/>
          </w:rPr>
          <w:t>Empfehlung</w:t>
        </w:r>
      </w:hyperlink>
      <w:r>
        <w:rPr>
          <w:rFonts w:cs="Calibri Light" w:ascii="Calibri Light" w:hAnsi="Calibri Light"/>
          <w:lang w:val="de-DE" w:eastAsia="en-US" w:bidi="ar-SA"/>
        </w:rPr>
        <w:t xml:space="preserve"> zu „Anreizen“</w:t>
      </w:r>
      <w:r>
        <w:rPr>
          <w:rStyle w:val="Funotenanker"/>
          <w:rFonts w:cs="Calibri Light" w:ascii="Calibri Light" w:hAnsi="Calibri Light"/>
          <w:lang w:val="de-DE" w:eastAsia="en-US" w:bidi="ar-SA"/>
        </w:rPr>
        <w:footnoteReference w:id="2"/>
      </w:r>
      <w:r>
        <w:rPr>
          <w:rFonts w:cs="Calibri Light" w:ascii="Calibri Light" w:hAnsi="Calibri Light"/>
          <w:lang w:val="de-DE" w:eastAsia="en-US" w:bidi="ar-SA"/>
        </w:rPr>
        <w:t xml:space="preserve"> (und zur Offenlegung von Kosten und Gebühren) im Rahmen der „MiFID II“, einer der wichtigsten EU-Richtlinien zum Schutz der Anleger, die dieses Jahr zur Überprüfung ansteht, und vertagte das Thema in die Zukunft, indem sie die Europäische Kommission ermutigte, ihre Bewertung der „Anreize“ eingehender zu prüfen. </w:t>
      </w:r>
    </w:p>
    <w:p>
      <w:pPr>
        <w:pStyle w:val="Normal"/>
        <w:jc w:val="both"/>
        <w:rPr>
          <w:lang w:val="de-DE" w:eastAsia="en-US" w:bidi="ar-SA"/>
        </w:rPr>
      </w:pPr>
      <w:r>
        <w:rPr>
          <w:rFonts w:cs="Calibri Light" w:ascii="Calibri Light" w:hAnsi="Calibri Light"/>
          <w:lang w:val="de-DE" w:eastAsia="en-US" w:bidi="ar-SA"/>
        </w:rPr>
        <w:t>BETTER FINANCE hätte erwartet, dass die ESMA angesichts der enormen Schäden durch Anreize eigene  Untersuchungen durchführen würde, insbesondere aufgrund der überwältigenden Beweise dafür, dass kostengünstige Anlageprodukte wie z. B. Index-ETF von auf Provisionsbasis arbeitenden „Beratern“ einfach nicht beworben oder vertrieben werden. Schätzungen zeigen, dass sich in der Europäischen Union (EU) nur ein Anteil von etwa 10 % des ETF-Marktes im Besitz von Privatanlegern befindet, während es in den USA fast 50 % sind. BETTER FINANCE hat wiederholt auf die verheerenden Auswirkungen dieser Interessenkonflikte auf die Auswahl von Investmentfonds und „Anteilen“ durch Finanzvermittler und den Schaden hingewiesen, der dadurch für die Wertentwicklung von langfristigen Spar- und Altersvorsorgeguthaben entsteht.</w:t>
      </w:r>
      <w:r>
        <w:rPr>
          <w:rStyle w:val="Funotenanker"/>
          <w:rFonts w:cs="Calibri Light" w:ascii="Calibri Light" w:hAnsi="Calibri Light"/>
          <w:lang w:val="de-DE" w:eastAsia="en-US" w:bidi="ar-SA"/>
        </w:rPr>
        <w:footnoteReference w:id="3"/>
      </w:r>
    </w:p>
    <w:p>
      <w:pPr>
        <w:pStyle w:val="Normal"/>
        <w:jc w:val="both"/>
        <w:rPr>
          <w:lang w:val="de-DE" w:eastAsia="en-US" w:bidi="ar-SA"/>
        </w:rPr>
      </w:pPr>
      <w:r>
        <w:rPr>
          <w:rFonts w:cs="Calibri Light" w:ascii="Calibri Light" w:hAnsi="Calibri Light"/>
          <w:lang w:val="de-DE" w:eastAsia="en-US" w:bidi="ar-SA"/>
        </w:rPr>
        <w:t>Darüber hinaus befreien die MiFID-II-Vorschriften über „Anreize“ de facto Anbieter von Finanzprodukten für Kleinanleger, die über eine „geschlossene Architektur“ verfügen oder „vertikal integriert“ sind, da sie nicht durch Provisionen entschädigt werden, sondern in der Regel hauseigene Produkte verkaufen und diesbezüglich Beratung anbieten, unabhängig davon, ob diese Produkte für die Bedürfnisse ihrer Kunden am besten geeignet sind. Da solche Praktiken keine Provisionen oder andere Anreize beinhalten (hier handelt es sich um andere Vergütungen), unterliegen Netze mit „geschlossener Architektur“ keiner der MiFID-II-Regeln für Anreize. Wiederholte Warnungen von BETTER FINANCE vor diesem wesentlichen Interessenkonflikt sind bisher auf taube Ohren gestoßen.</w:t>
      </w:r>
    </w:p>
    <w:p>
      <w:pPr>
        <w:pStyle w:val="Normal"/>
        <w:jc w:val="both"/>
        <w:rPr>
          <w:lang w:val="de-DE" w:eastAsia="en-US" w:bidi="ar-SA"/>
        </w:rPr>
      </w:pPr>
      <w:r>
        <w:rPr>
          <w:rFonts w:cs="Calibri Light" w:ascii="Calibri Light" w:hAnsi="Calibri Light"/>
          <w:lang w:val="de-DE" w:eastAsia="en-US" w:bidi="ar-SA"/>
        </w:rPr>
        <w:t>BETTER FINANCE begrüßt daher, dass die ESMA in ihrer Empfehlung diese Bedenken nun teilt und darauf hinweist, dass „</w:t>
      </w:r>
      <w:r>
        <w:rPr>
          <w:rFonts w:cs="Calibri Light" w:ascii="Calibri Light" w:hAnsi="Calibri Light"/>
          <w:i/>
          <w:iCs/>
          <w:lang w:val="de-DE" w:eastAsia="en-US" w:bidi="ar-SA"/>
        </w:rPr>
        <w:t>klargestellt werden könnte, dass Unternehmen, auch wenn sie in Modellen mit geschlossener Architektur arbeiten, ihre Produkte im Vergleich zu denen von Drittanbietern bewerten und im Eignungsbericht Angaben zu allen günstigeren und weniger komplexen Alternativen erteilen sollten“</w:t>
      </w:r>
      <w:r>
        <w:rPr>
          <w:rFonts w:cs="Calibri Light" w:ascii="Calibri Light" w:hAnsi="Calibri Light"/>
          <w:lang w:val="de-DE" w:eastAsia="en-US" w:bidi="ar-SA"/>
        </w:rPr>
        <w:t xml:space="preserve">. </w:t>
      </w:r>
    </w:p>
    <w:p>
      <w:pPr>
        <w:pStyle w:val="Normal"/>
        <w:jc w:val="both"/>
        <w:rPr>
          <w:lang w:val="de-DE" w:eastAsia="en-US" w:bidi="ar-SA"/>
        </w:rPr>
      </w:pPr>
      <w:r>
        <w:rPr>
          <w:rFonts w:cs="Calibri Light" w:ascii="Calibri Light" w:hAnsi="Calibri Light"/>
          <w:lang w:val="de-DE" w:eastAsia="en-US" w:bidi="ar-SA"/>
        </w:rPr>
        <w:t>Zur Anpassung eines Verbots von „Anreizen“ an Netze mit „geschlossener Architektur“ schlägt die ESMA drei Optionen vor:</w:t>
      </w:r>
    </w:p>
    <w:p>
      <w:pPr>
        <w:pStyle w:val="ListParagraph"/>
        <w:numPr>
          <w:ilvl w:val="0"/>
          <w:numId w:val="1"/>
        </w:numPr>
        <w:spacing w:lineRule="auto" w:line="240" w:before="0" w:after="0"/>
        <w:jc w:val="both"/>
        <w:rPr>
          <w:lang w:val="de-DE" w:eastAsia="en-US" w:bidi="ar-SA"/>
        </w:rPr>
      </w:pPr>
      <w:r>
        <w:rPr>
          <w:rFonts w:cs="Calibri Light" w:ascii="Calibri Light" w:hAnsi="Calibri Light"/>
          <w:lang w:val="de-DE" w:eastAsia="en-US" w:bidi="ar-SA"/>
        </w:rPr>
        <w:t>Die erste Option, „</w:t>
      </w:r>
      <w:r>
        <w:rPr>
          <w:rFonts w:cs="Calibri Light" w:ascii="Calibri Light" w:hAnsi="Calibri Light"/>
          <w:i/>
          <w:iCs/>
          <w:lang w:val="de-DE" w:eastAsia="en-US" w:bidi="ar-SA"/>
        </w:rPr>
        <w:t>[in] finanzielle Bildung zu investieren, um Kleinanleger auf die Bedeutung einer unabhängigen, gebührenpflichtigen Beratung aufmerksam zu machen und sie dafür zu sensibilisieren“</w:t>
      </w:r>
      <w:r>
        <w:rPr>
          <w:rFonts w:cs="Calibri Light" w:ascii="Calibri Light" w:hAnsi="Calibri Light"/>
          <w:lang w:val="de-DE" w:eastAsia="en-US" w:bidi="ar-SA"/>
        </w:rPr>
        <w:t xml:space="preserve">, geht nicht auf die Tatsache ein, dass für die Beteiligten keine Anreize vorhanden sind, in finanzielle Bildung Zeit und Geld zu investieren. </w:t>
      </w:r>
    </w:p>
    <w:p>
      <w:pPr>
        <w:pStyle w:val="ListParagraph"/>
        <w:numPr>
          <w:ilvl w:val="0"/>
          <w:numId w:val="1"/>
        </w:numPr>
        <w:spacing w:lineRule="auto" w:line="240" w:before="0" w:after="0"/>
        <w:jc w:val="both"/>
        <w:rPr>
          <w:lang w:val="de-DE" w:eastAsia="en-US" w:bidi="ar-SA"/>
        </w:rPr>
      </w:pPr>
      <w:r>
        <w:rPr>
          <w:rFonts w:cs="Calibri Light" w:ascii="Calibri Light" w:hAnsi="Calibri Light"/>
          <w:lang w:val="de-DE" w:eastAsia="en-US" w:bidi="ar-SA"/>
        </w:rPr>
        <w:t>Die zweite Option, „</w:t>
      </w:r>
      <w:r>
        <w:rPr>
          <w:rFonts w:cs="Calibri Light" w:ascii="Calibri Light" w:hAnsi="Calibri Light"/>
          <w:i/>
          <w:iCs/>
          <w:lang w:val="de-DE" w:eastAsia="en-US" w:bidi="ar-SA"/>
        </w:rPr>
        <w:t xml:space="preserve">im Eignungsbericht Angaben zu allen günstigeren und weniger komplexen Alternativen“ zu erteilen, </w:t>
      </w:r>
      <w:r>
        <w:rPr>
          <w:rFonts w:cs="Calibri Light" w:ascii="Calibri Light" w:hAnsi="Calibri Light"/>
          <w:lang w:val="de-DE" w:eastAsia="en-US" w:bidi="ar-SA"/>
        </w:rPr>
        <w:t xml:space="preserve">hat zweifellos Vorteile, müsste jedoch in schriftlicher Form sehr klar offengelegt werden und in allen vorvertraglichen Informationen leicht zugänglich sein. </w:t>
      </w:r>
    </w:p>
    <w:p>
      <w:pPr>
        <w:pStyle w:val="ListParagraph"/>
        <w:numPr>
          <w:ilvl w:val="0"/>
          <w:numId w:val="1"/>
        </w:numPr>
        <w:spacing w:lineRule="auto" w:line="240" w:before="0" w:after="0"/>
        <w:jc w:val="both"/>
        <w:rPr>
          <w:lang w:val="de-DE" w:eastAsia="en-US" w:bidi="ar-SA"/>
        </w:rPr>
      </w:pPr>
      <w:r>
        <w:rPr>
          <w:rFonts w:cs="Calibri Light" w:ascii="Calibri Light" w:hAnsi="Calibri Light"/>
          <w:lang w:val="de-DE" w:eastAsia="en-US" w:bidi="ar-SA"/>
        </w:rPr>
        <w:t>Die dritte Option, das Kriterium der Anreize bezüglich  der  „Qualitätsverbesserung“ auf Netze mit „geschlossener Architektur“ anzuwenden, hätte unseres Erachtens nur sehr begrenzte Wirkung, da sie sehr schwer zu beurteilen ist. Die wichtigere –  und leichter zu bewertende –  Anforderung, Anreize im Rahmen von MiFID II zuzulassen (ohne „</w:t>
      </w:r>
      <w:r>
        <w:rPr>
          <w:rFonts w:cs="Calibri Light" w:ascii="Calibri Light" w:hAnsi="Calibri Light"/>
          <w:i/>
          <w:iCs/>
          <w:lang w:val="de-DE" w:eastAsia="en-US" w:bidi="ar-SA"/>
        </w:rPr>
        <w:t>die Pflicht des Unternehmens, ehrlich, redlich und professionell im bestmöglichen Interesse ihrer Kunden zu handeln, zu beeinträchtigen“</w:t>
      </w:r>
      <w:r>
        <w:rPr>
          <w:rFonts w:cs="Calibri Light" w:ascii="Calibri Light" w:hAnsi="Calibri Light"/>
          <w:lang w:val="de-DE" w:eastAsia="en-US" w:bidi="ar-SA"/>
        </w:rPr>
        <w:t xml:space="preserve">), wird von der europäischen Aufsichtsbehörde (sowie von den meisten nationalen Aufsichtsbehörden) erneut übersehen. Wie wäre es sonst möglich, dass EU-Bürgern trotz zahlreicher Beschwerden von Sparerverbänden seit mehr als einem Jahrzehnt immer noch Indexfonds, die sechs- bis zehnmal teurer sind als ihre ETF-Äquivalente, verkauft (und sie diesbezüglich „beraten“) werden? </w:t>
      </w:r>
    </w:p>
    <w:p>
      <w:pPr>
        <w:pStyle w:val="Normal"/>
        <w:spacing w:lineRule="auto" w:line="240" w:before="0" w:after="0"/>
        <w:ind w:left="360" w:hanging="0"/>
        <w:jc w:val="both"/>
        <w:rPr>
          <w:rFonts w:ascii="Calibri Light" w:hAnsi="Calibri Light" w:cs="Calibri Light"/>
          <w:lang w:val="de-DE" w:eastAsia="en-US" w:bidi="ar-SA"/>
        </w:rPr>
      </w:pPr>
      <w:r>
        <w:rPr>
          <w:rFonts w:cs="Calibri Light" w:ascii="Calibri Light" w:hAnsi="Calibri Light"/>
          <w:lang w:val="de-DE" w:eastAsia="en-US" w:bidi="ar-SA"/>
        </w:rPr>
      </w:r>
    </w:p>
    <w:p>
      <w:pPr>
        <w:pStyle w:val="Normal"/>
        <w:jc w:val="both"/>
        <w:rPr>
          <w:lang w:val="de-DE" w:eastAsia="en-US" w:bidi="ar-SA"/>
        </w:rPr>
      </w:pPr>
      <w:r>
        <w:rPr>
          <w:rFonts w:cs="Calibri Light" w:ascii="Calibri Light" w:hAnsi="Calibri Light"/>
          <w:lang w:val="de-DE" w:eastAsia="en-US" w:bidi="ar-SA"/>
        </w:rPr>
        <w:t>Für Guillaume Prache, Geschäftsführer von BETTER FINANCE, „</w:t>
      </w:r>
      <w:r>
        <w:rPr>
          <w:rFonts w:cs="Calibri Light" w:ascii="Calibri Light" w:hAnsi="Calibri Light"/>
          <w:i/>
          <w:iCs/>
          <w:lang w:val="de-DE" w:eastAsia="en-US" w:bidi="ar-SA"/>
        </w:rPr>
        <w:t xml:space="preserve">beruht das EU-Recht für den Anlegerschutz auf einer schädlichen Verwechslung von Beratung und Verkauf: Mit „Anreizen“ (in der Regel handelt es sich um Verkaufsprovisionen) wird auf keinen Fall eine </w:t>
      </w:r>
      <w:r>
        <w:rPr>
          <w:rFonts w:cs="Calibri Light" w:ascii="Calibri Light" w:hAnsi="Calibri Light"/>
          <w:i/>
          <w:iCs/>
          <w:u w:val="single"/>
          <w:lang w:val="de-DE" w:eastAsia="en-US" w:bidi="ar-SA"/>
        </w:rPr>
        <w:t>Beratung</w:t>
      </w:r>
      <w:r>
        <w:rPr>
          <w:rFonts w:cs="Calibri Light" w:ascii="Calibri Light" w:hAnsi="Calibri Light"/>
          <w:i/>
          <w:iCs/>
          <w:lang w:val="de-DE" w:eastAsia="en-US" w:bidi="ar-SA"/>
        </w:rPr>
        <w:t xml:space="preserve"> vergütet, sondern nur der </w:t>
      </w:r>
      <w:r>
        <w:rPr>
          <w:rFonts w:cs="Calibri Light" w:ascii="Calibri Light" w:hAnsi="Calibri Light"/>
          <w:i/>
          <w:iCs/>
          <w:u w:val="single"/>
          <w:lang w:val="de-DE" w:eastAsia="en-US" w:bidi="ar-SA"/>
        </w:rPr>
        <w:t>Verkauf</w:t>
      </w:r>
      <w:r>
        <w:rPr>
          <w:rFonts w:cs="Calibri Light" w:ascii="Calibri Light" w:hAnsi="Calibri Light"/>
          <w:i/>
          <w:iCs/>
          <w:lang w:val="de-DE" w:eastAsia="en-US" w:bidi="ar-SA"/>
        </w:rPr>
        <w:t xml:space="preserve"> bestimmter Produkte: Kommt der Verkauf dieser Produkte nicht zustande, gibt es keine Vergütung, unabhängig davon, ob es sich um einen „beratenen“ Verkauf handelt oder nicht“</w:t>
      </w:r>
      <w:r>
        <w:rPr>
          <w:rFonts w:cs="Calibri Light" w:ascii="Calibri Light" w:hAnsi="Calibri Light"/>
          <w:lang w:val="de-DE" w:eastAsia="en-US" w:bidi="ar-SA"/>
        </w:rPr>
        <w:t xml:space="preserve">. </w:t>
      </w:r>
    </w:p>
    <w:p>
      <w:pPr>
        <w:pStyle w:val="Normal"/>
        <w:jc w:val="both"/>
        <w:rPr>
          <w:lang w:val="de-DE" w:eastAsia="en-US" w:bidi="ar-SA"/>
        </w:rPr>
      </w:pPr>
      <w:r>
        <mc:AlternateContent>
          <mc:Choice Requires="wps">
            <w:drawing>
              <wp:anchor behindDoc="0" distT="0" distB="0" distL="114300" distR="114300" simplePos="0" locked="0" layoutInCell="1" allowOverlap="1" relativeHeight="5" wp14:anchorId="7C5DB58E">
                <wp:simplePos x="0" y="0"/>
                <wp:positionH relativeFrom="margin">
                  <wp:align>right</wp:align>
                </wp:positionH>
                <wp:positionV relativeFrom="paragraph">
                  <wp:posOffset>1282065</wp:posOffset>
                </wp:positionV>
                <wp:extent cx="5717540" cy="2888615"/>
                <wp:effectExtent l="0" t="0" r="19050" b="9526"/>
                <wp:wrapSquare wrapText="bothSides"/>
                <wp:docPr id="1" name="Text Box 2"/>
                <a:graphic xmlns:a="http://schemas.openxmlformats.org/drawingml/2006/main">
                  <a:graphicData uri="http://schemas.microsoft.com/office/word/2010/wordprocessingShape">
                    <wps:wsp>
                      <wps:cNvSpPr/>
                      <wps:spPr>
                        <a:xfrm>
                          <a:off x="0" y="0"/>
                          <a:ext cx="5716800" cy="2887920"/>
                        </a:xfrm>
                        <a:prstGeom prst="rect">
                          <a:avLst/>
                        </a:prstGeom>
                        <a:solidFill>
                          <a:srgbClr val="ffffff"/>
                        </a:solidFill>
                        <a:ln w="9360">
                          <a:solidFill>
                            <a:srgbClr val="000000"/>
                          </a:solidFill>
                          <a:round/>
                        </a:ln>
                      </wps:spPr>
                      <wps:style>
                        <a:lnRef idx="0"/>
                        <a:fillRef idx="0"/>
                        <a:effectRef idx="0"/>
                        <a:fontRef idx="minor"/>
                      </wps:style>
                      <wps:txbx>
                        <w:txbxContent>
                          <w:p>
                            <w:pPr>
                              <w:pStyle w:val="Rahmeninhalt"/>
                              <w:rPr>
                                <w:color w:val="000000"/>
                                <w:sz w:val="22"/>
                                <w:szCs w:val="22"/>
                                <w:lang w:val="de-DE" w:eastAsia="en-US" w:bidi="ar-SA"/>
                              </w:rPr>
                            </w:pPr>
                            <w:r>
                              <w:rPr>
                                <w:rFonts w:cs="Calibri Light" w:ascii="Calibri Light" w:hAnsi="Calibri Light"/>
                                <w:color w:val="000000"/>
                                <w:sz w:val="22"/>
                                <w:szCs w:val="22"/>
                                <w:lang w:val="de-DE" w:eastAsia="en-US" w:bidi="ar-SA"/>
                              </w:rPr>
                              <w:t>Wenn sich die Industrielobbys wieder einmal als so mächtig erweisen, dass die EU-Behörden kein vollständiges Verbot von Anreizen durchsetzen können –  obwohl die Behörden in Großbritannien und in den Niederlanden in der Lage waren, dies zu erreichen – , dann bitten wir zumindest darum:</w:t>
                            </w:r>
                          </w:p>
                          <w:p>
                            <w:pPr>
                              <w:pStyle w:val="ListParagraph"/>
                              <w:numPr>
                                <w:ilvl w:val="0"/>
                                <w:numId w:val="2"/>
                              </w:numPr>
                              <w:spacing w:lineRule="auto" w:line="240" w:before="0" w:after="0"/>
                              <w:ind w:left="284" w:hanging="284"/>
                              <w:rPr/>
                            </w:pPr>
                            <w:r>
                              <w:rPr>
                                <w:rFonts w:cs="Calibri Light" w:ascii="Calibri Light" w:hAnsi="Calibri Light"/>
                                <w:color w:val="000000"/>
                                <w:sz w:val="22"/>
                                <w:szCs w:val="22"/>
                                <w:lang w:val="de-DE" w:eastAsia="en-US" w:bidi="ar-SA"/>
                              </w:rPr>
                              <w:t>die bestehenden spezifischen Verbote in MIFID II auf alle substituierbaren Anlageprodukte auszuweiten, um einen konsequenten Anlegerschutz für alle Anlageprodukte für Privatanleger sicherzustellen und die Aufsichtsarbitrage zu beenden, indem das bestehende Verbot von  Anreizen für unabhängige Berater und für das Portfoliomanagement auch auf Versicherungsanlage- und private Altersvorsorgeprodukte erweitert wird (durch Änderung der Richtlinie über den Versicherungsvertrieb): Die ESMA stimmt in der Tat zu, dass für ähnliche Anlageprodukte die gleichen Regeln für Anreize gelten sollten;</w:t>
                            </w:r>
                          </w:p>
                          <w:p>
                            <w:pPr>
                              <w:pStyle w:val="ListParagraph"/>
                              <w:numPr>
                                <w:ilvl w:val="0"/>
                                <w:numId w:val="2"/>
                              </w:numPr>
                              <w:spacing w:lineRule="auto" w:line="240" w:before="0" w:after="0"/>
                              <w:ind w:left="284" w:hanging="284"/>
                              <w:rPr/>
                            </w:pPr>
                            <w:r>
                              <w:rPr>
                                <w:rFonts w:cs="Calibri Light" w:ascii="Calibri Light" w:hAnsi="Calibri Light"/>
                                <w:color w:val="000000"/>
                              </w:rPr>
                              <w:t xml:space="preserve">das bestehende Verbot </w:t>
                            </w:r>
                            <w:r>
                              <w:rPr>
                                <w:rFonts w:cs="Calibri Light" w:ascii="Calibri Light" w:hAnsi="Calibri Light"/>
                                <w:color w:val="000000"/>
                                <w:lang w:val="de-DE"/>
                              </w:rPr>
                              <w:t>a</w:t>
                            </w:r>
                            <w:r>
                              <w:rPr>
                                <w:rFonts w:cs="Calibri Light" w:ascii="Calibri Light" w:hAnsi="Calibri Light"/>
                                <w:color w:val="000000"/>
                              </w:rPr>
                              <w:t xml:space="preserve">uf </w:t>
                            </w:r>
                            <w:r>
                              <w:rPr>
                                <w:rFonts w:cs="Calibri Light" w:ascii="Calibri Light" w:hAnsi="Calibri Light"/>
                                <w:color w:val="000000"/>
                                <w:lang w:val="de-DE"/>
                              </w:rPr>
                              <w:t>„E</w:t>
                            </w:r>
                            <w:r>
                              <w:rPr>
                                <w:rFonts w:cs="Calibri Light" w:ascii="Calibri Light" w:hAnsi="Calibri Light"/>
                                <w:color w:val="000000"/>
                              </w:rPr>
                              <w:t>xecution only</w:t>
                            </w:r>
                            <w:r>
                              <w:rPr>
                                <w:rFonts w:cs="Calibri Light" w:ascii="Calibri Light" w:hAnsi="Calibri Light"/>
                                <w:color w:val="000000"/>
                                <w:lang w:val="de-DE"/>
                              </w:rPr>
                              <w:t>“</w:t>
                            </w:r>
                            <w:r>
                              <w:rPr>
                                <w:rFonts w:cs="Calibri Light" w:ascii="Calibri Light" w:hAnsi="Calibri Light"/>
                                <w:color w:val="000000"/>
                              </w:rPr>
                              <w:t xml:space="preserve">-Transaktionen </w:t>
                            </w:r>
                            <w:r>
                              <w:rPr>
                                <w:rFonts w:cs="Calibri Light" w:ascii="Calibri Light" w:hAnsi="Calibri Light"/>
                                <w:color w:val="000000"/>
                                <w:lang w:val="de-DE"/>
                              </w:rPr>
                              <w:t>zu erweitern</w:t>
                            </w:r>
                            <w:r>
                              <w:rPr>
                                <w:rFonts w:cs="Calibri Light" w:ascii="Calibri Light" w:hAnsi="Calibri Light"/>
                                <w:color w:val="000000"/>
                              </w:rPr>
                              <w:t xml:space="preserve">, bei denen es per definitionem keine </w:t>
                            </w:r>
                            <w:r>
                              <w:rPr>
                                <w:rFonts w:cs="Calibri Light" w:ascii="Calibri Light" w:hAnsi="Calibri Light"/>
                                <w:color w:val="000000"/>
                                <w:lang w:val="de-DE"/>
                              </w:rPr>
                              <w:t>„</w:t>
                            </w:r>
                            <w:r>
                              <w:rPr>
                                <w:rFonts w:cs="Calibri Light" w:ascii="Calibri Light" w:hAnsi="Calibri Light"/>
                                <w:color w:val="000000"/>
                              </w:rPr>
                              <w:t>Beratung</w:t>
                            </w:r>
                            <w:r>
                              <w:rPr>
                                <w:rFonts w:cs="Calibri Light" w:ascii="Calibri Light" w:hAnsi="Calibri Light"/>
                                <w:color w:val="000000"/>
                                <w:lang w:val="de-DE"/>
                              </w:rPr>
                              <w:t>“</w:t>
                            </w:r>
                            <w:r>
                              <w:rPr>
                                <w:rFonts w:cs="Calibri Light" w:ascii="Calibri Light" w:hAnsi="Calibri Light"/>
                                <w:color w:val="000000"/>
                              </w:rPr>
                              <w:t xml:space="preserve"> gibt, die zu entschädigen ist, so wie es Kanada getan hat: es gibt keinen Grund</w:t>
                            </w:r>
                            <w:r>
                              <w:rPr>
                                <w:rFonts w:cs="Calibri Light" w:ascii="Calibri Light" w:hAnsi="Calibri Light"/>
                                <w:color w:val="000000"/>
                                <w:lang w:val="de-DE"/>
                              </w:rPr>
                              <w:t xml:space="preserve">, für derartige Transaktionen </w:t>
                            </w:r>
                            <w:r>
                              <w:rPr>
                                <w:rFonts w:cs="Calibri Light" w:ascii="Calibri Light" w:hAnsi="Calibri Light"/>
                                <w:color w:val="000000"/>
                              </w:rPr>
                              <w:t>Provisionen</w:t>
                            </w:r>
                            <w:r>
                              <w:rPr>
                                <w:rFonts w:cs="Calibri Light" w:ascii="Calibri Light" w:hAnsi="Calibri Light"/>
                                <w:color w:val="000000"/>
                                <w:lang w:val="de-DE"/>
                              </w:rPr>
                              <w:t xml:space="preserve"> aufrechtzuerhalten;</w:t>
                            </w:r>
                          </w:p>
                          <w:p>
                            <w:pPr>
                              <w:pStyle w:val="ListParagraph"/>
                              <w:numPr>
                                <w:ilvl w:val="0"/>
                                <w:numId w:val="2"/>
                              </w:numPr>
                              <w:spacing w:lineRule="auto" w:line="240" w:before="0" w:after="0"/>
                              <w:ind w:left="284" w:hanging="284"/>
                              <w:rPr>
                                <w:rFonts w:ascii="Calibri Light" w:hAnsi="Calibri Light" w:cs="Calibri Light"/>
                              </w:rPr>
                            </w:pPr>
                            <w:r>
                              <w:rPr>
                                <w:rFonts w:cs="Calibri Light" w:ascii="Calibri Light" w:hAnsi="Calibri Light"/>
                                <w:color w:val="000000"/>
                                <w:lang w:val="de-DE"/>
                              </w:rPr>
                              <w:t>d</w:t>
                            </w:r>
                            <w:r>
                              <w:rPr>
                                <w:rFonts w:cs="Calibri Light" w:ascii="Calibri Light" w:hAnsi="Calibri Light"/>
                                <w:color w:val="000000"/>
                              </w:rPr>
                              <w:t xml:space="preserve">ie derzeitigen Barrieren für unabhängige Beratung </w:t>
                            </w:r>
                            <w:r>
                              <w:rPr>
                                <w:rFonts w:cs="Calibri Light" w:ascii="Calibri Light" w:hAnsi="Calibri Light"/>
                                <w:color w:val="000000"/>
                                <w:lang w:val="de-DE"/>
                              </w:rPr>
                              <w:t xml:space="preserve">zu beseitigen </w:t>
                            </w:r>
                            <w:r>
                              <w:rPr>
                                <w:rFonts w:cs="Calibri Light" w:ascii="Calibri Light" w:hAnsi="Calibri Light"/>
                                <w:color w:val="000000"/>
                              </w:rPr>
                              <w:t xml:space="preserve">(unabhängige Berater müssen problemlos Zugang zu </w:t>
                            </w:r>
                            <w:r>
                              <w:rPr>
                                <w:rFonts w:cs="Calibri Light" w:ascii="Calibri Light" w:hAnsi="Calibri Light"/>
                                <w:color w:val="000000"/>
                                <w:lang w:val="de-DE"/>
                              </w:rPr>
                              <w:t xml:space="preserve">„Clean Share Classes“ </w:t>
                            </w:r>
                            <w:r>
                              <w:rPr>
                                <w:rFonts w:cs="Calibri Light" w:ascii="Calibri Light" w:hAnsi="Calibri Light"/>
                                <w:color w:val="000000"/>
                              </w:rPr>
                              <w:t xml:space="preserve">von Fonds haben und dürfen von Verwahrstellen oder Fondsplattformen nicht mit den maximalen </w:t>
                            </w:r>
                            <w:r>
                              <w:rPr>
                                <w:rFonts w:cs="Calibri Light" w:ascii="Calibri Light" w:hAnsi="Calibri Light"/>
                                <w:color w:val="000000"/>
                                <w:lang w:val="de-DE"/>
                              </w:rPr>
                              <w:t xml:space="preserve">Ausgabeaufschlägen </w:t>
                            </w:r>
                            <w:r>
                              <w:rPr>
                                <w:rFonts w:cs="Calibri Light" w:ascii="Calibri Light" w:hAnsi="Calibri Light"/>
                                <w:color w:val="000000"/>
                              </w:rPr>
                              <w:t>belastet werden</w:t>
                            </w:r>
                            <w:r>
                              <w:rPr>
                                <w:rFonts w:cs="Calibri Light" w:ascii="Calibri Light" w:hAnsi="Calibri Light"/>
                                <w:color w:val="000000"/>
                                <w:lang w:val="de-DE"/>
                              </w:rPr>
                              <w:t xml:space="preserve">, </w:t>
                            </w:r>
                            <w:r>
                              <w:rPr>
                                <w:rFonts w:cs="Calibri Light" w:ascii="Calibri Light" w:hAnsi="Calibri Light"/>
                                <w:color w:val="000000"/>
                              </w:rPr>
                              <w:t xml:space="preserve">die </w:t>
                            </w:r>
                            <w:r>
                              <w:rPr>
                                <w:rFonts w:cs="Calibri Light" w:ascii="Calibri Light" w:hAnsi="Calibri Light"/>
                                <w:color w:val="000000"/>
                                <w:lang w:val="de-DE"/>
                              </w:rPr>
                              <w:t xml:space="preserve">weder </w:t>
                            </w:r>
                            <w:r>
                              <w:rPr>
                                <w:rFonts w:cs="Calibri Light" w:ascii="Calibri Light" w:hAnsi="Calibri Light"/>
                                <w:color w:val="000000"/>
                              </w:rPr>
                              <w:t>von</w:t>
                            </w:r>
                            <w:r>
                              <w:rPr>
                                <w:rFonts w:cs="Calibri Light" w:ascii="Calibri Light" w:hAnsi="Calibri Light"/>
                                <w:color w:val="000000"/>
                                <w:lang w:val="de-DE"/>
                              </w:rPr>
                              <w:t xml:space="preserve"> noch für </w:t>
                            </w:r>
                            <w:r>
                              <w:rPr>
                                <w:rFonts w:cs="Calibri Light" w:ascii="Calibri Light" w:hAnsi="Calibri Light"/>
                                <w:color w:val="000000"/>
                              </w:rPr>
                              <w:t>Fondsmanager verlangt werden).</w:t>
                            </w:r>
                          </w:p>
                        </w:txbxContent>
                      </wps:txbx>
                      <wps:bodyPr>
                        <a:noAutofit/>
                      </wps:bodyPr>
                    </wps:wsp>
                  </a:graphicData>
                </a:graphic>
              </wp:anchor>
            </w:drawing>
          </mc:Choice>
          <mc:Fallback>
            <w:pict>
              <v:rect id="shape_0" ID="Text Box 2" fillcolor="white" stroked="t" style="position:absolute;margin-left:-9.4pt;margin-top:100.95pt;width:450.1pt;height:227.35pt;mso-position-horizontal:right;mso-position-horizontal-relative:margin" wp14:anchorId="7C5DB58E">
                <w10:wrap type="square"/>
                <v:fill o:detectmouseclick="t" type="solid" color2="black"/>
                <v:stroke color="black" weight="9360" joinstyle="round" endcap="flat"/>
                <v:textbox>
                  <w:txbxContent>
                    <w:p>
                      <w:pPr>
                        <w:pStyle w:val="Rahmeninhalt"/>
                        <w:rPr>
                          <w:color w:val="000000"/>
                          <w:sz w:val="22"/>
                          <w:szCs w:val="22"/>
                          <w:lang w:val="de-DE" w:eastAsia="en-US" w:bidi="ar-SA"/>
                        </w:rPr>
                      </w:pPr>
                      <w:r>
                        <w:rPr>
                          <w:rFonts w:cs="Calibri Light" w:ascii="Calibri Light" w:hAnsi="Calibri Light"/>
                          <w:color w:val="000000"/>
                          <w:sz w:val="22"/>
                          <w:szCs w:val="22"/>
                          <w:lang w:val="de-DE" w:eastAsia="en-US" w:bidi="ar-SA"/>
                        </w:rPr>
                        <w:t>Wenn sich die Industrielobbys wieder einmal als so mächtig erweisen, dass die EU-Behörden kein vollständiges Verbot von Anreizen durchsetzen können –  obwohl die Behörden in Großbritannien und in den Niederlanden in der Lage waren, dies zu erreichen – , dann bitten wir zumindest darum:</w:t>
                      </w:r>
                    </w:p>
                    <w:p>
                      <w:pPr>
                        <w:pStyle w:val="ListParagraph"/>
                        <w:numPr>
                          <w:ilvl w:val="0"/>
                          <w:numId w:val="2"/>
                        </w:numPr>
                        <w:spacing w:lineRule="auto" w:line="240" w:before="0" w:after="0"/>
                        <w:ind w:left="284" w:hanging="284"/>
                        <w:rPr/>
                      </w:pPr>
                      <w:r>
                        <w:rPr>
                          <w:rFonts w:cs="Calibri Light" w:ascii="Calibri Light" w:hAnsi="Calibri Light"/>
                          <w:color w:val="000000"/>
                          <w:sz w:val="22"/>
                          <w:szCs w:val="22"/>
                          <w:lang w:val="de-DE" w:eastAsia="en-US" w:bidi="ar-SA"/>
                        </w:rPr>
                        <w:t>die bestehenden spezifischen Verbote in MIFID II auf alle substituierbaren Anlageprodukte auszuweiten, um einen konsequenten Anlegerschutz für alle Anlageprodukte für Privatanleger sicherzustellen und die Aufsichtsarbitrage zu beenden, indem das bestehende Verbot von  Anreizen für unabhängige Berater und für das Portfoliomanagement auch auf Versicherungsanlage- und private Altersvorsorgeprodukte erweitert wird (durch Änderung der Richtlinie über den Versicherungsvertrieb): Die ESMA stimmt in der Tat zu, dass für ähnliche Anlageprodukte die gleichen Regeln für Anreize gelten sollten;</w:t>
                      </w:r>
                    </w:p>
                    <w:p>
                      <w:pPr>
                        <w:pStyle w:val="ListParagraph"/>
                        <w:numPr>
                          <w:ilvl w:val="0"/>
                          <w:numId w:val="2"/>
                        </w:numPr>
                        <w:spacing w:lineRule="auto" w:line="240" w:before="0" w:after="0"/>
                        <w:ind w:left="284" w:hanging="284"/>
                        <w:rPr/>
                      </w:pPr>
                      <w:r>
                        <w:rPr>
                          <w:rFonts w:cs="Calibri Light" w:ascii="Calibri Light" w:hAnsi="Calibri Light"/>
                          <w:color w:val="000000"/>
                        </w:rPr>
                        <w:t xml:space="preserve">das bestehende Verbot </w:t>
                      </w:r>
                      <w:r>
                        <w:rPr>
                          <w:rFonts w:cs="Calibri Light" w:ascii="Calibri Light" w:hAnsi="Calibri Light"/>
                          <w:color w:val="000000"/>
                          <w:lang w:val="de-DE"/>
                        </w:rPr>
                        <w:t>a</w:t>
                      </w:r>
                      <w:r>
                        <w:rPr>
                          <w:rFonts w:cs="Calibri Light" w:ascii="Calibri Light" w:hAnsi="Calibri Light"/>
                          <w:color w:val="000000"/>
                        </w:rPr>
                        <w:t xml:space="preserve">uf </w:t>
                      </w:r>
                      <w:r>
                        <w:rPr>
                          <w:rFonts w:cs="Calibri Light" w:ascii="Calibri Light" w:hAnsi="Calibri Light"/>
                          <w:color w:val="000000"/>
                          <w:lang w:val="de-DE"/>
                        </w:rPr>
                        <w:t>„E</w:t>
                      </w:r>
                      <w:r>
                        <w:rPr>
                          <w:rFonts w:cs="Calibri Light" w:ascii="Calibri Light" w:hAnsi="Calibri Light"/>
                          <w:color w:val="000000"/>
                        </w:rPr>
                        <w:t>xecution only</w:t>
                      </w:r>
                      <w:r>
                        <w:rPr>
                          <w:rFonts w:cs="Calibri Light" w:ascii="Calibri Light" w:hAnsi="Calibri Light"/>
                          <w:color w:val="000000"/>
                          <w:lang w:val="de-DE"/>
                        </w:rPr>
                        <w:t>“</w:t>
                      </w:r>
                      <w:r>
                        <w:rPr>
                          <w:rFonts w:cs="Calibri Light" w:ascii="Calibri Light" w:hAnsi="Calibri Light"/>
                          <w:color w:val="000000"/>
                        </w:rPr>
                        <w:t xml:space="preserve">-Transaktionen </w:t>
                      </w:r>
                      <w:r>
                        <w:rPr>
                          <w:rFonts w:cs="Calibri Light" w:ascii="Calibri Light" w:hAnsi="Calibri Light"/>
                          <w:color w:val="000000"/>
                          <w:lang w:val="de-DE"/>
                        </w:rPr>
                        <w:t>zu erweitern</w:t>
                      </w:r>
                      <w:r>
                        <w:rPr>
                          <w:rFonts w:cs="Calibri Light" w:ascii="Calibri Light" w:hAnsi="Calibri Light"/>
                          <w:color w:val="000000"/>
                        </w:rPr>
                        <w:t xml:space="preserve">, bei denen es per definitionem keine </w:t>
                      </w:r>
                      <w:r>
                        <w:rPr>
                          <w:rFonts w:cs="Calibri Light" w:ascii="Calibri Light" w:hAnsi="Calibri Light"/>
                          <w:color w:val="000000"/>
                          <w:lang w:val="de-DE"/>
                        </w:rPr>
                        <w:t>„</w:t>
                      </w:r>
                      <w:r>
                        <w:rPr>
                          <w:rFonts w:cs="Calibri Light" w:ascii="Calibri Light" w:hAnsi="Calibri Light"/>
                          <w:color w:val="000000"/>
                        </w:rPr>
                        <w:t>Beratung</w:t>
                      </w:r>
                      <w:r>
                        <w:rPr>
                          <w:rFonts w:cs="Calibri Light" w:ascii="Calibri Light" w:hAnsi="Calibri Light"/>
                          <w:color w:val="000000"/>
                          <w:lang w:val="de-DE"/>
                        </w:rPr>
                        <w:t>“</w:t>
                      </w:r>
                      <w:r>
                        <w:rPr>
                          <w:rFonts w:cs="Calibri Light" w:ascii="Calibri Light" w:hAnsi="Calibri Light"/>
                          <w:color w:val="000000"/>
                        </w:rPr>
                        <w:t xml:space="preserve"> gibt, die zu entschädigen ist, so wie es Kanada getan hat: es gibt keinen Grund</w:t>
                      </w:r>
                      <w:r>
                        <w:rPr>
                          <w:rFonts w:cs="Calibri Light" w:ascii="Calibri Light" w:hAnsi="Calibri Light"/>
                          <w:color w:val="000000"/>
                          <w:lang w:val="de-DE"/>
                        </w:rPr>
                        <w:t xml:space="preserve">, für derartige Transaktionen </w:t>
                      </w:r>
                      <w:r>
                        <w:rPr>
                          <w:rFonts w:cs="Calibri Light" w:ascii="Calibri Light" w:hAnsi="Calibri Light"/>
                          <w:color w:val="000000"/>
                        </w:rPr>
                        <w:t>Provisionen</w:t>
                      </w:r>
                      <w:r>
                        <w:rPr>
                          <w:rFonts w:cs="Calibri Light" w:ascii="Calibri Light" w:hAnsi="Calibri Light"/>
                          <w:color w:val="000000"/>
                          <w:lang w:val="de-DE"/>
                        </w:rPr>
                        <w:t xml:space="preserve"> aufrechtzuerhalten;</w:t>
                      </w:r>
                    </w:p>
                    <w:p>
                      <w:pPr>
                        <w:pStyle w:val="ListParagraph"/>
                        <w:numPr>
                          <w:ilvl w:val="0"/>
                          <w:numId w:val="2"/>
                        </w:numPr>
                        <w:spacing w:lineRule="auto" w:line="240" w:before="0" w:after="0"/>
                        <w:ind w:left="284" w:hanging="284"/>
                        <w:rPr>
                          <w:rFonts w:ascii="Calibri Light" w:hAnsi="Calibri Light" w:cs="Calibri Light"/>
                        </w:rPr>
                      </w:pPr>
                      <w:r>
                        <w:rPr>
                          <w:rFonts w:cs="Calibri Light" w:ascii="Calibri Light" w:hAnsi="Calibri Light"/>
                          <w:color w:val="000000"/>
                          <w:lang w:val="de-DE"/>
                        </w:rPr>
                        <w:t>d</w:t>
                      </w:r>
                      <w:r>
                        <w:rPr>
                          <w:rFonts w:cs="Calibri Light" w:ascii="Calibri Light" w:hAnsi="Calibri Light"/>
                          <w:color w:val="000000"/>
                        </w:rPr>
                        <w:t xml:space="preserve">ie derzeitigen Barrieren für unabhängige Beratung </w:t>
                      </w:r>
                      <w:r>
                        <w:rPr>
                          <w:rFonts w:cs="Calibri Light" w:ascii="Calibri Light" w:hAnsi="Calibri Light"/>
                          <w:color w:val="000000"/>
                          <w:lang w:val="de-DE"/>
                        </w:rPr>
                        <w:t xml:space="preserve">zu beseitigen </w:t>
                      </w:r>
                      <w:r>
                        <w:rPr>
                          <w:rFonts w:cs="Calibri Light" w:ascii="Calibri Light" w:hAnsi="Calibri Light"/>
                          <w:color w:val="000000"/>
                        </w:rPr>
                        <w:t xml:space="preserve">(unabhängige Berater müssen problemlos Zugang zu </w:t>
                      </w:r>
                      <w:r>
                        <w:rPr>
                          <w:rFonts w:cs="Calibri Light" w:ascii="Calibri Light" w:hAnsi="Calibri Light"/>
                          <w:color w:val="000000"/>
                          <w:lang w:val="de-DE"/>
                        </w:rPr>
                        <w:t xml:space="preserve">„Clean Share Classes“ </w:t>
                      </w:r>
                      <w:r>
                        <w:rPr>
                          <w:rFonts w:cs="Calibri Light" w:ascii="Calibri Light" w:hAnsi="Calibri Light"/>
                          <w:color w:val="000000"/>
                        </w:rPr>
                        <w:t xml:space="preserve">von Fonds haben und dürfen von Verwahrstellen oder Fondsplattformen nicht mit den maximalen </w:t>
                      </w:r>
                      <w:r>
                        <w:rPr>
                          <w:rFonts w:cs="Calibri Light" w:ascii="Calibri Light" w:hAnsi="Calibri Light"/>
                          <w:color w:val="000000"/>
                          <w:lang w:val="de-DE"/>
                        </w:rPr>
                        <w:t xml:space="preserve">Ausgabeaufschlägen </w:t>
                      </w:r>
                      <w:r>
                        <w:rPr>
                          <w:rFonts w:cs="Calibri Light" w:ascii="Calibri Light" w:hAnsi="Calibri Light"/>
                          <w:color w:val="000000"/>
                        </w:rPr>
                        <w:t>belastet werden</w:t>
                      </w:r>
                      <w:r>
                        <w:rPr>
                          <w:rFonts w:cs="Calibri Light" w:ascii="Calibri Light" w:hAnsi="Calibri Light"/>
                          <w:color w:val="000000"/>
                          <w:lang w:val="de-DE"/>
                        </w:rPr>
                        <w:t xml:space="preserve">, </w:t>
                      </w:r>
                      <w:r>
                        <w:rPr>
                          <w:rFonts w:cs="Calibri Light" w:ascii="Calibri Light" w:hAnsi="Calibri Light"/>
                          <w:color w:val="000000"/>
                        </w:rPr>
                        <w:t xml:space="preserve">die </w:t>
                      </w:r>
                      <w:r>
                        <w:rPr>
                          <w:rFonts w:cs="Calibri Light" w:ascii="Calibri Light" w:hAnsi="Calibri Light"/>
                          <w:color w:val="000000"/>
                          <w:lang w:val="de-DE"/>
                        </w:rPr>
                        <w:t xml:space="preserve">weder </w:t>
                      </w:r>
                      <w:r>
                        <w:rPr>
                          <w:rFonts w:cs="Calibri Light" w:ascii="Calibri Light" w:hAnsi="Calibri Light"/>
                          <w:color w:val="000000"/>
                        </w:rPr>
                        <w:t>von</w:t>
                      </w:r>
                      <w:r>
                        <w:rPr>
                          <w:rFonts w:cs="Calibri Light" w:ascii="Calibri Light" w:hAnsi="Calibri Light"/>
                          <w:color w:val="000000"/>
                          <w:lang w:val="de-DE"/>
                        </w:rPr>
                        <w:t xml:space="preserve"> noch für </w:t>
                      </w:r>
                      <w:r>
                        <w:rPr>
                          <w:rFonts w:cs="Calibri Light" w:ascii="Calibri Light" w:hAnsi="Calibri Light"/>
                          <w:color w:val="000000"/>
                        </w:rPr>
                        <w:t>Fondsmanager verlangt werden).</w:t>
                      </w:r>
                    </w:p>
                  </w:txbxContent>
                </v:textbox>
              </v:rect>
            </w:pict>
          </mc:Fallback>
        </mc:AlternateContent>
      </w:r>
      <w:r>
        <w:rPr>
          <w:rFonts w:cs="Calibri Light" w:ascii="Calibri Light" w:hAnsi="Calibri Light"/>
          <w:lang w:val="de-DE" w:eastAsia="en-US" w:bidi="ar-SA"/>
        </w:rPr>
        <w:t xml:space="preserve">BETTER FINANCE fordert ein vollständiges Verbot von Anreizen, und zwar nicht nur für Anlageprodukte im Rahmen von MIFID II (hauptsächlich Investmentfonds, die nur etwa 8 % der finanziellen Ersparnisse der Haushalte ausmachen), sondern auch für alle anderen Anlageprodukte für Kleinanleger, wie „IBIP“ (Versicherungsanlageprodukte) und private Altersvorsorgeprodukte, deren Umfang zusammengerechnet fünfmal so groß sind. Aufgrund dieser schwerwiegenden und schädlichen Inkonsistenz der EU-Anlegerschutzvorschriften liegt bereits eine massive Aufsichtsarbitrage vor. </w:t>
      </w:r>
    </w:p>
    <w:p>
      <w:pPr>
        <w:pStyle w:val="Normal"/>
        <w:spacing w:lineRule="auto" w:line="264" w:before="0" w:after="0"/>
        <w:jc w:val="center"/>
        <w:rPr>
          <w:lang w:val="de-DE" w:eastAsia="en-US" w:bidi="ar-SA"/>
        </w:rPr>
      </w:pPr>
      <w:r>
        <w:rPr>
          <w:rFonts w:cs="Calibri Light" w:ascii="Calibri Light" w:hAnsi="Calibri Light"/>
          <w:lang w:val="de-DE" w:eastAsia="en-US" w:bidi="ar-SA"/>
        </w:rPr>
        <w:t>***</w:t>
      </w:r>
    </w:p>
    <w:p>
      <w:pPr>
        <w:pStyle w:val="Textkrper"/>
        <w:spacing w:lineRule="atLeast" w:line="30" w:before="120" w:after="0"/>
        <w:jc w:val="center"/>
        <w:rPr/>
      </w:pPr>
      <w:r>
        <w:rPr>
          <w:rFonts w:cs="Calibri Light" w:ascii="Calibri Light" w:hAnsi="Calibri Light"/>
          <w:sz w:val="18"/>
          <w:szCs w:val="18"/>
          <w:u w:val="single"/>
          <w:lang w:val="de-DE" w:eastAsia="en-US" w:bidi="ar-SA"/>
        </w:rPr>
        <w:t>Kontakt</w:t>
      </w:r>
      <w:r>
        <w:rPr>
          <w:rFonts w:cs="Calibri Light" w:ascii="Calibri Light" w:hAnsi="Calibri Light"/>
          <w:sz w:val="18"/>
          <w:szCs w:val="18"/>
          <w:lang w:val="de-DE" w:eastAsia="en-US" w:bidi="ar-SA"/>
        </w:rPr>
        <w:t xml:space="preserve">: Leiter der Kommunikationsabteilung ǀ Arnaud Houdmont ǀ +32 (0)2 514 37 77 ǀ </w:t>
      </w:r>
      <w:hyperlink r:id="rId3">
        <w:r>
          <w:rPr>
            <w:rStyle w:val="Internetverknpfung"/>
            <w:rFonts w:cs="Calibri Light" w:ascii="Calibri Light" w:hAnsi="Calibri Light"/>
            <w:sz w:val="18"/>
            <w:szCs w:val="18"/>
            <w:lang w:val="de-DE" w:eastAsia="en-US" w:bidi="ar-SA"/>
          </w:rPr>
          <w:t>houdmont@betterfinance.eu</w:t>
        </w:r>
      </w:hyperlink>
    </w:p>
    <w:sectPr>
      <w:headerReference w:type="default" r:id="rId4"/>
      <w:footerReference w:type="default" r:id="rId5"/>
      <w:footnotePr>
        <w:numFmt w:val="decimal"/>
      </w:footnotePr>
      <w:type w:val="nextPage"/>
      <w:pgSz w:w="11906" w:h="16838"/>
      <w:pgMar w:left="1440" w:right="1440" w:header="708" w:top="1440" w:footer="708"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Cambria">
    <w:charset w:val="01"/>
    <w:family w:val="swiss"/>
    <w:pitch w:val="default"/>
  </w:font>
  <w:font w:name="Tahoma">
    <w:charset w:val="01"/>
    <w:family w:val="swiss"/>
    <w:pitch w:val="default"/>
  </w:font>
  <w:font w:name="Times New Roman">
    <w:charset w:val="01"/>
    <w:family w:val="swiss"/>
    <w:pitch w:val="default"/>
  </w:font>
  <w:font w:name="Arial">
    <w:charset w:val="01"/>
    <w:family w:val="swiss"/>
    <w:pitch w:val="default"/>
  </w:font>
  <w:font w:name="Calibri Light">
    <w:charset w:val="01"/>
    <w:family w:val="swiss"/>
    <w:pitch w:val="default"/>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120" w:after="0"/>
      <w:ind w:left="-567" w:hanging="0"/>
      <w:jc w:val="center"/>
      <w:rPr>
        <w:b/>
        <w:b/>
        <w:color w:val="006FB4"/>
        <w:sz w:val="16"/>
        <w:szCs w:val="16"/>
        <w:lang w:val="en-US"/>
      </w:rPr>
    </w:pPr>
    <w:r>
      <w:rPr>
        <w:b/>
        <w:color w:val="006FB4"/>
        <w:sz w:val="16"/>
        <w:szCs w:val="16"/>
        <w:lang w:val="en-US"/>
      </w:rPr>
      <w:t>Europäische</w:t>
    </w:r>
    <w:r>
      <w:rPr>
        <w:b/>
        <w:color w:val="006FB4"/>
        <w:sz w:val="16"/>
        <w:szCs w:val="16"/>
        <w:lang w:val="de-DE"/>
      </w:rPr>
      <w:t>r Verband</w:t>
    </w:r>
    <w:r>
      <w:rPr>
        <w:b/>
        <w:color w:val="006FB4"/>
        <w:sz w:val="16"/>
        <w:szCs w:val="16"/>
        <w:lang w:val="en-US"/>
      </w:rPr>
      <w:t xml:space="preserve"> der </w:t>
    </w:r>
    <w:r>
      <w:rPr>
        <w:b/>
        <w:color w:val="006FB4"/>
        <w:sz w:val="16"/>
        <w:szCs w:val="16"/>
        <w:lang w:val="de-DE"/>
      </w:rPr>
      <w:t>Anleger</w:t>
    </w:r>
    <w:r>
      <w:rPr>
        <w:b/>
        <w:color w:val="006FB4"/>
        <w:sz w:val="16"/>
        <w:szCs w:val="16"/>
        <w:lang w:val="en-US"/>
      </w:rPr>
      <w:t xml:space="preserve"> und Nutzer von Finanzdienstleistungen</w:t>
    </w:r>
  </w:p>
  <w:p>
    <w:pPr>
      <w:pStyle w:val="Normal"/>
      <w:spacing w:lineRule="auto" w:line="240" w:before="0" w:after="0"/>
      <w:ind w:left="-567" w:hanging="0"/>
      <w:jc w:val="center"/>
      <w:rPr>
        <w:color w:val="006FB4"/>
        <w:sz w:val="16"/>
        <w:szCs w:val="16"/>
        <w:lang w:val="de-DE"/>
      </w:rPr>
    </w:pPr>
    <w:r>
      <w:rPr>
        <w:color w:val="006FB4"/>
        <w:sz w:val="16"/>
        <w:szCs w:val="16"/>
        <w:lang w:val="de-DE"/>
      </w:rPr>
      <w:t>44, Rue d'Arenberg, 1000 Brüssel - Belgien</w:t>
    </w:r>
  </w:p>
  <w:p>
    <w:pPr>
      <w:pStyle w:val="Normal"/>
      <w:spacing w:lineRule="auto" w:line="240" w:before="0" w:after="0"/>
      <w:ind w:left="-567" w:hanging="0"/>
      <w:jc w:val="center"/>
      <w:rPr/>
    </w:pPr>
    <w:r>
      <w:rPr>
        <w:color w:val="006FB4"/>
        <w:sz w:val="16"/>
        <w:szCs w:val="16"/>
        <w:lang w:val="de-DE"/>
      </w:rPr>
      <w:t xml:space="preserve">Tel. (+32) 02 514 37 77 - Fax. </w:t>
    </w:r>
    <w:r>
      <w:rPr>
        <w:color w:val="006FB4"/>
        <w:sz w:val="16"/>
        <w:szCs w:val="16"/>
        <w:lang w:val="pt-PT"/>
      </w:rPr>
      <w:t>(+32) 02 514 36 66</w:t>
    </w:r>
  </w:p>
  <w:p>
    <w:pPr>
      <w:pStyle w:val="Normal"/>
      <w:spacing w:lineRule="auto" w:line="240" w:before="0" w:after="0"/>
      <w:ind w:left="-567" w:hanging="0"/>
      <w:jc w:val="center"/>
      <w:rPr/>
    </w:pPr>
    <w:r>
      <w:rPr>
        <w:color w:val="006FB4"/>
        <w:sz w:val="16"/>
        <w:szCs w:val="16"/>
        <w:lang w:val="pt-PT"/>
      </w:rPr>
      <w:t>E-Mail: info@betterfinance.eu -</w:t>
    </w:r>
    <w:bookmarkStart w:id="1" w:name="_Hlk944867"/>
    <w:r>
      <w:rPr>
        <w:color w:val="006FB4"/>
        <w:sz w:val="16"/>
        <w:szCs w:val="16"/>
        <w:lang w:val="pt-PT"/>
      </w:rPr>
      <w:t xml:space="preserve"> </w:t>
    </w:r>
    <w:hyperlink r:id="rId1">
      <w:r>
        <w:rPr>
          <w:color w:val="006FB4"/>
          <w:sz w:val="16"/>
          <w:szCs w:val="16"/>
          <w:u w:val="single"/>
          <w:lang w:val="it-IT"/>
        </w:rPr>
        <w:t xml:space="preserve">http://www.betterfinance.eu </w:t>
      </w:r>
    </w:hyperlink>
    <w:bookmarkEnd w:id="1"/>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unote"/>
        <w:rPr/>
      </w:pPr>
      <w:r>
        <w:rPr>
          <w:rStyle w:val="Funotenzeichen"/>
        </w:rPr>
        <w:footnoteRef/>
      </w:r>
      <w:r>
        <w:rPr>
          <w:rFonts w:cs="Calibri Light" w:ascii="Calibri Light" w:hAnsi="Calibri Light"/>
        </w:rPr>
        <w:t xml:space="preserve"> </w:t>
      </w:r>
      <w:r>
        <w:rPr>
          <w:rFonts w:cs="Calibri Light" w:ascii="Calibri Light" w:hAnsi="Calibri Light"/>
          <w:lang w:val="de-DE"/>
        </w:rPr>
        <w:t>„</w:t>
      </w:r>
      <w:r>
        <w:rPr>
          <w:rFonts w:cs="Calibri Light" w:ascii="Calibri Light" w:hAnsi="Calibri Light"/>
          <w:lang w:val="de-DE"/>
        </w:rPr>
        <w:t>A</w:t>
      </w:r>
      <w:r>
        <w:rPr>
          <w:rFonts w:cs="Calibri Light" w:ascii="Calibri Light" w:hAnsi="Calibri Light"/>
          <w:lang w:val="de-DE" w:eastAsia="en-US" w:bidi="ar-SA"/>
        </w:rPr>
        <w:t>nreiz“ ist der unklare Rechtsbegriff, der im EU-Recht verwendet wird, um Vorteile (im Wesentlichen Provisionen) zu bezeichnen, die von Anbietern an Vertreiber für den Vertrieb bestimmter Anlageprodukte gezahlt werden.</w:t>
      </w:r>
    </w:p>
  </w:footnote>
  <w:footnote w:id="3">
    <w:p>
      <w:pPr>
        <w:pStyle w:val="Funote"/>
        <w:rPr/>
      </w:pPr>
      <w:r>
        <w:rPr>
          <w:rStyle w:val="Funotenzeichen"/>
        </w:rPr>
        <w:footnoteRef/>
      </w:r>
      <w:r>
        <w:rPr>
          <w:rFonts w:cs="Calibri Light" w:ascii="Calibri Light" w:hAnsi="Calibri Light"/>
          <w:lang w:val="en-US"/>
        </w:rPr>
        <w:t xml:space="preserve"> </w:t>
      </w:r>
      <w:r>
        <w:rPr>
          <w:rFonts w:cs="Calibri Light" w:ascii="Calibri Light" w:hAnsi="Calibri Light"/>
        </w:rPr>
        <w:t xml:space="preserve">BETTER FINANCE </w:t>
      </w:r>
      <w:hyperlink r:id="rId1">
        <w:r>
          <w:rPr>
            <w:rStyle w:val="Internetverknpfung"/>
            <w:rFonts w:cs="Calibri Light" w:ascii="Calibri Light" w:hAnsi="Calibri Light"/>
            <w:lang w:val="de-DE"/>
          </w:rPr>
          <w:t>Studie</w:t>
        </w:r>
      </w:hyperlink>
      <w:r>
        <w:rPr>
          <w:rFonts w:cs="Calibri Light" w:ascii="Calibri Light" w:hAnsi="Calibri Light"/>
          <w:lang w:val="de-DE"/>
        </w:rPr>
        <w:t xml:space="preserve"> „Altersvorsorge: die reale Rendite“</w:t>
      </w:r>
      <w:r>
        <w:rPr>
          <w:rFonts w:cs="Calibri Light" w:ascii="Calibri Light" w:hAnsi="Calibri Light"/>
          <w:lang w:val="en-US"/>
        </w:rPr>
        <w:t>, Ausgabe 2019</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drawing>
        <wp:anchor behindDoc="1" distT="0" distB="0" distL="114300" distR="114300" simplePos="0" locked="0" layoutInCell="1" allowOverlap="1" relativeHeight="4">
          <wp:simplePos x="0" y="0"/>
          <wp:positionH relativeFrom="margin">
            <wp:posOffset>2564130</wp:posOffset>
          </wp:positionH>
          <wp:positionV relativeFrom="paragraph">
            <wp:posOffset>-265430</wp:posOffset>
          </wp:positionV>
          <wp:extent cx="3138170" cy="645160"/>
          <wp:effectExtent l="0" t="0" r="0" b="0"/>
          <wp:wrapSquare wrapText="bothSides"/>
          <wp:docPr id="3"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
                  <pic:cNvPicPr>
                    <a:picLocks noChangeAspect="1" noChangeArrowheads="1"/>
                  </pic:cNvPicPr>
                </pic:nvPicPr>
                <pic:blipFill>
                  <a:blip r:embed="rId1"/>
                  <a:stretch>
                    <a:fillRect/>
                  </a:stretch>
                </pic:blipFill>
                <pic:spPr bwMode="auto">
                  <a:xfrm>
                    <a:off x="0" y="0"/>
                    <a:ext cx="3138170" cy="645160"/>
                  </a:xfrm>
                  <a:prstGeom prst="rect">
                    <a:avLst/>
                  </a:prstGeom>
                </pic:spPr>
              </pic:pic>
            </a:graphicData>
          </a:graphic>
        </wp:anchor>
      </w:drawing>
    </w:r>
  </w:p>
  <w:p>
    <w:pPr>
      <w:pStyle w:val="Kopfzeile"/>
      <w:rPr/>
    </w:pPr>
    <w:r>
      <w:rPr/>
    </w:r>
  </w:p>
  <w:p>
    <w:pPr>
      <w:pStyle w:val="Kopfzeile"/>
      <w:rPr>
        <w:sz w:val="12"/>
        <w:szCs w:val="12"/>
      </w:rPr>
    </w:pPr>
    <w:r>
      <w:rPr>
        <w:sz w:val="12"/>
        <w:szCs w:val="12"/>
      </w:rPr>
    </w:r>
  </w:p>
  <w:p>
    <w:pPr>
      <w:pStyle w:val="Kopfzeile"/>
      <w:rPr>
        <w:sz w:val="12"/>
        <w:szCs w:val="12"/>
      </w:rPr>
    </w:pPr>
    <w:r>
      <w:rPr>
        <w:sz w:val="12"/>
        <w:szCs w:val="1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Setting w:name="useWord2013TrackBottomHyphenation" w:uri="http://schemas.microsoft.com/office/word" w:val="1"/>
  </w:compat>
  <w:themeFontLang w:val="en-BE"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textAlignment w:val="baseline"/>
    </w:pPr>
    <w:rPr>
      <w:rFonts w:ascii="Calibri" w:hAnsi="Calibri" w:eastAsia="Calibri" w:cs="Arial"/>
      <w:color w:val="auto"/>
      <w:kern w:val="0"/>
      <w:sz w:val="22"/>
      <w:szCs w:val="22"/>
      <w:lang w:val="en-GB" w:eastAsia="en-US" w:bidi="ar-SA"/>
    </w:rPr>
  </w:style>
  <w:style w:type="paragraph" w:styleId="Berschrift1">
    <w:name w:val="Heading 1"/>
    <w:basedOn w:val="Normal"/>
    <w:next w:val="Normal"/>
    <w:uiPriority w:val="9"/>
    <w:qFormat/>
    <w:pPr>
      <w:keepNext w:val="true"/>
      <w:keepLines/>
      <w:spacing w:before="240" w:after="0"/>
      <w:outlineLvl w:val="0"/>
    </w:pPr>
    <w:rPr>
      <w:rFonts w:ascii="Cambria" w:hAnsi="Cambria" w:eastAsia="SimSun" w:cs="Times New Roman"/>
      <w:color w:val="365F91"/>
      <w:sz w:val="32"/>
      <w:szCs w:val="32"/>
    </w:rPr>
  </w:style>
  <w:style w:type="paragraph" w:styleId="Berschrift2">
    <w:name w:val="Heading 2"/>
    <w:basedOn w:val="Normal"/>
    <w:next w:val="Normal"/>
    <w:uiPriority w:val="9"/>
    <w:unhideWhenUsed/>
    <w:qFormat/>
    <w:pPr>
      <w:keepNext w:val="true"/>
      <w:keepLines/>
      <w:spacing w:before="40" w:after="0"/>
      <w:outlineLvl w:val="1"/>
    </w:pPr>
    <w:rPr>
      <w:rFonts w:ascii="Cambria" w:hAnsi="Cambria" w:eastAsia="SimSun" w:cs="Times New Roman"/>
      <w:color w:val="365F91"/>
      <w:sz w:val="26"/>
      <w:szCs w:val="26"/>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qFormat/>
    <w:rPr/>
  </w:style>
  <w:style w:type="character" w:styleId="FooterChar" w:customStyle="1">
    <w:name w:val="Footer Char"/>
    <w:basedOn w:val="DefaultParagraphFont"/>
    <w:qFormat/>
    <w:rPr/>
  </w:style>
  <w:style w:type="character" w:styleId="BodyTextChar" w:customStyle="1">
    <w:name w:val="Body Text Char"/>
    <w:basedOn w:val="DefaultParagraphFont"/>
    <w:qFormat/>
    <w:rPr>
      <w:rFonts w:ascii="Tahoma" w:hAnsi="Tahoma" w:eastAsia="Times New Roman" w:cs="Times New Roman"/>
      <w:spacing w:val="10"/>
      <w:sz w:val="17"/>
      <w:szCs w:val="20"/>
      <w:lang w:val="en-US"/>
    </w:rPr>
  </w:style>
  <w:style w:type="character" w:styleId="TitleChar" w:customStyle="1">
    <w:name w:val="Title Char"/>
    <w:basedOn w:val="DefaultParagraphFont"/>
    <w:qFormat/>
    <w:rPr>
      <w:rFonts w:ascii="Cambria" w:hAnsi="Cambria" w:eastAsia="SimSun" w:cs="Times New Roman"/>
      <w:spacing w:val="-10"/>
      <w:kern w:val="2"/>
      <w:sz w:val="56"/>
      <w:szCs w:val="56"/>
    </w:rPr>
  </w:style>
  <w:style w:type="character" w:styleId="BalloonTextChar" w:customStyle="1">
    <w:name w:val="Balloon Text Char"/>
    <w:basedOn w:val="DefaultParagraphFont"/>
    <w:qFormat/>
    <w:rPr>
      <w:rFonts w:ascii="Times New Roman" w:hAnsi="Times New Roman" w:cs="Times New Roman"/>
      <w:sz w:val="18"/>
      <w:szCs w:val="18"/>
    </w:rPr>
  </w:style>
  <w:style w:type="character" w:styleId="Annotationreference">
    <w:name w:val="annotation reference"/>
    <w:basedOn w:val="DefaultParagraphFont"/>
    <w:qFormat/>
    <w:rPr>
      <w:sz w:val="16"/>
      <w:szCs w:val="16"/>
    </w:rPr>
  </w:style>
  <w:style w:type="character" w:styleId="CommentTextChar" w:customStyle="1">
    <w:name w:val="Comment Text Char"/>
    <w:basedOn w:val="DefaultParagraphFont"/>
    <w:qFormat/>
    <w:rPr>
      <w:sz w:val="20"/>
      <w:szCs w:val="20"/>
    </w:rPr>
  </w:style>
  <w:style w:type="character" w:styleId="CommentSubjectChar" w:customStyle="1">
    <w:name w:val="Comment Subject Char"/>
    <w:basedOn w:val="CommentTextChar"/>
    <w:qFormat/>
    <w:rPr>
      <w:b/>
      <w:bCs/>
      <w:sz w:val="20"/>
      <w:szCs w:val="20"/>
    </w:rPr>
  </w:style>
  <w:style w:type="character" w:styleId="FootnoteTextChar" w:customStyle="1">
    <w:name w:val="Footnote Text Char"/>
    <w:basedOn w:val="DefaultParagraphFont"/>
    <w:qFormat/>
    <w:rPr>
      <w:sz w:val="20"/>
      <w:szCs w:val="20"/>
    </w:rPr>
  </w:style>
  <w:style w:type="character" w:styleId="Funotenanker">
    <w:name w:val="Fußnotenanker"/>
    <w:rPr>
      <w:vertAlign w:val="superscript"/>
    </w:rPr>
  </w:style>
  <w:style w:type="character" w:styleId="FootnoteCharacters">
    <w:name w:val="Footnote Characters"/>
    <w:basedOn w:val="DefaultParagraphFont"/>
    <w:qFormat/>
    <w:rPr>
      <w:vertAlign w:val="superscript"/>
    </w:rPr>
  </w:style>
  <w:style w:type="character" w:styleId="Strong">
    <w:name w:val="Strong"/>
    <w:qFormat/>
    <w:rPr>
      <w:b/>
      <w:bCs/>
    </w:rPr>
  </w:style>
  <w:style w:type="character" w:styleId="Internetverknpfung">
    <w:name w:val="Internetverknüpfung"/>
    <w:basedOn w:val="DefaultParagraphFont"/>
    <w:rPr>
      <w:color w:val="0000FF"/>
      <w:u w:val="single"/>
    </w:rPr>
  </w:style>
  <w:style w:type="character" w:styleId="UnresolvedMention">
    <w:name w:val="Unresolved Mention"/>
    <w:basedOn w:val="DefaultParagraphFont"/>
    <w:qFormat/>
    <w:rPr>
      <w:color w:val="605E5C"/>
      <w:shd w:fill="E1DFDD" w:val="clear"/>
    </w:rPr>
  </w:style>
  <w:style w:type="character" w:styleId="BesuchteInternetverknpfung">
    <w:name w:val="Besuchte Internetverknüpfung"/>
    <w:basedOn w:val="DefaultParagraphFont"/>
    <w:rPr>
      <w:color w:val="800080"/>
      <w:u w:val="single"/>
    </w:rPr>
  </w:style>
  <w:style w:type="character" w:styleId="Heading2Char" w:customStyle="1">
    <w:name w:val="Heading 2 Char"/>
    <w:basedOn w:val="DefaultParagraphFont"/>
    <w:qFormat/>
    <w:rPr>
      <w:rFonts w:ascii="Cambria" w:hAnsi="Cambria" w:eastAsia="SimSun" w:cs="Times New Roman"/>
      <w:color w:val="365F91"/>
      <w:sz w:val="26"/>
      <w:szCs w:val="26"/>
    </w:rPr>
  </w:style>
  <w:style w:type="character" w:styleId="Heading1Char" w:customStyle="1">
    <w:name w:val="Heading 1 Char"/>
    <w:basedOn w:val="DefaultParagraphFont"/>
    <w:qFormat/>
    <w:rPr>
      <w:rFonts w:ascii="Cambria" w:hAnsi="Cambria" w:eastAsia="SimSun" w:cs="Times New Roman"/>
      <w:color w:val="365F91"/>
      <w:sz w:val="32"/>
      <w:szCs w:val="32"/>
    </w:rPr>
  </w:style>
  <w:style w:type="character" w:styleId="Tlidtranslation" w:customStyle="1">
    <w:name w:val="tlid-translation"/>
    <w:basedOn w:val="DefaultParagraphFont"/>
    <w:qFormat/>
    <w:rPr/>
  </w:style>
  <w:style w:type="character" w:styleId="Funotenzeichen">
    <w:name w:val="Fußnotenzeichen"/>
    <w:qFormat/>
    <w:rPr/>
  </w:style>
  <w:style w:type="character" w:styleId="Endnotenanker">
    <w:name w:val="Endnotenanker"/>
    <w:rPr>
      <w:vertAlign w:val="superscript"/>
    </w:rPr>
  </w:style>
  <w:style w:type="character" w:styleId="Endnotenzeichen">
    <w:name w:val="Endnotenzeichen"/>
    <w:qFormat/>
    <w:rPr/>
  </w:style>
  <w:style w:type="paragraph" w:styleId="Berschrift">
    <w:name w:val="Überschrift"/>
    <w:basedOn w:val="Normal"/>
    <w:next w:val="Textkrper"/>
    <w:qFormat/>
    <w:pPr>
      <w:keepNext w:val="true"/>
      <w:spacing w:before="240" w:after="120"/>
    </w:pPr>
    <w:rPr>
      <w:rFonts w:ascii="Arial" w:hAnsi="Arial" w:eastAsia="Microsoft YaHei" w:cs="Arial"/>
      <w:sz w:val="28"/>
      <w:szCs w:val="28"/>
    </w:rPr>
  </w:style>
  <w:style w:type="paragraph" w:styleId="Textkrper">
    <w:name w:val="Body Text"/>
    <w:basedOn w:val="Normal"/>
    <w:pPr>
      <w:spacing w:lineRule="exact" w:line="240"/>
    </w:pPr>
    <w:rPr>
      <w:rFonts w:ascii="Tahoma" w:hAnsi="Tahoma" w:eastAsia="Times New Roman" w:cs="Times New Roman"/>
      <w:spacing w:val="10"/>
      <w:sz w:val="17"/>
      <w:szCs w:val="20"/>
      <w:lang w:val="en-US"/>
    </w:rPr>
  </w:style>
  <w:style w:type="paragraph" w:styleId="Liste">
    <w:name w:val="List"/>
    <w:basedOn w:val="Textkrper"/>
    <w:pPr/>
    <w:rPr>
      <w:rFonts w:ascii="Arial" w:hAnsi="Arial" w:cs="Arial"/>
    </w:rPr>
  </w:style>
  <w:style w:type="paragraph" w:styleId="Beschriftung">
    <w:name w:val="Caption"/>
    <w:basedOn w:val="Normal"/>
    <w:qFormat/>
    <w:pPr>
      <w:suppressLineNumbers/>
      <w:spacing w:before="120" w:after="120"/>
    </w:pPr>
    <w:rPr>
      <w:rFonts w:ascii="Arial" w:hAnsi="Arial" w:cs="Arial"/>
      <w:i/>
      <w:iCs/>
      <w:sz w:val="24"/>
      <w:szCs w:val="24"/>
    </w:rPr>
  </w:style>
  <w:style w:type="paragraph" w:styleId="Verzeichnis">
    <w:name w:val="Verzeichnis"/>
    <w:basedOn w:val="Normal"/>
    <w:qFormat/>
    <w:pPr>
      <w:suppressLineNumbers/>
    </w:pPr>
    <w:rPr>
      <w:rFonts w:ascii="Arial" w:hAnsi="Arial" w:cs="Arial"/>
    </w:rPr>
  </w:style>
  <w:style w:type="paragraph" w:styleId="KopfundFuzeile">
    <w:name w:val="Kopf- und Fußzeile"/>
    <w:basedOn w:val="Normal"/>
    <w:qFormat/>
    <w:pPr/>
    <w:rPr/>
  </w:style>
  <w:style w:type="paragraph" w:styleId="Kopfzeile">
    <w:name w:val="Header"/>
    <w:basedOn w:val="Normal"/>
    <w:pPr>
      <w:tabs>
        <w:tab w:val="clear" w:pos="720"/>
        <w:tab w:val="center" w:pos="4536" w:leader="none"/>
        <w:tab w:val="right" w:pos="9072" w:leader="none"/>
      </w:tabs>
      <w:spacing w:lineRule="auto" w:line="240" w:before="0" w:after="0"/>
    </w:pPr>
    <w:rPr/>
  </w:style>
  <w:style w:type="paragraph" w:styleId="Fuzeile">
    <w:name w:val="Footer"/>
    <w:basedOn w:val="Normal"/>
    <w:pPr>
      <w:tabs>
        <w:tab w:val="clear" w:pos="720"/>
        <w:tab w:val="center" w:pos="4536" w:leader="none"/>
        <w:tab w:val="right" w:pos="9072" w:leader="none"/>
      </w:tabs>
      <w:spacing w:lineRule="auto" w:line="240" w:before="0" w:after="0"/>
    </w:pPr>
    <w:rPr/>
  </w:style>
  <w:style w:type="paragraph" w:styleId="Titel">
    <w:name w:val="Title"/>
    <w:basedOn w:val="Normal"/>
    <w:next w:val="Normal"/>
    <w:uiPriority w:val="10"/>
    <w:qFormat/>
    <w:pPr>
      <w:spacing w:lineRule="auto" w:line="240" w:before="0" w:after="0"/>
    </w:pPr>
    <w:rPr>
      <w:rFonts w:ascii="Cambria" w:hAnsi="Cambria" w:eastAsia="SimSun" w:cs="Times New Roman"/>
      <w:spacing w:val="-10"/>
      <w:kern w:val="2"/>
      <w:sz w:val="56"/>
      <w:szCs w:val="56"/>
    </w:rPr>
  </w:style>
  <w:style w:type="paragraph" w:styleId="BalloonText">
    <w:name w:val="Balloon Text"/>
    <w:basedOn w:val="Normal"/>
    <w:qFormat/>
    <w:pPr>
      <w:spacing w:lineRule="auto" w:line="240" w:before="0" w:after="0"/>
    </w:pPr>
    <w:rPr>
      <w:rFonts w:ascii="Times New Roman" w:hAnsi="Times New Roman" w:cs="Times New Roman"/>
      <w:sz w:val="18"/>
      <w:szCs w:val="18"/>
    </w:rPr>
  </w:style>
  <w:style w:type="paragraph" w:styleId="Annotationtext">
    <w:name w:val="annotation text"/>
    <w:basedOn w:val="Normal"/>
    <w:qFormat/>
    <w:pPr>
      <w:spacing w:lineRule="auto" w:line="240"/>
    </w:pPr>
    <w:rPr>
      <w:sz w:val="20"/>
      <w:szCs w:val="20"/>
    </w:rPr>
  </w:style>
  <w:style w:type="paragraph" w:styleId="Annotationsubject">
    <w:name w:val="annotation subject"/>
    <w:basedOn w:val="Annotationtext"/>
    <w:next w:val="Annotationtext"/>
    <w:qFormat/>
    <w:pPr/>
    <w:rPr>
      <w:b/>
      <w:bCs/>
    </w:rPr>
  </w:style>
  <w:style w:type="paragraph" w:styleId="Funote">
    <w:name w:val="Footnote Text"/>
    <w:basedOn w:val="Normal"/>
    <w:pPr>
      <w:spacing w:lineRule="auto" w:line="240" w:before="0" w:after="0"/>
    </w:pPr>
    <w:rPr>
      <w:sz w:val="20"/>
      <w:szCs w:val="20"/>
    </w:rPr>
  </w:style>
  <w:style w:type="paragraph" w:styleId="ListParagraph">
    <w:name w:val="List Paragraph"/>
    <w:basedOn w:val="Normal"/>
    <w:qFormat/>
    <w:pPr>
      <w:ind w:left="720" w:hanging="0"/>
    </w:pPr>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esma.europa.eu/sites/default/files/library/esma35-43-2126_technical_advice_on_inducements_and_costs_and_charges_disclosures.pdf" TargetMode="External"/><Relationship Id="rId3" Type="http://schemas.openxmlformats.org/officeDocument/2006/relationships/hyperlink" Target="mailto:houdmont@betterfinance.eu"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
</Relationships>
</file>

<file path=word/_rels/footer1.xml.rels><?xml version="1.0" encoding="UTF-8"?>
<Relationships xmlns="http://schemas.openxmlformats.org/package/2006/relationships"><Relationship Id="rId1" Type="http://schemas.openxmlformats.org/officeDocument/2006/relationships/hyperlink" Target="http://www.eurofinuse.org/" TargetMode="External"/>
</Relationships>
</file>

<file path=word/_rels/footnotes.xml.rels><?xml version="1.0" encoding="UTF-8"?>
<Relationships xmlns="http://schemas.openxmlformats.org/package/2006/relationships"><Relationship Id="rId1" Type="http://schemas.openxmlformats.org/officeDocument/2006/relationships/hyperlink" Target="https://betterfinance.eu/publication/pension-savings-the-real-return-2019-edition/"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08A9776426D41840A8C2CCB15B3F3" ma:contentTypeVersion="12" ma:contentTypeDescription="Create a new document." ma:contentTypeScope="" ma:versionID="fad30e866c7e5bd87e01b4be7e13f445">
  <xsd:schema xmlns:xsd="http://www.w3.org/2001/XMLSchema" xmlns:xs="http://www.w3.org/2001/XMLSchema" xmlns:p="http://schemas.microsoft.com/office/2006/metadata/properties" xmlns:ns2="fd160c09-1844-45b0-b4f1-cf53e6c3c76a" xmlns:ns3="8e72f4a7-cae9-4e97-b541-2580a12d1989" targetNamespace="http://schemas.microsoft.com/office/2006/metadata/properties" ma:root="true" ma:fieldsID="3d251b770648fbf44b28e39a1ec2cbaa" ns2:_="" ns3:_="">
    <xsd:import namespace="fd160c09-1844-45b0-b4f1-cf53e6c3c76a"/>
    <xsd:import namespace="8e72f4a7-cae9-4e97-b541-2580a12d19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60c09-1844-45b0-b4f1-cf53e6c3c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2f4a7-cae9-4e97-b541-2580a12d19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6DB778-A9FB-49D3-964F-D28BA21ECA93}"/>
</file>

<file path=customXml/itemProps2.xml><?xml version="1.0" encoding="utf-8"?>
<ds:datastoreItem xmlns:ds="http://schemas.openxmlformats.org/officeDocument/2006/customXml" ds:itemID="{53E256ED-BCAE-469E-932B-D7770298E3CE}"/>
</file>

<file path=customXml/itemProps3.xml><?xml version="1.0" encoding="utf-8"?>
<ds:datastoreItem xmlns:ds="http://schemas.openxmlformats.org/officeDocument/2006/customXml" ds:itemID="{25ED5AA2-3E10-47AA-BD36-D93902486D41}"/>
</file>

<file path=docProps/app.xml><?xml version="1.0" encoding="utf-8"?>
<Properties xmlns="http://schemas.openxmlformats.org/officeDocument/2006/extended-properties" xmlns:vt="http://schemas.openxmlformats.org/officeDocument/2006/docPropsVTypes">
  <Template>Normal</Template>
  <TotalTime>1434</TotalTime>
  <Application>LibreOffice/6.4.6.2$Windows_X86_64 LibreOffice_project/0ce51a4fd21bff07a5c061082cc82c5ed232f115</Application>
  <Pages>2</Pages>
  <Words>968</Words>
  <Characters>6343</Characters>
  <CharactersWithSpaces>7304</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2020-11-19T18:55:00Z</dcterms:created>
  <dc:creator>Arnaud Houdmont</dc:creator>
  <dc:description/>
  <dc:language>de-DE</dc:language>
  <cp:lastModifiedBy/>
  <cp:lastPrinted>2020-12-20T20:57:16Z</cp:lastPrinted>
  <dcterms:modified xsi:type="dcterms:W3CDTF">2020-12-20T21:10:41Z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0x010100B5308A9776426D41840A8C2CCB15B3F3</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