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Berschrift2"/>
        <w:spacing w:before="40" w:after="80"/>
        <w:jc w:val="both"/>
        <w:rPr>
          <w:rFonts w:ascii="Calibri Light" w:hAnsi="Calibri Light" w:eastAsia="Calibri" w:cs="Calibri Light"/>
          <w:b/>
          <w:b/>
          <w:spacing w:val="20"/>
          <w:kern w:val="2"/>
          <w:sz w:val="28"/>
          <w:szCs w:val="28"/>
          <w:lang w:val="nl-BE"/>
        </w:rPr>
      </w:pPr>
      <w:r>
        <w:rPr>
          <w:rFonts w:eastAsia="Calibri" w:cs="Calibri Light" w:ascii="Calibri Light" w:hAnsi="Calibri Light"/>
          <w:b/>
          <w:spacing w:val="20"/>
          <w:kern w:val="2"/>
          <w:sz w:val="28"/>
          <w:szCs w:val="28"/>
          <w:lang w:val="nl-BE"/>
        </w:rPr>
        <w:t xml:space="preserve">EU-Bürger als Nutzer in der europäischen Finanzpolitik und -aufsicht zugunsten der </w:t>
      </w:r>
      <w:r>
        <w:rPr>
          <w:rFonts w:eastAsia="Calibri" w:cs="Calibri Light" w:ascii="Calibri Light" w:hAnsi="Calibri Light"/>
          <w:b/>
          <w:spacing w:val="20"/>
          <w:kern w:val="2"/>
          <w:sz w:val="28"/>
          <w:szCs w:val="28"/>
          <w:lang w:val="de-DE"/>
        </w:rPr>
        <w:t>Finanzindustrie</w:t>
      </w:r>
      <w:r>
        <w:rPr>
          <w:rFonts w:eastAsia="Calibri" w:cs="Calibri Light" w:ascii="Calibri Light" w:hAnsi="Calibri Light"/>
          <w:b/>
          <w:spacing w:val="20"/>
          <w:kern w:val="2"/>
          <w:sz w:val="28"/>
          <w:szCs w:val="28"/>
          <w:lang w:val="nl-BE"/>
        </w:rPr>
        <w:t xml:space="preserve"> </w:t>
      </w:r>
      <w:r>
        <w:rPr>
          <w:rFonts w:eastAsia="Calibri" w:cs="Calibri Light" w:ascii="Calibri Light" w:hAnsi="Calibri Light"/>
          <w:b/>
          <w:spacing w:val="20"/>
          <w:kern w:val="2"/>
          <w:sz w:val="28"/>
          <w:szCs w:val="28"/>
          <w:lang w:val="de-DE"/>
        </w:rPr>
        <w:t>vernachlässigt</w:t>
      </w:r>
    </w:p>
    <w:p>
      <w:pPr>
        <w:pStyle w:val="Normal"/>
        <w:spacing w:lineRule="auto" w:line="240" w:before="0" w:after="120"/>
        <w:jc w:val="both"/>
        <w:rPr>
          <w:lang w:val="nl-BE"/>
        </w:rPr>
      </w:pPr>
      <w:bookmarkStart w:id="0" w:name="_Hlk4143464"/>
      <w:r>
        <w:rPr>
          <w:rFonts w:eastAsia="Times New Roman" w:cs="Calibri Light" w:ascii="Calibri Light" w:hAnsi="Calibri Light"/>
          <w:b/>
          <w:bCs/>
          <w:lang w:val="nl-BE"/>
        </w:rPr>
        <w:t>Brüssel, 20. Juli 2020</w:t>
      </w:r>
      <w:bookmarkEnd w:id="0"/>
      <w:r>
        <w:rPr>
          <w:rFonts w:eastAsia="Times New Roman" w:cs="Calibri Light" w:ascii="Calibri Light" w:hAnsi="Calibri Light"/>
          <w:b/>
          <w:bCs/>
          <w:lang w:val="nl-BE"/>
        </w:rPr>
        <w:t xml:space="preserve"> </w:t>
      </w:r>
      <w:r>
        <w:rPr>
          <w:rFonts w:eastAsia="Times New Roman" w:cs="Calibri Light" w:ascii="Calibri Light" w:hAnsi="Calibri Light"/>
          <w:lang w:val="nl-BE"/>
        </w:rPr>
        <w:t>- Die neue Zusammensetzung der</w:t>
      </w:r>
      <w:r>
        <w:rPr>
          <w:rFonts w:eastAsia="Times New Roman" w:cs="Calibri Light" w:ascii="Calibri Light" w:hAnsi="Calibri Light"/>
          <w:lang w:val="de-DE"/>
        </w:rPr>
        <w:t xml:space="preserve"> </w:t>
      </w:r>
      <w:r>
        <w:rPr>
          <w:rFonts w:eastAsia="Times New Roman" w:cs="Calibri Light" w:ascii="Calibri Light" w:hAnsi="Calibri Light"/>
          <w:lang w:val="nl-BE"/>
        </w:rPr>
        <w:t xml:space="preserve">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lang w:val="nl-BE"/>
        </w:rPr>
        <w:t>Stakeholder-Gruppen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Style w:val="Funotenanker"/>
          <w:rFonts w:eastAsia="Times New Roman" w:cs="Calibri Light" w:ascii="Calibri Light" w:hAnsi="Calibri Light"/>
          <w:lang w:val="nl-BE"/>
        </w:rPr>
        <w:footnoteReference w:id="2"/>
      </w:r>
      <w:r>
        <w:rPr>
          <w:rFonts w:eastAsia="Times New Roman" w:cs="Calibri Light" w:ascii="Calibri Light" w:hAnsi="Calibri Light"/>
          <w:lang w:val="nl-BE"/>
        </w:rPr>
        <w:t xml:space="preserve"> der Europäischen Aufsichtsbehörden (ESA) ist ein Rückschritt im Hinblick auf eine ausgewogene Vertretung von Industrie und Verbrauchern in der EU-Finanzregulierung. Dies ist das Ergebnis der jüngsten </w:t>
      </w:r>
      <w:r>
        <w:rPr>
          <w:rFonts w:eastAsia="Times New Roman" w:cs="Calibri Light" w:ascii="Calibri Light" w:hAnsi="Calibri Light"/>
          <w:i/>
          <w:iCs/>
          <w:lang w:val="nl-BE"/>
        </w:rPr>
        <w:t>ESA-Reform</w:t>
      </w:r>
      <w:r>
        <w:rPr>
          <w:rStyle w:val="Funotenanker"/>
          <w:rFonts w:eastAsia="Times New Roman" w:cs="Calibri Light" w:ascii="Calibri Light" w:hAnsi="Calibri Light"/>
        </w:rPr>
        <w:footnoteReference w:id="3"/>
      </w:r>
      <w:r>
        <w:rPr>
          <w:rFonts w:eastAsia="Times New Roman" w:cs="Calibri Light" w:ascii="Calibri Light" w:hAnsi="Calibri Light"/>
          <w:lang w:val="de-DE"/>
        </w:rPr>
        <w:t>,</w:t>
      </w:r>
      <w:r>
        <w:rPr>
          <w:rFonts w:eastAsia="Times New Roman" w:cs="Calibri Light" w:ascii="Calibri Light" w:hAnsi="Calibri Light"/>
          <w:lang w:val="nl-BE"/>
        </w:rPr>
        <w:t xml:space="preserve"> </w:t>
      </w:r>
      <w:r>
        <w:rPr>
          <w:rFonts w:eastAsia="Times New Roman" w:cs="Calibri Light" w:ascii="Calibri Light" w:hAnsi="Calibri Light"/>
          <w:lang w:val="de-DE"/>
        </w:rPr>
        <w:t xml:space="preserve">mit der </w:t>
      </w:r>
      <w:r>
        <w:rPr>
          <w:rFonts w:eastAsia="Times New Roman" w:cs="Calibri Light" w:ascii="Calibri Light" w:hAnsi="Calibri Light"/>
          <w:lang w:val="nl-BE"/>
        </w:rPr>
        <w:t xml:space="preserve">die Quoten für </w:t>
      </w:r>
      <w:r>
        <w:rPr>
          <w:rFonts w:eastAsia="Times New Roman" w:cs="Calibri Light" w:ascii="Calibri Light" w:hAnsi="Calibri Light"/>
          <w:lang w:val="de-DE"/>
        </w:rPr>
        <w:t xml:space="preserve">die Vertretung der </w:t>
      </w:r>
      <w:r>
        <w:rPr>
          <w:rFonts w:eastAsia="Times New Roman" w:cs="Calibri Light" w:ascii="Calibri Light" w:hAnsi="Calibri Light"/>
          <w:lang w:val="nl-BE"/>
        </w:rPr>
        <w:t xml:space="preserve">Verbraucher und </w:t>
      </w:r>
      <w:r>
        <w:rPr>
          <w:rFonts w:eastAsia="Times New Roman" w:cs="Calibri Light" w:ascii="Calibri Light" w:hAnsi="Calibri Light"/>
          <w:lang w:val="de-DE"/>
        </w:rPr>
        <w:t xml:space="preserve">Wissenschaftler </w:t>
      </w:r>
      <w:r>
        <w:rPr>
          <w:rFonts w:eastAsia="Times New Roman" w:cs="Calibri Light" w:ascii="Calibri Light" w:hAnsi="Calibri Light"/>
          <w:lang w:val="nl-BE"/>
        </w:rPr>
        <w:t>zugunsten der Finanzinstitute (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Industrie &amp; </w:t>
      </w:r>
      <w:r>
        <w:rPr>
          <w:rFonts w:eastAsia="Times New Roman" w:cs="Calibri Light" w:ascii="Calibri Light" w:hAnsi="Calibri Light"/>
          <w:i/>
          <w:iCs/>
          <w:lang w:val="de-DE"/>
        </w:rPr>
        <w:t>„Fach</w:t>
      </w:r>
      <w:r>
        <w:rPr>
          <w:rFonts w:eastAsia="Times New Roman" w:cs="Calibri Light" w:ascii="Calibri Light" w:hAnsi="Calibri Light"/>
          <w:i/>
          <w:iCs/>
          <w:lang w:val="nl-BE"/>
        </w:rPr>
        <w:t>verbände</w:t>
      </w:r>
      <w:r>
        <w:rPr>
          <w:rFonts w:eastAsia="Times New Roman" w:cs="Calibri Light" w:ascii="Calibri Light" w:hAnsi="Calibri Light"/>
          <w:i/>
          <w:iCs/>
          <w:lang w:val="de-DE"/>
        </w:rPr>
        <w:t>“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) </w:t>
      </w:r>
      <w:r>
        <w:rPr>
          <w:rFonts w:eastAsia="Times New Roman" w:cs="Calibri Light" w:ascii="Calibri Light" w:hAnsi="Calibri Light"/>
          <w:lang w:val="nl-BE"/>
        </w:rPr>
        <w:t>reduziert</w:t>
      </w:r>
      <w:r>
        <w:rPr>
          <w:rFonts w:eastAsia="Times New Roman" w:cs="Calibri Light" w:ascii="Calibri Light" w:hAnsi="Calibri Light"/>
          <w:lang w:val="de-DE"/>
        </w:rPr>
        <w:t xml:space="preserve"> wurden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. </w:t>
      </w:r>
    </w:p>
    <w:tbl>
      <w:tblPr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6"/>
      </w:tblGrid>
      <w:tr>
        <w:trPr/>
        <w:tc>
          <w:tcPr>
            <w:tcW w:w="9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ind w:firstLine="426"/>
              <w:jc w:val="both"/>
              <w:rPr>
                <w:lang w:val="nl-BE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35560</wp:posOffset>
                  </wp:positionV>
                  <wp:extent cx="195580" cy="195580"/>
                  <wp:effectExtent l="0" t="0" r="0" b="0"/>
                  <wp:wrapNone/>
                  <wp:docPr id="1" name="Graphic 2" descr="Postit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2" descr="Postit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 Light" w:ascii="Calibri Light" w:hAnsi="Calibri Light"/>
                <w:b/>
                <w:bCs/>
                <w:i/>
                <w:iCs/>
                <w:lang w:val="nl-BE"/>
              </w:rPr>
              <w:t>F</w:t>
            </w:r>
            <w:r>
              <w:rPr>
                <w:rFonts w:eastAsia="Times New Roman" w:cs="Calibri Light" w:ascii="Calibri Light" w:hAnsi="Calibri Light"/>
                <w:b/>
                <w:bCs/>
                <w:i/>
                <w:iCs/>
                <w:lang w:val="nl-BE"/>
              </w:rPr>
              <w:t xml:space="preserve">AQ für Sparer und </w:t>
            </w:r>
            <w:r>
              <w:rPr>
                <w:rFonts w:eastAsia="Times New Roman" w:cs="Calibri Light" w:ascii="Calibri Light" w:hAnsi="Calibri Light"/>
                <w:b/>
                <w:bCs/>
                <w:i/>
                <w:iCs/>
                <w:lang w:val="de-DE"/>
              </w:rPr>
              <w:t>Privat</w:t>
            </w:r>
            <w:r>
              <w:rPr>
                <w:rFonts w:eastAsia="Times New Roman" w:cs="Calibri Light" w:ascii="Calibri Light" w:hAnsi="Calibri Light"/>
                <w:b/>
                <w:bCs/>
                <w:i/>
                <w:iCs/>
                <w:lang w:val="nl-BE"/>
              </w:rPr>
              <w:t xml:space="preserve">anleger: </w:t>
            </w:r>
            <w:r>
              <w:rPr>
                <w:rFonts w:eastAsia="Times New Roman" w:cs="Calibri Light" w:ascii="Calibri Light" w:hAnsi="Calibri Light"/>
                <w:i/>
                <w:iCs/>
                <w:lang w:val="de-DE"/>
              </w:rPr>
              <w:t>Wer sind die Stakeholder-Gruppen</w:t>
            </w:r>
            <w:r>
              <w:rPr>
                <w:rFonts w:eastAsia="Times New Roman" w:cs="Calibri Light" w:ascii="Calibri Light" w:hAnsi="Calibri Light"/>
                <w:i/>
                <w:iCs/>
                <w:lang w:val="nl-BE"/>
              </w:rPr>
              <w:t>?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lang w:val="nl-BE"/>
              </w:rPr>
            </w:pPr>
            <w:r>
              <w:rPr>
                <w:rFonts w:eastAsia="Times New Roman" w:cs="Calibri Light" w:ascii="Calibri Light" w:hAnsi="Calibri Light"/>
                <w:lang w:val="nl-BE"/>
              </w:rPr>
              <w:t>Die EU-Finanzaufsichtsbehörden (ESA) ernennen beratende Gremien (</w:t>
            </w:r>
            <w:r>
              <w:rPr>
                <w:rFonts w:eastAsia="Times New Roman" w:cs="Calibri Light" w:ascii="Calibri Light" w:hAnsi="Calibri Light"/>
                <w:i/>
                <w:iCs/>
                <w:lang w:val="nl-BE"/>
              </w:rPr>
              <w:t>Stakeholder-Gruppen</w:t>
            </w:r>
            <w:r>
              <w:rPr>
                <w:rFonts w:eastAsia="Times New Roman" w:cs="Calibri Light" w:ascii="Calibri Light" w:hAnsi="Calibri Light"/>
                <w:lang w:val="nl-BE"/>
              </w:rPr>
              <w:t>),</w:t>
            </w:r>
            <w:r>
              <w:rPr>
                <w:rFonts w:eastAsia="Times New Roman" w:cs="Calibri Light" w:ascii="Calibri Light" w:hAnsi="Calibri Light"/>
                <w:lang w:val="de-DE"/>
              </w:rPr>
              <w:t xml:space="preserve"> die den Auftrag erhalten,</w:t>
            </w:r>
            <w:r>
              <w:rPr>
                <w:rFonts w:eastAsia="Times New Roman" w:cs="Calibri Light" w:ascii="Calibri Light" w:hAnsi="Calibri Light"/>
                <w:lang w:val="nl-BE"/>
              </w:rPr>
              <w:t xml:space="preserve"> Stellungnahmen, Empfehlungen oder Antworten zur Regulierungs- oder Aufsichtsarbeit der ESA </w:t>
            </w:r>
            <w:r>
              <w:rPr>
                <w:rFonts w:eastAsia="Times New Roman" w:cs="Calibri Light" w:ascii="Calibri Light" w:hAnsi="Calibri Light"/>
                <w:lang w:val="de-DE"/>
              </w:rPr>
              <w:t>abzugeben</w:t>
            </w:r>
            <w:r>
              <w:rPr>
                <w:rFonts w:eastAsia="Times New Roman" w:cs="Calibri Light" w:ascii="Calibri Light" w:hAnsi="Calibri Light"/>
                <w:lang w:val="nl-BE"/>
              </w:rPr>
              <w:t xml:space="preserve">. Die Stakeholder-Gruppen, die sich regelmäßig treffen, setzen sich </w:t>
            </w:r>
            <w:r>
              <w:rPr>
                <w:rFonts w:eastAsia="Times New Roman" w:cs="Calibri Light" w:ascii="Calibri Light" w:hAnsi="Calibri Light"/>
                <w:lang w:val="de-DE"/>
              </w:rPr>
              <w:t xml:space="preserve">zusammen </w:t>
            </w:r>
            <w:r>
              <w:rPr>
                <w:rFonts w:eastAsia="Times New Roman" w:cs="Calibri Light" w:ascii="Calibri Light" w:hAnsi="Calibri Light"/>
                <w:lang w:val="nl-BE"/>
              </w:rPr>
              <w:t xml:space="preserve">aus 30 Mitgliedern, die die verschiedenen </w:t>
            </w:r>
            <w:r>
              <w:rPr>
                <w:rFonts w:eastAsia="Times New Roman" w:cs="Calibri Light" w:ascii="Calibri Light" w:hAnsi="Calibri Light"/>
                <w:lang w:val="de-DE"/>
              </w:rPr>
              <w:t>Zielgruppen</w:t>
            </w:r>
            <w:r>
              <w:rPr>
                <w:rFonts w:eastAsia="Times New Roman" w:cs="Calibri Light" w:ascii="Calibri Light" w:hAnsi="Calibri Light"/>
                <w:lang w:val="nl-BE"/>
              </w:rPr>
              <w:t xml:space="preserve"> der EU-Finanzregulierung (Finanzinstitute, Verbraucher, KMU usw.) sowie unabhängige </w:t>
            </w:r>
            <w:r>
              <w:rPr>
                <w:rFonts w:eastAsia="Times New Roman" w:cs="Calibri Light" w:ascii="Calibri Light" w:hAnsi="Calibri Light"/>
                <w:lang w:val="de-DE"/>
              </w:rPr>
              <w:t>Wissenschaftler repräsentieren</w:t>
            </w:r>
            <w:r>
              <w:rPr>
                <w:rFonts w:eastAsia="Times New Roman" w:cs="Calibri Light" w:ascii="Calibri Light" w:hAnsi="Calibri Light"/>
                <w:lang w:val="nl-BE"/>
              </w:rPr>
              <w:t xml:space="preserve">.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lang w:val="nl-BE"/>
              </w:rPr>
            </w:pPr>
            <w:r>
              <w:rPr>
                <w:rFonts w:eastAsia="Times New Roman" w:cs="Calibri Light" w:ascii="Calibri Light" w:hAnsi="Calibri Light"/>
                <w:lang w:val="nl-BE"/>
              </w:rPr>
              <w:t>Gegenwärtig gibt es vier solcher Gruppen: eine für den Versicherungssektor (IRSG</w:t>
            </w:r>
            <w:r>
              <w:rPr>
                <w:rStyle w:val="Funotenanker"/>
                <w:rFonts w:eastAsia="Times New Roman" w:cs="Calibri Light" w:ascii="Calibri Light" w:hAnsi="Calibri Light"/>
              </w:rPr>
              <w:footnoteReference w:id="4"/>
            </w:r>
            <w:r>
              <w:rPr>
                <w:rFonts w:eastAsia="Times New Roman" w:cs="Calibri Light" w:ascii="Calibri Light" w:hAnsi="Calibri Light"/>
                <w:lang w:val="nl-BE"/>
              </w:rPr>
              <w:t>), eine für die betriebliche Altersversorgung (OPSG</w:t>
            </w:r>
            <w:r>
              <w:rPr>
                <w:rStyle w:val="Funotenanker"/>
                <w:rFonts w:eastAsia="Times New Roman" w:cs="Calibri Light" w:ascii="Calibri Light" w:hAnsi="Calibri Light"/>
              </w:rPr>
              <w:footnoteReference w:id="5"/>
            </w:r>
            <w:r>
              <w:rPr>
                <w:rFonts w:eastAsia="Times New Roman" w:cs="Calibri Light" w:ascii="Calibri Light" w:hAnsi="Calibri Light"/>
                <w:lang w:val="nl-BE"/>
              </w:rPr>
              <w:t>), eine für Bankdienstleistungen (BSG</w:t>
            </w:r>
            <w:r>
              <w:rPr>
                <w:rStyle w:val="Funotenanker"/>
                <w:rFonts w:eastAsia="Times New Roman" w:cs="Calibri Light" w:ascii="Calibri Light" w:hAnsi="Calibri Light"/>
              </w:rPr>
              <w:footnoteReference w:id="6"/>
            </w:r>
            <w:r>
              <w:rPr>
                <w:rFonts w:eastAsia="Times New Roman" w:cs="Calibri Light" w:ascii="Calibri Light" w:hAnsi="Calibri Light"/>
                <w:lang w:val="nl-BE"/>
              </w:rPr>
              <w:t>) und eine für Wertpapiermärkte (SMSG</w:t>
            </w:r>
            <w:r>
              <w:rPr>
                <w:rStyle w:val="Funotenanker"/>
                <w:rFonts w:eastAsia="Times New Roman" w:cs="Calibri Light" w:ascii="Calibri Light" w:hAnsi="Calibri Light"/>
              </w:rPr>
              <w:footnoteReference w:id="7"/>
            </w:r>
            <w:r>
              <w:rPr>
                <w:rFonts w:eastAsia="Times New Roman" w:cs="Calibri Light" w:ascii="Calibri Light" w:hAnsi="Calibri Light"/>
                <w:lang w:val="nl-BE"/>
              </w:rPr>
              <w:t>).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lang w:val="nl-BE"/>
        </w:rPr>
      </w:pPr>
      <w:r>
        <w:rPr>
          <w:rFonts w:eastAsia="Times New Roman" w:cs="Calibri Light" w:ascii="Calibri Light" w:hAnsi="Calibri Light"/>
          <w:lang w:val="nl-BE"/>
        </w:rPr>
        <w:t>Vor der</w:t>
      </w:r>
      <w:r>
        <w:rPr>
          <w:rFonts w:eastAsia="Times New Roman" w:cs="Calibri Light" w:ascii="Calibri Light" w:hAnsi="Calibri Light"/>
          <w:lang w:val="de-DE"/>
        </w:rPr>
        <w:t xml:space="preserve"> 2019 in Kraft getretenen Reform der</w:t>
      </w:r>
      <w:r>
        <w:rPr>
          <w:rFonts w:eastAsia="Times New Roman" w:cs="Calibri Light" w:ascii="Calibri Light" w:hAnsi="Calibri Light"/>
          <w:lang w:val="nl-BE"/>
        </w:rPr>
        <w:t xml:space="preserve"> </w:t>
      </w:r>
      <w:r>
        <w:rPr>
          <w:rFonts w:eastAsia="Times New Roman" w:cs="Calibri Light" w:ascii="Calibri Light" w:hAnsi="Calibri Light"/>
          <w:i/>
          <w:iCs/>
          <w:lang w:val="nl-BE"/>
        </w:rPr>
        <w:t>ESA</w:t>
      </w:r>
      <w:r>
        <w:rPr>
          <w:rFonts w:eastAsia="Times New Roman" w:cs="Calibri Light" w:ascii="Calibri Light" w:hAnsi="Calibri Light"/>
          <w:lang w:val="nl-BE"/>
        </w:rPr>
        <w:t xml:space="preserve"> reservierten diese Stakeholder-Gruppen (SG) 10 Plätze für Vertreter der Finanzindustrie, 5 für </w:t>
      </w:r>
      <w:r>
        <w:rPr>
          <w:rFonts w:eastAsia="Times New Roman" w:cs="Calibri Light" w:ascii="Calibri Light" w:hAnsi="Calibri Light"/>
          <w:lang w:val="de-DE"/>
        </w:rPr>
        <w:t>Wissenschaftler</w:t>
      </w:r>
      <w:r>
        <w:rPr>
          <w:rFonts w:eastAsia="Times New Roman" w:cs="Calibri Light" w:ascii="Calibri Light" w:hAnsi="Calibri Light"/>
          <w:lang w:val="nl-BE"/>
        </w:rPr>
        <w:t xml:space="preserve"> und </w:t>
      </w:r>
      <w:r>
        <w:rPr>
          <w:rFonts w:eastAsia="Times New Roman" w:cs="Calibri Light" w:ascii="Calibri Light" w:hAnsi="Calibri Light"/>
          <w:lang w:val="de-DE"/>
        </w:rPr>
        <w:t>den</w:t>
      </w:r>
      <w:r>
        <w:rPr>
          <w:rFonts w:eastAsia="Times New Roman" w:cs="Calibri Light" w:ascii="Calibri Light" w:hAnsi="Calibri Light"/>
          <w:lang w:val="nl-BE"/>
        </w:rPr>
        <w:t xml:space="preserve"> Rest für eine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lang w:val="nl-BE"/>
        </w:rPr>
        <w:t>gebündelte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 Kategorie, die sich aus Vertretern der Arbeitnehmer (</w:t>
      </w:r>
      <w:r>
        <w:rPr>
          <w:rFonts w:eastAsia="Times New Roman" w:cs="Calibri Light" w:ascii="Calibri Light" w:hAnsi="Calibri Light"/>
          <w:lang w:val="de-DE"/>
        </w:rPr>
        <w:t>von</w:t>
      </w:r>
      <w:r>
        <w:rPr>
          <w:rFonts w:eastAsia="Times New Roman" w:cs="Calibri Light" w:ascii="Calibri Light" w:hAnsi="Calibri Light"/>
          <w:lang w:val="nl-BE"/>
        </w:rPr>
        <w:t xml:space="preserve"> Finanzinstitute</w:t>
      </w:r>
      <w:r>
        <w:rPr>
          <w:rFonts w:eastAsia="Times New Roman" w:cs="Calibri Light" w:ascii="Calibri Light" w:hAnsi="Calibri Light"/>
          <w:lang w:val="de-DE"/>
        </w:rPr>
        <w:t>n</w:t>
      </w:r>
      <w:r>
        <w:rPr>
          <w:rFonts w:eastAsia="Times New Roman" w:cs="Calibri Light" w:ascii="Calibri Light" w:hAnsi="Calibri Light"/>
          <w:lang w:val="nl-BE"/>
        </w:rPr>
        <w:t>), der Verbraucher, der Nutzer von Finanzdienstleistungen und der KMU zusammensetzt</w:t>
      </w:r>
      <w:r>
        <w:rPr>
          <w:rFonts w:eastAsia="Times New Roman" w:cs="Calibri Light" w:ascii="Calibri Light" w:hAnsi="Calibri Light"/>
          <w:lang w:val="de-DE"/>
        </w:rPr>
        <w:t>e</w:t>
      </w:r>
      <w:r>
        <w:rPr>
          <w:rFonts w:eastAsia="Times New Roman" w:cs="Calibri Light" w:ascii="Calibri Light" w:hAnsi="Calibri Light"/>
          <w:lang w:val="nl-BE"/>
        </w:rPr>
        <w:t xml:space="preserve">. Nach der Reform wurde </w:t>
      </w:r>
      <w:r>
        <w:rPr>
          <w:rFonts w:eastAsia="Times New Roman" w:cs="Calibri Light" w:ascii="Calibri Light" w:hAnsi="Calibri Light"/>
          <w:lang w:val="de-DE"/>
        </w:rPr>
        <w:t xml:space="preserve">der Anteil </w:t>
      </w:r>
      <w:r>
        <w:rPr>
          <w:rFonts w:eastAsia="Times New Roman" w:cs="Calibri Light" w:ascii="Calibri Light" w:hAnsi="Calibri Light"/>
          <w:lang w:val="nl-BE"/>
        </w:rPr>
        <w:t>der</w:t>
      </w:r>
      <w:r>
        <w:rPr>
          <w:rFonts w:eastAsia="Times New Roman" w:cs="Calibri Light" w:ascii="Calibri Light" w:hAnsi="Calibri Light"/>
          <w:lang w:val="de-DE"/>
        </w:rPr>
        <w:t xml:space="preserve"> Vertreter der</w:t>
      </w:r>
      <w:r>
        <w:rPr>
          <w:rFonts w:eastAsia="Times New Roman" w:cs="Calibri Light" w:ascii="Calibri Light" w:hAnsi="Calibri Light"/>
          <w:lang w:val="nl-BE"/>
        </w:rPr>
        <w:t xml:space="preserve"> Finanzindustrie bei </w:t>
      </w:r>
      <w:r>
        <w:rPr>
          <w:rFonts w:eastAsia="Times New Roman" w:cs="Calibri Light" w:ascii="Calibri Light" w:hAnsi="Calibri Light"/>
          <w:lang w:val="de-DE"/>
        </w:rPr>
        <w:t>den</w:t>
      </w:r>
      <w:r>
        <w:rPr>
          <w:rFonts w:eastAsia="Times New Roman" w:cs="Calibri Light" w:ascii="Calibri Light" w:hAnsi="Calibri Light"/>
          <w:lang w:val="nl-BE"/>
        </w:rPr>
        <w:t xml:space="preserve"> EBA und der ESMA zum Nachteil der anderen Kategorien erhöht: </w:t>
      </w:r>
      <w:r>
        <w:rPr>
          <w:rFonts w:eastAsia="Times New Roman" w:cs="Calibri Light" w:ascii="Calibri Light" w:hAnsi="Calibri Light"/>
          <w:lang w:val="de-DE"/>
        </w:rPr>
        <w:t>Inzwischen</w:t>
      </w:r>
      <w:r>
        <w:rPr>
          <w:rFonts w:eastAsia="Times New Roman" w:cs="Calibri Light" w:ascii="Calibri Light" w:hAnsi="Calibri Light"/>
          <w:lang w:val="nl-BE"/>
        </w:rPr>
        <w:t xml:space="preserve"> </w:t>
      </w:r>
      <w:r>
        <w:rPr>
          <w:rFonts w:eastAsia="Times New Roman" w:cs="Calibri Light" w:ascii="Calibri Light" w:hAnsi="Calibri Light"/>
          <w:lang w:val="de-DE"/>
        </w:rPr>
        <w:t>müssen</w:t>
      </w:r>
      <w:r>
        <w:rPr>
          <w:rFonts w:eastAsia="Times New Roman" w:cs="Calibri Light" w:ascii="Calibri Light" w:hAnsi="Calibri Light"/>
          <w:lang w:val="nl-BE"/>
        </w:rPr>
        <w:t xml:space="preserve"> jede</w:t>
      </w:r>
      <w:r>
        <w:rPr>
          <w:rFonts w:eastAsia="Times New Roman" w:cs="Calibri Light" w:ascii="Calibri Light" w:hAnsi="Calibri Light"/>
          <w:lang w:val="de-DE"/>
        </w:rPr>
        <w:t>r</w:t>
      </w:r>
      <w:r>
        <w:rPr>
          <w:rFonts w:eastAsia="Times New Roman" w:cs="Calibri Light" w:ascii="Calibri Light" w:hAnsi="Calibri Light"/>
          <w:lang w:val="nl-BE"/>
        </w:rPr>
        <w:t xml:space="preserve"> </w:t>
      </w:r>
      <w:r>
        <w:rPr>
          <w:rFonts w:eastAsia="Times New Roman" w:cs="Calibri Light" w:ascii="Calibri Light" w:hAnsi="Calibri Light"/>
          <w:lang w:val="de-DE"/>
        </w:rPr>
        <w:t>Stakeholder-Gruppe</w:t>
      </w:r>
      <w:r>
        <w:rPr>
          <w:rFonts w:eastAsia="Times New Roman" w:cs="Calibri Light" w:ascii="Calibri Light" w:hAnsi="Calibri Light"/>
          <w:lang w:val="nl-BE"/>
        </w:rPr>
        <w:t xml:space="preserve"> 13 Branchenv</w:t>
      </w:r>
      <w:r>
        <w:rPr>
          <w:rFonts w:eastAsia="Times New Roman" w:cs="Calibri Light" w:ascii="Calibri Light" w:hAnsi="Calibri Light"/>
          <w:lang w:val="de-DE"/>
        </w:rPr>
        <w:t>ertreter</w:t>
      </w:r>
      <w:r>
        <w:rPr>
          <w:rFonts w:eastAsia="Times New Roman" w:cs="Calibri Light" w:ascii="Calibri Light" w:hAnsi="Calibri Light"/>
          <w:lang w:val="nl-BE"/>
        </w:rPr>
        <w:t xml:space="preserve">, 4 </w:t>
      </w:r>
      <w:r>
        <w:rPr>
          <w:rFonts w:eastAsia="Times New Roman" w:cs="Calibri Light" w:ascii="Calibri Light" w:hAnsi="Calibri Light"/>
          <w:lang w:val="de-DE"/>
        </w:rPr>
        <w:t xml:space="preserve">Wissenschaftler </w:t>
      </w:r>
      <w:r>
        <w:rPr>
          <w:rFonts w:eastAsia="Times New Roman" w:cs="Calibri Light" w:ascii="Calibri Light" w:hAnsi="Calibri Light"/>
          <w:lang w:val="nl-BE"/>
        </w:rPr>
        <w:t xml:space="preserve">und 13 </w:t>
      </w:r>
      <w:r>
        <w:rPr>
          <w:rFonts w:eastAsia="Times New Roman" w:cs="Calibri Light" w:ascii="Calibri Light" w:hAnsi="Calibri Light"/>
          <w:lang w:val="de-DE"/>
        </w:rPr>
        <w:t xml:space="preserve">Vertreter </w:t>
      </w:r>
      <w:r>
        <w:rPr>
          <w:rFonts w:eastAsia="Times New Roman" w:cs="Calibri Light" w:ascii="Calibri Light" w:hAnsi="Calibri Light"/>
          <w:lang w:val="nl-BE"/>
        </w:rPr>
        <w:t xml:space="preserve">aus der Kategorie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lang w:val="nl-BE"/>
        </w:rPr>
        <w:t>gebündelt</w:t>
      </w:r>
      <w:r>
        <w:rPr>
          <w:rFonts w:eastAsia="Times New Roman" w:cs="Calibri Light" w:ascii="Calibri Light" w:hAnsi="Calibri Light"/>
          <w:lang w:val="de-DE"/>
        </w:rPr>
        <w:t>“ angehören</w:t>
      </w:r>
      <w:r>
        <w:rPr>
          <w:rFonts w:eastAsia="Times New Roman" w:cs="Calibri Light" w:ascii="Calibri Light" w:hAnsi="Calibri Light"/>
          <w:lang w:val="nl-BE"/>
        </w:rPr>
        <w:t xml:space="preserve">. Noch schlimmer ist die neue EU-Regelung </w:t>
      </w:r>
      <w:r>
        <w:rPr>
          <w:rFonts w:eastAsia="Times New Roman" w:cs="Calibri Light" w:ascii="Calibri Light" w:hAnsi="Calibri Light"/>
          <w:lang w:val="de-DE"/>
        </w:rPr>
        <w:t xml:space="preserve">für die </w:t>
      </w:r>
      <w:r>
        <w:rPr>
          <w:rFonts w:eastAsia="Times New Roman" w:cs="Calibri Light" w:ascii="Calibri Light" w:hAnsi="Calibri Light"/>
          <w:lang w:val="nl-BE"/>
        </w:rPr>
        <w:t>EIOPA</w:t>
      </w:r>
      <w:r>
        <w:rPr>
          <w:rFonts w:eastAsia="Times New Roman" w:cs="Calibri Light" w:ascii="Calibri Light" w:hAnsi="Calibri Light"/>
          <w:lang w:val="de-DE"/>
        </w:rPr>
        <w:t xml:space="preserve"> </w:t>
      </w:r>
      <w:r>
        <w:rPr>
          <w:rFonts w:eastAsia="Times New Roman" w:cs="Calibri Light" w:ascii="Calibri Light" w:hAnsi="Calibri Light"/>
          <w:sz w:val="22"/>
          <w:szCs w:val="22"/>
          <w:lang w:val="nl-BE"/>
        </w:rPr>
        <w:t xml:space="preserve">(Europäische Aufsichtsbehörde für das Versicherungswesen und die betriebliche Altersversorgung (European Insurance and Occupational Pensions Authority), </w:t>
      </w:r>
      <w:r>
        <w:rPr>
          <w:rFonts w:eastAsia="Times New Roman" w:cs="Calibri Light" w:ascii="Calibri Light" w:hAnsi="Calibri Light"/>
          <w:sz w:val="22"/>
          <w:szCs w:val="22"/>
          <w:lang w:val="de-DE"/>
        </w:rPr>
        <w:t xml:space="preserve">bei der </w:t>
      </w:r>
      <w:r>
        <w:rPr>
          <w:rFonts w:eastAsia="Times New Roman" w:cs="Calibri Light" w:ascii="Calibri Light" w:hAnsi="Calibri Light"/>
          <w:lang w:val="de-DE"/>
        </w:rPr>
        <w:t xml:space="preserve">zusätzlich </w:t>
      </w:r>
      <w:r>
        <w:rPr>
          <w:rFonts w:eastAsia="Times New Roman" w:cs="Calibri Light" w:ascii="Calibri Light" w:hAnsi="Calibri Light"/>
          <w:lang w:val="nl-BE"/>
        </w:rPr>
        <w:t>zu</w:t>
      </w:r>
      <w:r>
        <w:rPr>
          <w:rFonts w:eastAsia="Times New Roman" w:cs="Calibri Light" w:ascii="Calibri Light" w:hAnsi="Calibri Light"/>
          <w:lang w:val="de-DE"/>
        </w:rPr>
        <w:t>m</w:t>
      </w:r>
      <w:r>
        <w:rPr>
          <w:rFonts w:eastAsia="Times New Roman" w:cs="Calibri Light" w:ascii="Calibri Light" w:hAnsi="Calibri Light"/>
          <w:lang w:val="nl-BE"/>
        </w:rPr>
        <w:t xml:space="preserve"> erhöhten </w:t>
      </w:r>
      <w:r>
        <w:rPr>
          <w:rFonts w:eastAsia="Times New Roman" w:cs="Calibri Light" w:ascii="Calibri Light" w:hAnsi="Calibri Light"/>
          <w:lang w:val="de-DE"/>
        </w:rPr>
        <w:t xml:space="preserve">Anteil </w:t>
      </w:r>
      <w:r>
        <w:rPr>
          <w:rFonts w:eastAsia="Times New Roman" w:cs="Calibri Light" w:ascii="Calibri Light" w:hAnsi="Calibri Light"/>
          <w:lang w:val="nl-BE"/>
        </w:rPr>
        <w:t xml:space="preserve">von 13 Vertretern der Finanzindustrie noch Vertreter von </w:t>
      </w:r>
      <w:r>
        <w:rPr>
          <w:rFonts w:eastAsia="Times New Roman" w:cs="Calibri Light" w:ascii="Calibri Light" w:hAnsi="Calibri Light"/>
          <w:lang w:val="de-DE"/>
        </w:rPr>
        <w:t>Fach</w:t>
      </w:r>
      <w:r>
        <w:rPr>
          <w:rFonts w:eastAsia="Times New Roman" w:cs="Calibri Light" w:ascii="Calibri Light" w:hAnsi="Calibri Light"/>
          <w:lang w:val="nl-BE"/>
        </w:rPr>
        <w:t xml:space="preserve">verbänden hinzukommen, wobei </w:t>
      </w:r>
      <w:r>
        <w:rPr>
          <w:rFonts w:eastAsia="Times New Roman" w:cs="Calibri Light" w:ascii="Calibri Light" w:hAnsi="Calibri Light"/>
          <w:lang w:val="de-DE"/>
        </w:rPr>
        <w:t xml:space="preserve">inzwischen (mindestens) </w:t>
      </w:r>
      <w:r>
        <w:rPr>
          <w:rFonts w:eastAsia="Times New Roman" w:cs="Calibri Light" w:ascii="Calibri Light" w:hAnsi="Calibri Light"/>
          <w:lang w:val="nl-BE"/>
        </w:rPr>
        <w:t>die</w:t>
      </w:r>
      <w:r>
        <w:rPr>
          <w:rFonts w:eastAsia="Times New Roman" w:cs="Calibri Light" w:ascii="Calibri Light" w:hAnsi="Calibri Light"/>
          <w:lang w:val="de-DE"/>
        </w:rPr>
        <w:t xml:space="preserve"> Hälfte aller Mitglieder der</w:t>
      </w:r>
      <w:r>
        <w:rPr>
          <w:rFonts w:eastAsia="Times New Roman" w:cs="Calibri Light" w:ascii="Calibri Light" w:hAnsi="Calibri Light"/>
          <w:lang w:val="nl-BE"/>
        </w:rPr>
        <w:t xml:space="preserve"> Finanzindustrie</w:t>
      </w:r>
      <w:r>
        <w:rPr>
          <w:rFonts w:eastAsia="Times New Roman" w:cs="Calibri Light" w:ascii="Calibri Light" w:hAnsi="Calibri Light"/>
          <w:lang w:val="de-DE"/>
        </w:rPr>
        <w:t xml:space="preserve"> angehören</w:t>
      </w:r>
      <w:r>
        <w:rPr>
          <w:rFonts w:eastAsia="Times New Roman" w:cs="Calibri Light" w:ascii="Calibri Light" w:hAnsi="Calibri Light"/>
          <w:lang w:val="nl-BE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Calibri Light" w:hAnsi="Calibri Light" w:eastAsia="Times New Roman" w:cs="Calibri Light"/>
          <w:lang w:val="nl-BE"/>
        </w:rPr>
      </w:pPr>
      <w:r>
        <w:rPr>
          <w:rFonts w:eastAsia="Times New Roman" w:cs="Calibri Light" w:ascii="Calibri Light" w:hAnsi="Calibri Light"/>
          <w:lang w:val="nl-BE"/>
        </w:rPr>
        <w:t xml:space="preserve">Darüber hinaus erscheint die Unterscheidung zwischen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lang w:val="nl-BE"/>
        </w:rPr>
        <w:t>Finanzindustrie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 und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lang w:val="nl-BE"/>
        </w:rPr>
        <w:t>Berufsverbänden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 bestenfalls als </w:t>
      </w:r>
      <w:r>
        <w:rPr>
          <w:rFonts w:eastAsia="Times New Roman" w:cs="Calibri Light" w:ascii="Calibri Light" w:hAnsi="Calibri Light"/>
          <w:lang w:val="de-DE"/>
        </w:rPr>
        <w:t>ungünstig</w:t>
      </w:r>
      <w:r>
        <w:rPr>
          <w:rFonts w:eastAsia="Times New Roman" w:cs="Calibri Light" w:ascii="Calibri Light" w:hAnsi="Calibri Light"/>
          <w:lang w:val="nl-BE"/>
        </w:rPr>
        <w:t xml:space="preserve">, da z. B. die EIOPA, einschließlich </w:t>
      </w:r>
      <w:r>
        <w:rPr>
          <w:rFonts w:eastAsia="Times New Roman" w:cs="Calibri Light" w:ascii="Calibri Light" w:hAnsi="Calibri Light"/>
          <w:lang w:val="de-DE"/>
        </w:rPr>
        <w:t>des Dachverbands Europäischer Risikomanagement-Vereinigungen (Federation of European Risk Management Associations,</w:t>
      </w:r>
      <w:r>
        <w:rPr>
          <w:rFonts w:eastAsia="Times New Roman" w:cs="Calibri Light" w:ascii="Calibri Light" w:hAnsi="Calibri Light"/>
          <w:lang w:val="nl-BE"/>
        </w:rPr>
        <w:t xml:space="preserve"> FERMA</w:t>
      </w:r>
      <w:r>
        <w:rPr>
          <w:rFonts w:eastAsia="Times New Roman" w:cs="Calibri Light" w:ascii="Calibri Light" w:hAnsi="Calibri Light"/>
          <w:lang w:val="de-DE"/>
        </w:rPr>
        <w:t>)</w:t>
      </w:r>
      <w:r>
        <w:rPr>
          <w:rFonts w:eastAsia="Times New Roman" w:cs="Calibri Light" w:ascii="Calibri Light" w:hAnsi="Calibri Light"/>
          <w:lang w:val="nl-BE"/>
        </w:rPr>
        <w:t xml:space="preserve">, die in der Kategorie </w:t>
      </w:r>
      <w:r>
        <w:rPr>
          <w:rFonts w:eastAsia="Times New Roman" w:cs="Calibri Light" w:ascii="Calibri Light" w:hAnsi="Calibri Light"/>
          <w:lang w:val="de-DE"/>
        </w:rPr>
        <w:t>„Fach</w:t>
      </w:r>
      <w:r>
        <w:rPr>
          <w:rFonts w:eastAsia="Times New Roman" w:cs="Calibri Light" w:ascii="Calibri Light" w:hAnsi="Calibri Light"/>
          <w:lang w:val="nl-BE"/>
        </w:rPr>
        <w:t>verbände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 aufgeführt ist, während Insurance Europe, der europäische Versicherungs- und Rückversicherungsverband, in der IRSG als </w:t>
      </w:r>
      <w:r>
        <w:rPr>
          <w:rFonts w:eastAsia="Times New Roman" w:cs="Calibri Light" w:ascii="Calibri Light" w:hAnsi="Calibri Light"/>
          <w:lang w:val="de-DE"/>
        </w:rPr>
        <w:t xml:space="preserve">„Branchenverband“ </w:t>
      </w:r>
      <w:r>
        <w:rPr>
          <w:rFonts w:eastAsia="Times New Roman" w:cs="Calibri Light" w:ascii="Calibri Light" w:hAnsi="Calibri Light"/>
          <w:lang w:val="nl-BE"/>
        </w:rPr>
        <w:t>bezeichnet wird. In</w:t>
      </w:r>
      <w:r>
        <w:rPr>
          <w:rFonts w:eastAsia="Times New Roman" w:cs="Calibri Light" w:ascii="Calibri Light" w:hAnsi="Calibri Light"/>
          <w:lang w:val="de-DE"/>
        </w:rPr>
        <w:t>nerhalb</w:t>
      </w:r>
      <w:r>
        <w:rPr>
          <w:rFonts w:eastAsia="Times New Roman" w:cs="Calibri Light" w:ascii="Calibri Light" w:hAnsi="Calibri Light"/>
          <w:lang w:val="nl-BE"/>
        </w:rPr>
        <w:t xml:space="preserve"> der OPSG der EIOPA hingegen ist Insurance Europe als </w:t>
      </w:r>
      <w:r>
        <w:rPr>
          <w:rFonts w:eastAsia="Times New Roman" w:cs="Calibri Light" w:ascii="Calibri Light" w:hAnsi="Calibri Light"/>
          <w:lang w:val="de-DE"/>
        </w:rPr>
        <w:t>EbAV</w:t>
      </w:r>
      <w:r>
        <w:rPr>
          <w:rFonts w:eastAsia="Times New Roman" w:cs="Calibri Light" w:ascii="Calibri Light" w:hAnsi="Calibri Light"/>
          <w:lang w:val="nl-BE"/>
        </w:rPr>
        <w:t xml:space="preserve"> –  im EU-Jargon ein Vertreter</w:t>
      </w:r>
      <w:r>
        <w:rPr>
          <w:rFonts w:eastAsia="Times New Roman" w:cs="Calibri Light" w:ascii="Calibri Light" w:hAnsi="Calibri Light"/>
          <w:lang w:val="de-DE"/>
        </w:rPr>
        <w:t xml:space="preserve"> von Einrichtungen</w:t>
      </w:r>
      <w:r>
        <w:rPr>
          <w:rFonts w:eastAsia="Times New Roman" w:cs="Calibri Light" w:ascii="Calibri Light" w:hAnsi="Calibri Light"/>
          <w:lang w:val="nl-BE"/>
        </w:rPr>
        <w:t xml:space="preserve"> der</w:t>
      </w:r>
      <w:r>
        <w:rPr>
          <w:rFonts w:eastAsia="Times New Roman" w:cs="Calibri Light" w:ascii="Calibri Light" w:hAnsi="Calibri Light"/>
          <w:lang w:val="de-DE"/>
        </w:rPr>
        <w:t xml:space="preserve"> betrieblichen Altersversorgung</w:t>
      </w:r>
      <w:r>
        <w:rPr>
          <w:rFonts w:eastAsia="Times New Roman" w:cs="Calibri Light" w:ascii="Calibri Light" w:hAnsi="Calibri Light"/>
          <w:lang w:val="nl-BE"/>
        </w:rPr>
        <w:t xml:space="preserve"> –  </w:t>
      </w:r>
      <w:r>
        <w:rPr>
          <w:rFonts w:eastAsia="Times New Roman" w:cs="Calibri Light" w:ascii="Calibri Light" w:hAnsi="Calibri Light"/>
          <w:lang w:val="de-DE"/>
        </w:rPr>
        <w:t>beteiligt</w:t>
      </w:r>
      <w:r>
        <w:rPr>
          <w:rFonts w:eastAsia="Times New Roman" w:cs="Calibri Light" w:ascii="Calibri Light" w:hAnsi="Calibri Light"/>
          <w:lang w:val="nl-BE"/>
        </w:rPr>
        <w:t>, während</w:t>
      </w:r>
      <w:r>
        <w:rPr>
          <w:rFonts w:eastAsia="Times New Roman" w:cs="Calibri Light" w:ascii="Calibri Light" w:hAnsi="Calibri Light"/>
          <w:lang w:val="de-DE"/>
        </w:rPr>
        <w:t xml:space="preserve"> der Dachverband der europäischen Investmentfonds-Verbände (</w:t>
      </w:r>
      <w:r>
        <w:rPr>
          <w:rFonts w:eastAsia="Times New Roman" w:cs="Calibri Light" w:ascii="Calibri Light" w:hAnsi="Calibri Light"/>
          <w:lang w:val="nl-BE"/>
        </w:rPr>
        <w:t>European Fund and Asset Management Association</w:t>
      </w:r>
      <w:r>
        <w:rPr>
          <w:rFonts w:eastAsia="Times New Roman" w:cs="Calibri Light" w:ascii="Calibri Light" w:hAnsi="Calibri Light"/>
          <w:lang w:val="de-DE"/>
        </w:rPr>
        <w:t xml:space="preserve">, </w:t>
      </w:r>
      <w:r>
        <w:rPr>
          <w:rFonts w:eastAsia="Times New Roman" w:cs="Calibri Light" w:ascii="Calibri Light" w:hAnsi="Calibri Light"/>
          <w:lang w:val="nl-BE"/>
        </w:rPr>
        <w:t>EFAMA</w:t>
      </w:r>
      <w:r>
        <w:rPr>
          <w:rFonts w:eastAsia="Times New Roman" w:cs="Calibri Light" w:ascii="Calibri Light" w:hAnsi="Calibri Light"/>
          <w:lang w:val="de-DE"/>
        </w:rPr>
        <w:t>)</w:t>
      </w:r>
      <w:r>
        <w:rPr>
          <w:rFonts w:eastAsia="Times New Roman" w:cs="Calibri Light" w:ascii="Calibri Light" w:hAnsi="Calibri Light"/>
          <w:lang w:val="nl-BE"/>
        </w:rPr>
        <w:t xml:space="preserve">  als </w:t>
      </w:r>
      <w:r>
        <w:rPr>
          <w:rFonts w:eastAsia="Times New Roman" w:cs="Calibri Light" w:ascii="Calibri Light" w:hAnsi="Calibri Light"/>
          <w:lang w:val="de-DE"/>
        </w:rPr>
        <w:t>„Fach</w:t>
      </w:r>
      <w:r>
        <w:rPr>
          <w:rFonts w:eastAsia="Times New Roman" w:cs="Calibri Light" w:ascii="Calibri Light" w:hAnsi="Calibri Light"/>
          <w:lang w:val="nl-BE"/>
        </w:rPr>
        <w:t>verband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 </w:t>
      </w:r>
      <w:r>
        <w:rPr>
          <w:rFonts w:eastAsia="Times New Roman" w:cs="Calibri Light" w:ascii="Calibri Light" w:hAnsi="Calibri Light"/>
          <w:lang w:val="de-DE"/>
        </w:rPr>
        <w:t xml:space="preserve">geführt </w:t>
      </w:r>
      <w:r>
        <w:rPr>
          <w:rFonts w:eastAsia="Times New Roman" w:cs="Calibri Light" w:ascii="Calibri Light" w:hAnsi="Calibri Light"/>
          <w:lang w:val="nl-BE"/>
        </w:rPr>
        <w:t>wird.</w:t>
      </w:r>
    </w:p>
    <w:p>
      <w:pPr>
        <w:pStyle w:val="Normal"/>
        <w:spacing w:lineRule="auto" w:line="240" w:before="0" w:after="120"/>
        <w:jc w:val="both"/>
        <w:rPr>
          <w:lang w:val="nl-BE"/>
        </w:rPr>
      </w:pPr>
      <w:r>
        <w:rPr>
          <w:rFonts w:eastAsia="Times New Roman" w:cs="Calibri Light" w:ascii="Calibri Light" w:hAnsi="Calibri Light"/>
          <w:lang w:val="de-DE"/>
        </w:rPr>
        <w:t>Bereits im</w:t>
      </w:r>
      <w:r>
        <w:rPr>
          <w:rFonts w:eastAsia="Times New Roman" w:cs="Calibri Light" w:ascii="Calibri Light" w:hAnsi="Calibri Light"/>
          <w:lang w:val="nl-BE"/>
        </w:rPr>
        <w:t xml:space="preserve"> </w:t>
      </w:r>
      <w:hyperlink r:id="rId3">
        <w:r>
          <w:rPr>
            <w:rStyle w:val="Internetverknpfung"/>
            <w:rFonts w:eastAsia="Times New Roman" w:cs="Calibri Light" w:ascii="Calibri Light" w:hAnsi="Calibri Light"/>
            <w:lang w:val="de-DE"/>
          </w:rPr>
          <w:t>Januar 2020 reagierte BETTER FINANCE</w:t>
        </w:r>
      </w:hyperlink>
      <w:r>
        <w:rPr>
          <w:rFonts w:eastAsia="Times New Roman" w:cs="Calibri Light" w:ascii="Calibri Light" w:hAnsi="Calibri Light"/>
          <w:lang w:val="de-DE"/>
        </w:rPr>
        <w:t xml:space="preserve"> auf</w:t>
      </w:r>
      <w:r>
        <w:rPr>
          <w:rFonts w:eastAsia="Times New Roman" w:cs="Calibri Light" w:ascii="Calibri Light" w:hAnsi="Calibri Light"/>
          <w:lang w:val="nl-BE"/>
        </w:rPr>
        <w:t xml:space="preserve"> spezifische Änderungen in der EIOPA-Verordnung</w:t>
      </w:r>
      <w:r>
        <w:rPr>
          <w:rStyle w:val="Funotenanker"/>
          <w:rFonts w:eastAsia="Times New Roman" w:cs="Calibri Light" w:ascii="Calibri Light" w:hAnsi="Calibri Light"/>
        </w:rPr>
        <w:footnoteReference w:id="8"/>
      </w:r>
      <w:r>
        <w:rPr>
          <w:rFonts w:eastAsia="Times New Roman" w:cs="Calibri Light" w:ascii="Calibri Light" w:hAnsi="Calibri Light"/>
          <w:lang w:val="nl-BE"/>
        </w:rPr>
        <w:t xml:space="preserve"> hinsichtlich der Zusammensetzung der </w:t>
      </w:r>
      <w:r>
        <w:rPr>
          <w:rFonts w:eastAsia="Times New Roman" w:cs="Calibri Light" w:ascii="Calibri Light" w:hAnsi="Calibri Light"/>
          <w:lang w:val="de-DE"/>
        </w:rPr>
        <w:t xml:space="preserve">Stakeholder-Gruppen der </w:t>
      </w:r>
      <w:r>
        <w:rPr>
          <w:rFonts w:eastAsia="Times New Roman" w:cs="Calibri Light" w:ascii="Calibri Light" w:hAnsi="Calibri Light"/>
          <w:lang w:val="nl-BE"/>
        </w:rPr>
        <w:t>EIOPA</w:t>
      </w:r>
      <w:r>
        <w:rPr>
          <w:rFonts w:eastAsia="Times New Roman" w:cs="Calibri Light" w:ascii="Calibri Light" w:hAnsi="Calibri Light"/>
          <w:lang w:val="de-DE"/>
        </w:rPr>
        <w:t xml:space="preserve"> </w:t>
      </w:r>
      <w:r>
        <w:rPr>
          <w:rFonts w:eastAsia="Times New Roman" w:cs="Calibri Light" w:ascii="Calibri Light" w:hAnsi="Calibri Light"/>
          <w:lang w:val="nl-BE"/>
        </w:rPr>
        <w:t xml:space="preserve">und des hohen Risikos, dass die Zahl der Vertreter der Nutzerseite zugunsten der Vertreter der Finanzindustrie reduziert wird. </w:t>
      </w:r>
    </w:p>
    <w:p>
      <w:pPr>
        <w:pStyle w:val="Normal"/>
        <w:spacing w:lineRule="auto" w:line="240" w:before="0" w:after="120"/>
        <w:jc w:val="both"/>
        <w:rPr>
          <w:lang w:val="nl-BE"/>
        </w:rPr>
      </w:pPr>
      <w:r>
        <w:rPr>
          <w:rFonts w:eastAsia="Times New Roman" w:cs="Calibri Light" w:ascii="Calibri Light" w:hAnsi="Calibri Light"/>
          <w:lang w:val="nl-BE"/>
        </w:rPr>
        <w:t xml:space="preserve">Hinzu kommt, dass die Regel der </w:t>
      </w:r>
      <w:r>
        <w:rPr>
          <w:rFonts w:eastAsia="Times New Roman" w:cs="Calibri Light" w:ascii="Calibri Light" w:hAnsi="Calibri Light"/>
          <w:b/>
          <w:bCs/>
          <w:i/>
          <w:iCs/>
          <w:lang w:val="nl-BE"/>
        </w:rPr>
        <w:t xml:space="preserve">ausgewogenen Vertretung </w:t>
      </w:r>
      <w:r>
        <w:rPr>
          <w:rFonts w:eastAsia="Times New Roman" w:cs="Calibri Light" w:ascii="Calibri Light" w:hAnsi="Calibri Light"/>
          <w:lang w:val="nl-BE"/>
        </w:rPr>
        <w:t xml:space="preserve">jetzt nur noch für die Finanzindustrie gilt. Guillaume Prache, ein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lang w:val="nl-BE"/>
        </w:rPr>
        <w:t>Veteran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, der in der BSG, der IRSG und der SMSG tätig war, merkt an, dass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i/>
          <w:iCs/>
          <w:lang w:val="de-DE"/>
        </w:rPr>
        <w:t xml:space="preserve">das, 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was wie eine unauffällige Änderung der Rechtsgrundlage aussah, in Wirklichkeit dazu führte, dass die übergreifende Regel der </w:t>
      </w:r>
      <w:r>
        <w:rPr>
          <w:rFonts w:eastAsia="Times New Roman" w:cs="Calibri Light" w:ascii="Calibri Light" w:hAnsi="Calibri Light"/>
          <w:i/>
          <w:iCs/>
          <w:lang w:val="de-DE"/>
        </w:rPr>
        <w:t>„</w:t>
      </w:r>
      <w:r>
        <w:rPr>
          <w:rFonts w:eastAsia="Times New Roman" w:cs="Calibri Light" w:ascii="Calibri Light" w:hAnsi="Calibri Light"/>
          <w:i/>
          <w:iCs/>
          <w:lang w:val="nl-BE"/>
        </w:rPr>
        <w:t>Vertretung</w:t>
      </w:r>
      <w:r>
        <w:rPr>
          <w:rFonts w:eastAsia="Times New Roman" w:cs="Calibri Light" w:ascii="Calibri Light" w:hAnsi="Calibri Light"/>
          <w:i/>
          <w:iCs/>
          <w:lang w:val="de-DE"/>
        </w:rPr>
        <w:t xml:space="preserve"> in ausgewogenem Verhältnis“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 in der Stakeholder-Gruppe abgeschafft wurde, was </w:t>
      </w:r>
      <w:r>
        <w:rPr>
          <w:rFonts w:eastAsia="Times New Roman" w:cs="Calibri Light" w:ascii="Calibri Light" w:hAnsi="Calibri Light"/>
          <w:i/>
          <w:iCs/>
          <w:lang w:val="de-DE"/>
        </w:rPr>
        <w:t>zur Folge hatte, dass das Pendel aus rechtlicher Sicht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 zugunsten der Stimmen der </w:t>
      </w:r>
      <w:r>
        <w:rPr>
          <w:rFonts w:eastAsia="Times New Roman" w:cs="Calibri Light" w:ascii="Calibri Light" w:hAnsi="Calibri Light"/>
          <w:i/>
          <w:iCs/>
          <w:lang w:val="de-DE"/>
        </w:rPr>
        <w:t>Finanzindustrie ausschlug“</w:t>
      </w:r>
      <w:r>
        <w:rPr>
          <w:rFonts w:eastAsia="Times New Roman" w:cs="Calibri Light" w:ascii="Calibri Light" w:hAnsi="Calibri Light"/>
          <w:lang w:val="nl-BE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Calibri Light" w:hAnsi="Calibri Light" w:eastAsia="Times New Roman" w:cs="Calibri Light"/>
          <w:lang w:val="nl-BE"/>
        </w:rPr>
      </w:pPr>
      <w:r>
        <w:rPr>
          <w:rFonts w:eastAsia="Times New Roman" w:cs="Calibri Light" w:ascii="Calibri Light" w:hAnsi="Calibri Light"/>
          <w:lang w:val="nl-BE"/>
        </w:rPr>
        <w:t xml:space="preserve">Ein kurzer Blick zeigt, dass der Anteil der ernannten Verbraucher- und Nutzervertreter in den </w:t>
      </w:r>
      <w:r>
        <w:rPr>
          <w:rFonts w:eastAsia="Times New Roman" w:cs="Calibri Light" w:ascii="Calibri Light" w:hAnsi="Calibri Light"/>
          <w:lang w:val="de-DE"/>
        </w:rPr>
        <w:t xml:space="preserve">SG  </w:t>
      </w:r>
      <w:r>
        <w:rPr>
          <w:rFonts w:eastAsia="Times New Roman" w:cs="Calibri Light" w:ascii="Calibri Light" w:hAnsi="Calibri Light"/>
          <w:lang w:val="nl-BE"/>
        </w:rPr>
        <w:t xml:space="preserve">von 33 % auf 28 % und der Anteil der unabhängigen Wissenschaftler von 17 % auf 13 % zurückgegangen sind, während </w:t>
      </w:r>
      <w:r>
        <w:rPr>
          <w:rFonts w:eastAsia="Times New Roman" w:cs="Calibri Light" w:ascii="Calibri Light" w:hAnsi="Calibri Light"/>
          <w:lang w:val="de-DE"/>
        </w:rPr>
        <w:t>der Anteil der Vertreter</w:t>
      </w:r>
      <w:r>
        <w:rPr>
          <w:rFonts w:eastAsia="Times New Roman" w:cs="Calibri Light" w:ascii="Calibri Light" w:hAnsi="Calibri Light"/>
          <w:lang w:val="nl-BE"/>
        </w:rPr>
        <w:t xml:space="preserve"> der </w:t>
      </w:r>
      <w:r>
        <w:rPr>
          <w:rFonts w:eastAsia="Times New Roman" w:cs="Calibri Light" w:ascii="Calibri Light" w:hAnsi="Calibri Light"/>
          <w:lang w:val="de-DE"/>
        </w:rPr>
        <w:t xml:space="preserve">Finanzindustrie </w:t>
      </w:r>
      <w:r>
        <w:rPr>
          <w:rFonts w:eastAsia="Times New Roman" w:cs="Calibri Light" w:ascii="Calibri Light" w:hAnsi="Calibri Light"/>
          <w:lang w:val="nl-BE"/>
        </w:rPr>
        <w:t xml:space="preserve">(einschließlich der </w:t>
      </w:r>
      <w:r>
        <w:rPr>
          <w:rFonts w:eastAsia="Times New Roman" w:cs="Calibri Light" w:ascii="Calibri Light" w:hAnsi="Calibri Light"/>
          <w:lang w:val="de-DE"/>
        </w:rPr>
        <w:t>Fach</w:t>
      </w:r>
      <w:r>
        <w:rPr>
          <w:rFonts w:eastAsia="Times New Roman" w:cs="Calibri Light" w:ascii="Calibri Light" w:hAnsi="Calibri Light"/>
          <w:lang w:val="nl-BE"/>
        </w:rPr>
        <w:t>verbände) auf fast die Hälfte der Mitglieder (von 39 % auf 48 %)</w:t>
      </w:r>
      <w:r>
        <w:rPr>
          <w:rFonts w:eastAsia="Times New Roman" w:cs="Calibri Light" w:ascii="Calibri Light" w:hAnsi="Calibri Light"/>
          <w:lang w:val="de-DE"/>
        </w:rPr>
        <w:t xml:space="preserve"> angestiegen ist</w:t>
      </w:r>
      <w:r>
        <w:rPr>
          <w:rFonts w:eastAsia="Times New Roman" w:cs="Calibri Light" w:ascii="Calibri Light" w:hAnsi="Calibri Light"/>
          <w:lang w:val="nl-BE"/>
        </w:rPr>
        <w:t xml:space="preserve">. Dies behindert ernsthaft die Bemühungen, für branchenfremde Interessen einzutreten und diese zu verteidigen. </w:t>
      </w:r>
    </w:p>
    <w:p>
      <w:pPr>
        <w:pStyle w:val="Normal"/>
        <w:spacing w:lineRule="auto" w:line="240" w:before="0" w:after="120"/>
        <w:jc w:val="both"/>
        <w:rPr>
          <w:rFonts w:ascii="Calibri Light" w:hAnsi="Calibri Light" w:eastAsia="Times New Roman" w:cs="Calibri Light"/>
          <w:lang w:val="nl-BE"/>
        </w:rPr>
      </w:pPr>
      <w:r>
        <w:rPr>
          <w:rFonts w:eastAsia="Times New Roman" w:cs="Calibri Light" w:ascii="Calibri Light" w:hAnsi="Calibri Light"/>
          <w:lang w:val="nl-BE"/>
        </w:rPr>
        <w:t xml:space="preserve">Um </w:t>
      </w:r>
      <w:r>
        <w:rPr>
          <w:rFonts w:eastAsia="Times New Roman" w:cs="Calibri Light" w:ascii="Calibri Light" w:hAnsi="Calibri Light"/>
          <w:b w:val="false"/>
          <w:bCs w:val="false"/>
          <w:lang w:val="nl-BE"/>
        </w:rPr>
        <w:t>dem Ganzen die Krone a</w:t>
      </w:r>
      <w:r>
        <w:rPr>
          <w:rFonts w:eastAsia="Times New Roman" w:cs="Calibri Light" w:ascii="Calibri Light" w:hAnsi="Calibri Light"/>
          <w:lang w:val="nl-BE"/>
        </w:rPr>
        <w:t>ufzusetzen</w:t>
      </w:r>
      <w:r>
        <w:rPr>
          <w:rFonts w:eastAsia="Times New Roman" w:cs="Calibri Light" w:ascii="Calibri Light" w:hAnsi="Calibri Light"/>
          <w:lang w:val="de-DE"/>
        </w:rPr>
        <w:t xml:space="preserve">, </w:t>
      </w:r>
      <w:r>
        <w:rPr>
          <w:rFonts w:eastAsia="Times New Roman" w:cs="Calibri Light" w:ascii="Calibri Light" w:hAnsi="Calibri Light"/>
          <w:lang w:val="nl-BE"/>
        </w:rPr>
        <w:t xml:space="preserve">haben die ESA für die wenigen zugewiesenen Plätze für Verbrauchervertreter </w:t>
      </w:r>
      <w:r>
        <w:rPr>
          <w:rFonts w:eastAsia="Times New Roman" w:cs="Calibri Light" w:ascii="Calibri Light" w:hAnsi="Calibri Light"/>
          <w:lang w:val="de-DE"/>
        </w:rPr>
        <w:t xml:space="preserve">irrtümlicherweise </w:t>
      </w:r>
      <w:r>
        <w:rPr>
          <w:rFonts w:eastAsia="Times New Roman" w:cs="Calibri Light" w:ascii="Calibri Light" w:hAnsi="Calibri Light"/>
          <w:lang w:val="nl-BE"/>
        </w:rPr>
        <w:t xml:space="preserve">einige </w:t>
      </w:r>
      <w:r>
        <w:rPr>
          <w:rFonts w:eastAsia="Times New Roman" w:cs="Calibri Light" w:ascii="Calibri Light" w:hAnsi="Calibri Light"/>
          <w:lang w:val="de-DE"/>
        </w:rPr>
        <w:t xml:space="preserve">fachfremde Vertreter </w:t>
      </w:r>
      <w:r>
        <w:rPr>
          <w:rFonts w:eastAsia="Times New Roman" w:cs="Calibri Light" w:ascii="Calibri Light" w:hAnsi="Calibri Light"/>
          <w:lang w:val="nl-BE"/>
        </w:rPr>
        <w:t xml:space="preserve">bestellt, wodurch </w:t>
      </w:r>
      <w:r>
        <w:rPr>
          <w:rFonts w:eastAsia="Times New Roman" w:cs="Calibri Light" w:ascii="Calibri Light" w:hAnsi="Calibri Light"/>
          <w:lang w:val="de-DE"/>
        </w:rPr>
        <w:t xml:space="preserve">das Gewicht </w:t>
      </w:r>
      <w:r>
        <w:rPr>
          <w:rFonts w:eastAsia="Times New Roman" w:cs="Calibri Light" w:ascii="Calibri Light" w:hAnsi="Calibri Light"/>
          <w:lang w:val="nl-BE"/>
        </w:rPr>
        <w:t>der EU-Bürger in den SG</w:t>
      </w:r>
      <w:r>
        <w:rPr>
          <w:rFonts w:eastAsia="Times New Roman" w:cs="Calibri Light" w:ascii="Calibri Light" w:hAnsi="Calibri Light"/>
          <w:lang w:val="de-DE"/>
        </w:rPr>
        <w:t xml:space="preserve"> de facto</w:t>
      </w:r>
      <w:r>
        <w:rPr>
          <w:rFonts w:eastAsia="Times New Roman" w:cs="Calibri Light" w:ascii="Calibri Light" w:hAnsi="Calibri Light"/>
          <w:lang w:val="nl-BE"/>
        </w:rPr>
        <w:t xml:space="preserve"> noch weiter reduziert wurde.</w:t>
      </w:r>
    </w:p>
    <w:tbl>
      <w:tblPr>
        <w:tblW w:w="901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05"/>
        <w:gridCol w:w="216"/>
        <w:gridCol w:w="549"/>
        <w:gridCol w:w="214"/>
        <w:gridCol w:w="765"/>
        <w:gridCol w:w="3136"/>
        <w:gridCol w:w="799"/>
        <w:gridCol w:w="831"/>
      </w:tblGrid>
      <w:tr>
        <w:trPr>
          <w:trHeight w:val="300" w:hRule="atLeast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FFFFFF"/>
                <w:lang w:val="de-DE" w:eastAsia="en-GB" w:bidi="ar-SA"/>
              </w:rPr>
              <w:t>Zusammensetzung der Stakeholder-Gruppen der ESA: Verbraucher/Branche</w:t>
            </w:r>
          </w:p>
        </w:tc>
      </w:tr>
      <w:tr>
        <w:trPr>
          <w:trHeight w:val="300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FFFFFF"/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FFFFFF"/>
                <w:lang w:val="de-DE" w:eastAsia="en-GB" w:bidi="ar-SA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2018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2020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000000"/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2018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2020</w:t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Wertpapiere und Märkte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/>
                <w:b/>
                <w:b/>
                <w:bCs/>
                <w:color w:val="000000"/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de-DE" w:eastAsia="en-GB" w:bidi="ar-SA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Versicherung &amp; Rückversicherung</w:t>
            </w:r>
          </w:p>
        </w:tc>
        <w:tc>
          <w:tcPr>
            <w:tcW w:w="79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/>
                <w:b/>
                <w:b/>
                <w:bCs/>
                <w:color w:val="000000"/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</w: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de-DE" w:eastAsia="en-GB" w:bidi="ar-SA"/>
              </w:rPr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Experten für Verbraucher- und Nutzerangelegenheiten*</w:t>
            </w:r>
          </w:p>
        </w:tc>
        <w:tc>
          <w:tcPr>
            <w:tcW w:w="7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12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10</w:t>
            </w:r>
          </w:p>
        </w:tc>
        <w:tc>
          <w:tcPr>
            <w:tcW w:w="3136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Experten für Verbraucherfragen*</w:t>
            </w:r>
          </w:p>
        </w:tc>
        <w:tc>
          <w:tcPr>
            <w:tcW w:w="7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10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Branchenexperten*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13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Branchenexperten*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Bankwesen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/>
                <w:b/>
                <w:b/>
                <w:bCs/>
                <w:color w:val="000000"/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de-DE" w:eastAsia="en-GB" w:bidi="ar-SA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Betriebliche Altersversorgung</w:t>
            </w:r>
          </w:p>
        </w:tc>
        <w:tc>
          <w:tcPr>
            <w:tcW w:w="79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/>
                <w:b/>
                <w:b/>
                <w:bCs/>
                <w:color w:val="000000"/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</w: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de-DE" w:eastAsia="en-GB" w:bidi="ar-SA"/>
              </w:rPr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Experten für Verbraucher- und Nutzerangelegenheiten*</w:t>
            </w:r>
          </w:p>
        </w:tc>
        <w:tc>
          <w:tcPr>
            <w:tcW w:w="7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9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9</w:t>
            </w:r>
          </w:p>
        </w:tc>
        <w:tc>
          <w:tcPr>
            <w:tcW w:w="3136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Experten für Verbraucher- und Nutzerangelegenheiten* (PP-Teilnehmer)</w:t>
            </w:r>
          </w:p>
        </w:tc>
        <w:tc>
          <w:tcPr>
            <w:tcW w:w="7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8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Branchenexperten*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10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13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Branchenexperten*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val="de-DE" w:eastAsia="en-GB" w:bidi="ar-S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12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u w:val="single"/>
                <w:lang w:val="de-DE" w:eastAsia="en-GB" w:bidi="ar-SA"/>
              </w:rPr>
              <w:t>Gesamtzahlen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12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2018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12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2020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i/>
                <w:iCs/>
                <w:color w:val="000000"/>
                <w:sz w:val="20"/>
                <w:szCs w:val="20"/>
                <w:lang w:val="de-DE" w:eastAsia="en-GB" w:bidi="ar-SA"/>
              </w:rPr>
              <w:t>* Verbraucher = „Verbraucher“, „andere Nutzer“, Personen der „Zivilgesellschaft“ usw.</w:t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Vertreter der Verbraucher</w:t>
            </w:r>
          </w:p>
        </w:tc>
        <w:tc>
          <w:tcPr>
            <w:tcW w:w="763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33 %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FF0000"/>
                <w:lang w:val="de-DE" w:eastAsia="en-GB" w:bidi="ar-SA"/>
              </w:rPr>
              <w:t>28 %</w:t>
            </w:r>
          </w:p>
        </w:tc>
        <w:tc>
          <w:tcPr>
            <w:tcW w:w="4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i/>
                <w:iCs/>
                <w:color w:val="000000"/>
                <w:sz w:val="20"/>
                <w:szCs w:val="20"/>
                <w:lang w:val="de-DE" w:eastAsia="en-GB" w:bidi="ar-SA"/>
              </w:rPr>
              <w:t>** Branche = „Branche“, „Marktteilnehmer“, „EbAV“ (betriebliche Altersversorgung), „Fachverbände“ usw.</w:t>
            </w:r>
          </w:p>
        </w:tc>
      </w:tr>
      <w:tr>
        <w:trPr>
          <w:trHeight w:val="300" w:hRule="atLeast"/>
        </w:trPr>
        <w:tc>
          <w:tcPr>
            <w:tcW w:w="2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Vertreter der Branche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000000"/>
                <w:lang w:val="de-DE" w:eastAsia="en-GB" w:bidi="ar-SA"/>
              </w:rPr>
              <w:t>39 %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FF0000"/>
                <w:lang w:val="de-DE" w:eastAsia="en-GB" w:bidi="ar-SA"/>
              </w:rPr>
              <w:t>48 %</w:t>
            </w:r>
          </w:p>
        </w:tc>
        <w:tc>
          <w:tcPr>
            <w:tcW w:w="47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lang w:val="de-DE" w:eastAsia="en-GB" w:bidi="ar-SA"/>
              </w:rPr>
            </w:pPr>
            <w:r>
              <w:rPr>
                <w:rFonts w:eastAsia="Times New Roman" w:cs="Calibri Light" w:ascii="Calibri Light" w:hAnsi="Calibri Light"/>
                <w:i/>
                <w:iCs/>
                <w:color w:val="000000"/>
                <w:sz w:val="20"/>
                <w:szCs w:val="20"/>
                <w:u w:val="single"/>
                <w:lang w:val="de-DE" w:eastAsia="en-GB" w:bidi="ar-SA"/>
              </w:rPr>
              <w:t>Quelle</w:t>
            </w:r>
            <w:r>
              <w:rPr>
                <w:rFonts w:eastAsia="Times New Roman" w:cs="Calibri Light" w:ascii="Calibri Light" w:hAnsi="Calibri Light"/>
                <w:i/>
                <w:iCs/>
                <w:color w:val="000000"/>
                <w:sz w:val="20"/>
                <w:szCs w:val="20"/>
                <w:lang w:val="de-DE" w:eastAsia="en-GB" w:bidi="ar-SA"/>
              </w:rPr>
              <w:t>: ESA, BF-Analyse: Der Think Tank ECMI und der zwischenstaatliche IWF werden nicht zu den Verbraucherorganisationen gezählt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lang w:val="nl-BE"/>
        </w:rPr>
      </w:pPr>
      <w:r>
        <w:rPr>
          <w:rFonts w:eastAsia="Times New Roman" w:cs="Calibri Light" w:ascii="Calibri Light" w:hAnsi="Calibri Light"/>
          <w:lang w:val="nl-BE"/>
        </w:rPr>
        <w:t xml:space="preserve">Guillaume Prache betont, dass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i/>
          <w:iCs/>
          <w:lang w:val="nl-BE"/>
        </w:rPr>
        <w:t>ein</w:t>
      </w:r>
      <w:r>
        <w:rPr>
          <w:rFonts w:eastAsia="Times New Roman" w:cs="Calibri Light" w:ascii="Calibri Light" w:hAnsi="Calibri Light"/>
          <w:i/>
          <w:iCs/>
          <w:lang w:val="de-DE"/>
        </w:rPr>
        <w:t>e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 </w:t>
      </w:r>
      <w:r>
        <w:rPr>
          <w:rFonts w:eastAsia="Times New Roman" w:cs="Calibri Light" w:ascii="Calibri Light" w:hAnsi="Calibri Light"/>
          <w:i/>
          <w:iCs/>
          <w:lang w:val="de-DE"/>
        </w:rPr>
        <w:t>solche Maßnahme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 einen großen Rückschritt darstellt, mit einer Rückkehr zu den Praktiken vor 2008, als die EU-Finanzpolitik hauptsächlich </w:t>
      </w:r>
      <w:r>
        <w:rPr>
          <w:rFonts w:eastAsia="Times New Roman" w:cs="Calibri Light" w:ascii="Calibri Light" w:hAnsi="Calibri Light"/>
          <w:i/>
          <w:iCs/>
          <w:lang w:val="de-DE"/>
        </w:rPr>
        <w:t>unter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 EU-Politikern und Lobbyisten der </w:t>
      </w:r>
      <w:r>
        <w:rPr>
          <w:rFonts w:eastAsia="Times New Roman" w:cs="Calibri Light" w:ascii="Calibri Light" w:hAnsi="Calibri Light"/>
          <w:i/>
          <w:iCs/>
          <w:lang w:val="de-DE"/>
        </w:rPr>
        <w:t>Finanzwirtschaft</w:t>
      </w:r>
      <w:r>
        <w:rPr>
          <w:rFonts w:eastAsia="Times New Roman" w:cs="Calibri Light" w:ascii="Calibri Light" w:hAnsi="Calibri Light"/>
          <w:i/>
          <w:iCs/>
          <w:lang w:val="nl-BE"/>
        </w:rPr>
        <w:t xml:space="preserve"> </w:t>
      </w:r>
      <w:r>
        <w:rPr>
          <w:rFonts w:eastAsia="Times New Roman" w:cs="Calibri Light" w:ascii="Calibri Light" w:hAnsi="Calibri Light"/>
          <w:i/>
          <w:iCs/>
          <w:lang w:val="de-DE"/>
        </w:rPr>
        <w:t>aus</w:t>
      </w:r>
      <w:r>
        <w:rPr>
          <w:rFonts w:eastAsia="Times New Roman" w:cs="Calibri Light" w:ascii="Calibri Light" w:hAnsi="Calibri Light"/>
          <w:i/>
          <w:iCs/>
          <w:lang w:val="nl-BE"/>
        </w:rPr>
        <w:t>gemacht wurde</w:t>
      </w:r>
      <w:r>
        <w:rPr>
          <w:rFonts w:eastAsia="Times New Roman" w:cs="Calibri Light" w:ascii="Calibri Light" w:hAnsi="Calibri Light"/>
          <w:i/>
          <w:iCs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. Dadurch werden einige der großen Fortschritte von 2018 rückgängig gemacht, als BETTER FINANCE die EIOPA dazu </w:t>
      </w:r>
      <w:hyperlink r:id="rId4">
        <w:r>
          <w:rPr>
            <w:rStyle w:val="Internetverknpfung"/>
            <w:rFonts w:eastAsia="Times New Roman" w:cs="Calibri Light" w:ascii="Calibri Light" w:hAnsi="Calibri Light"/>
            <w:lang w:val="nl-BE"/>
          </w:rPr>
          <w:t>beglückwünschte</w:t>
        </w:r>
      </w:hyperlink>
      <w:r>
        <w:rPr>
          <w:rFonts w:eastAsia="Times New Roman" w:cs="Calibri Light" w:ascii="Calibri Light" w:hAnsi="Calibri Light"/>
          <w:lang w:val="nl-BE"/>
        </w:rPr>
        <w:t xml:space="preserve">, dass sie erfolgreich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lang w:val="nl-BE"/>
        </w:rPr>
        <w:t>versucht hat, die Vertretung der Verbraucher zu stärken</w:t>
      </w:r>
      <w:r>
        <w:rPr>
          <w:rFonts w:eastAsia="Times New Roman" w:cs="Calibri Light" w:ascii="Calibri Light" w:hAnsi="Calibri Light"/>
          <w:lang w:val="de-DE"/>
        </w:rPr>
        <w:t>“</w:t>
      </w:r>
      <w:r>
        <w:rPr>
          <w:rFonts w:eastAsia="Times New Roman" w:cs="Calibri Light" w:ascii="Calibri Light" w:hAnsi="Calibri Light"/>
          <w:lang w:val="nl-BE"/>
        </w:rPr>
        <w:t xml:space="preserve"> und dem Geist der EU-Verordnungen zur europäischen Finanzaufsicht gerecht zu werden, nach denen ein ausgewogenes Verhältnis zwischen </w:t>
      </w:r>
      <w:r>
        <w:rPr>
          <w:rFonts w:eastAsia="Times New Roman" w:cs="Calibri Light" w:ascii="Calibri Light" w:hAnsi="Calibri Light"/>
          <w:lang w:val="de-DE"/>
        </w:rPr>
        <w:t xml:space="preserve">Vertretern der Finanzindustrie </w:t>
      </w:r>
      <w:r>
        <w:rPr>
          <w:rFonts w:eastAsia="Times New Roman" w:cs="Calibri Light" w:ascii="Calibri Light" w:hAnsi="Calibri Light"/>
          <w:lang w:val="nl-BE"/>
        </w:rPr>
        <w:t>und</w:t>
      </w:r>
      <w:r>
        <w:rPr>
          <w:rFonts w:eastAsia="Times New Roman" w:cs="Calibri Light" w:ascii="Calibri Light" w:hAnsi="Calibri Light"/>
          <w:lang w:val="de-DE"/>
        </w:rPr>
        <w:t xml:space="preserve"> denen der </w:t>
      </w:r>
      <w:r>
        <w:rPr>
          <w:rFonts w:eastAsia="Times New Roman" w:cs="Calibri Light" w:ascii="Calibri Light" w:hAnsi="Calibri Light"/>
          <w:lang w:val="nl-BE"/>
        </w:rPr>
        <w:t xml:space="preserve">Privatkunden sicherzustellen ist. </w:t>
      </w:r>
    </w:p>
    <w:p>
      <w:pPr>
        <w:pStyle w:val="Normal"/>
        <w:spacing w:lineRule="auto" w:line="240" w:before="0" w:after="120"/>
        <w:jc w:val="both"/>
        <w:rPr>
          <w:lang w:val="nl-BE"/>
        </w:rPr>
      </w:pPr>
      <w:r>
        <w:rPr>
          <w:rFonts w:eastAsia="Times New Roman" w:cs="Calibri Light" w:ascii="Calibri Light" w:hAnsi="Calibri Light"/>
          <w:lang w:val="nl-BE"/>
        </w:rPr>
        <w:t xml:space="preserve">Diese neue Zusammensetzung der Stakeholder-Gruppen steht im krassen Gegensatz zu den gerade veröffentlichten Empfehlungen des Hochrangigen Forums der Europäischen Kommission </w:t>
      </w:r>
      <w:r>
        <w:rPr>
          <w:rFonts w:eastAsia="Times New Roman" w:cs="Calibri Light" w:ascii="Calibri Light" w:hAnsi="Calibri Light"/>
          <w:lang w:val="de-DE"/>
        </w:rPr>
        <w:t>zur</w:t>
      </w:r>
      <w:r>
        <w:rPr>
          <w:rFonts w:eastAsia="Times New Roman" w:cs="Calibri Light" w:ascii="Calibri Light" w:hAnsi="Calibri Light"/>
          <w:lang w:val="nl-BE"/>
        </w:rPr>
        <w:t xml:space="preserve"> Kapitalmarktunion, wonach die Europäischen Aufsichtsbehörden </w:t>
      </w:r>
      <w:r>
        <w:rPr>
          <w:rFonts w:eastAsia="Times New Roman" w:cs="Calibri Light" w:ascii="Calibri Light" w:hAnsi="Calibri Light"/>
          <w:lang w:val="de-DE"/>
        </w:rPr>
        <w:t>„</w:t>
      </w:r>
      <w:r>
        <w:rPr>
          <w:rFonts w:eastAsia="Times New Roman" w:cs="Calibri Light" w:ascii="Calibri Light" w:hAnsi="Calibri Light"/>
          <w:i/>
          <w:iCs/>
          <w:lang w:val="nl-BE"/>
        </w:rPr>
        <w:t>[sicherstellen] sollten, dass in den Stakeholder-Gruppen eine ausgewogene Vertretung zwischen Branchenvertretern und Privatkunden/Verbrauchern gegeben ist</w:t>
      </w:r>
      <w:r>
        <w:rPr>
          <w:rFonts w:eastAsia="Times New Roman" w:cs="Calibri Light" w:ascii="Calibri Light" w:hAnsi="Calibri Light"/>
          <w:i/>
          <w:iCs/>
          <w:lang w:val="de-DE"/>
        </w:rPr>
        <w:t>“</w:t>
      </w:r>
      <w:r>
        <w:rPr>
          <w:rStyle w:val="Funotenanker"/>
          <w:rFonts w:eastAsia="Times New Roman" w:cs="Calibri Light" w:ascii="Calibri Light" w:hAnsi="Calibri Light"/>
        </w:rPr>
        <w:footnoteReference w:id="9"/>
      </w:r>
      <w:r>
        <w:rPr>
          <w:rFonts w:eastAsia="Times New Roman" w:cs="Calibri Light" w:ascii="Calibri Light" w:hAnsi="Calibri Light"/>
          <w:lang w:val="nl-BE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lang w:val="nl-BE"/>
        </w:rPr>
      </w:pPr>
      <w:r>
        <w:rPr>
          <w:rFonts w:cs="Calibri Light" w:ascii="Calibri Light" w:hAnsi="Calibri Light"/>
          <w:lang w:val="nl-BE"/>
        </w:rPr>
        <w:t>***</w:t>
      </w:r>
    </w:p>
    <w:p>
      <w:pPr>
        <w:pStyle w:val="Textkrper"/>
        <w:spacing w:lineRule="auto" w:line="240" w:before="0" w:after="0"/>
        <w:jc w:val="center"/>
        <w:rPr>
          <w:lang w:val="nl-BE"/>
        </w:rPr>
      </w:pPr>
      <w:r>
        <w:rPr>
          <w:rFonts w:cs="Calibri Light" w:ascii="Calibri Light" w:hAnsi="Calibri Light"/>
          <w:sz w:val="20"/>
          <w:u w:val="single"/>
          <w:lang w:val="nl-BE"/>
        </w:rPr>
        <w:t>Kontakt</w:t>
      </w:r>
      <w:r>
        <w:rPr>
          <w:rFonts w:cs="Calibri Light" w:ascii="Calibri Light" w:hAnsi="Calibri Light"/>
          <w:sz w:val="20"/>
          <w:lang w:val="nl-BE"/>
        </w:rPr>
        <w:t xml:space="preserve">: Leiter der Kommunikationsabteilung ǀ Arnaud Houdmont ǀ +32 (0)2 514 37 77 ǀ </w:t>
      </w:r>
      <w:hyperlink r:id="rId5">
        <w:r>
          <w:rPr>
            <w:rStyle w:val="Internetverknpfung"/>
            <w:rFonts w:cs="Calibri Light" w:ascii="Calibri Light" w:hAnsi="Calibri Light"/>
            <w:sz w:val="20"/>
            <w:lang w:val="nl-BE"/>
          </w:rPr>
          <w:t>houdmont@betterfinance.eu</w:t>
        </w:r>
      </w:hyperlink>
    </w:p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w="11906" w:h="16838"/>
          <w:pgMar w:left="1440" w:right="1440" w:header="708" w:top="1440" w:footer="708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erschrift2"/>
        <w:spacing w:before="40" w:after="80"/>
        <w:rPr>
          <w:lang w:val="nl-BE"/>
        </w:rPr>
      </w:pPr>
      <w:r>
        <w:rPr>
          <w:lang w:val="nl-BE"/>
        </w:rPr>
      </w:r>
    </w:p>
    <w:p>
      <w:pPr>
        <w:pStyle w:val="Normal"/>
        <w:spacing w:before="0" w:after="200"/>
        <w:rPr>
          <w:lang w:val="nl-BE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440" w:right="1440" w:header="708" w:top="1440" w:footer="708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20" w:after="0"/>
      <w:ind w:left="-567" w:hanging="0"/>
      <w:jc w:val="center"/>
      <w:rPr>
        <w:b/>
        <w:b/>
        <w:color w:val="006FB4"/>
        <w:sz w:val="16"/>
        <w:szCs w:val="16"/>
        <w:lang w:val="nl-BE"/>
      </w:rPr>
    </w:pPr>
    <w:r>
      <w:rPr>
        <w:b/>
        <w:color w:val="006FB4"/>
        <w:sz w:val="16"/>
        <w:szCs w:val="16"/>
        <w:lang w:val="nl-BE"/>
      </w:rPr>
      <w:t>Europäische</w:t>
    </w:r>
    <w:r>
      <w:rPr>
        <w:b/>
        <w:color w:val="006FB4"/>
        <w:sz w:val="16"/>
        <w:szCs w:val="16"/>
        <w:lang w:val="de-DE"/>
      </w:rPr>
      <w:t>r Verband</w:t>
    </w:r>
    <w:r>
      <w:rPr>
        <w:b/>
        <w:color w:val="006FB4"/>
        <w:sz w:val="16"/>
        <w:szCs w:val="16"/>
        <w:lang w:val="nl-BE"/>
      </w:rPr>
      <w:t xml:space="preserve"> der </w:t>
    </w:r>
    <w:r>
      <w:rPr>
        <w:b/>
        <w:color w:val="006FB4"/>
        <w:sz w:val="16"/>
        <w:szCs w:val="16"/>
        <w:lang w:val="de-DE"/>
      </w:rPr>
      <w:t>Anleger</w:t>
    </w:r>
    <w:r>
      <w:rPr>
        <w:b/>
        <w:color w:val="006FB4"/>
        <w:sz w:val="16"/>
        <w:szCs w:val="16"/>
        <w:lang w:val="nl-BE"/>
      </w:rPr>
      <w:t xml:space="preserve"> und Nutzer von Finanzdienstleistungen</w:t>
    </w:r>
  </w:p>
  <w:p>
    <w:pPr>
      <w:pStyle w:val="Normal"/>
      <w:spacing w:lineRule="auto" w:line="240" w:before="0" w:after="0"/>
      <w:ind w:left="-567" w:hanging="0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Brüssel - Belgien</w:t>
    </w:r>
  </w:p>
  <w:p>
    <w:pPr>
      <w:pStyle w:val="Normal"/>
      <w:spacing w:lineRule="auto" w:line="240" w:before="0" w:after="0"/>
      <w:ind w:left="-567" w:hanging="0"/>
      <w:jc w:val="center"/>
      <w:rPr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>
    <w:pPr>
      <w:pStyle w:val="Normal"/>
      <w:spacing w:lineRule="auto" w:line="240" w:before="0" w:after="0"/>
      <w:ind w:left="-567" w:hanging="0"/>
      <w:jc w:val="center"/>
      <w:rPr/>
    </w:pPr>
    <w:r>
      <w:rPr>
        <w:color w:val="006FB4"/>
        <w:sz w:val="16"/>
        <w:szCs w:val="16"/>
        <w:lang w:val="pt-PT"/>
      </w:rPr>
      <w:t>E-Mail: info@betterfinance.eu -</w:t>
    </w:r>
    <w:bookmarkStart w:id="1" w:name="_Hlk944867"/>
    <w:r>
      <w:rPr>
        <w:color w:val="006FB4"/>
        <w:sz w:val="16"/>
        <w:szCs w:val="16"/>
        <w:lang w:val="pt-PT"/>
      </w:rPr>
      <w:t xml:space="preserve"> </w:t>
    </w:r>
    <w:hyperlink r:id="rId1">
      <w:r>
        <w:rPr>
          <w:color w:val="006FB4"/>
          <w:sz w:val="16"/>
          <w:szCs w:val="16"/>
          <w:u w:val="single"/>
          <w:lang w:val="it-IT"/>
        </w:rPr>
        <w:t xml:space="preserve">http://www.betterfinance.eu </w:t>
      </w:r>
    </w:hyperlink>
    <w:bookmarkEnd w:id="1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jc w:val="both"/>
        <w:rPr/>
      </w:pPr>
      <w:r>
        <w:rPr>
          <w:rStyle w:val="Funotenzeichen"/>
        </w:rPr>
        <w:footnoteRef/>
      </w:r>
      <w:r>
        <w:rPr>
          <w:rFonts w:cs="Calibri Light" w:ascii="Calibri Light" w:hAnsi="Calibri Light"/>
          <w:sz w:val="16"/>
          <w:szCs w:val="16"/>
        </w:rPr>
        <w:t xml:space="preserve"> </w:t>
      </w:r>
      <w:r>
        <w:rPr>
          <w:rFonts w:cs="Calibri Light" w:ascii="Calibri Light" w:hAnsi="Calibri Light"/>
          <w:sz w:val="16"/>
          <w:szCs w:val="16"/>
        </w:rPr>
        <w:t xml:space="preserve">Die ESA </w:t>
      </w:r>
      <w:r>
        <w:rPr>
          <w:rFonts w:cs="Calibri Light" w:ascii="Calibri Light" w:hAnsi="Calibri Light"/>
          <w:sz w:val="16"/>
          <w:szCs w:val="16"/>
          <w:lang w:val="de-DE"/>
        </w:rPr>
        <w:t xml:space="preserve">umfassen </w:t>
      </w:r>
      <w:r>
        <w:rPr>
          <w:rFonts w:cs="Calibri Light" w:ascii="Calibri Light" w:hAnsi="Calibri Light"/>
          <w:sz w:val="16"/>
          <w:szCs w:val="16"/>
        </w:rPr>
        <w:t xml:space="preserve">die Europäische Wertpapier- und Marktaufsichtsbehörde (ESMA), die Europäische Aufsichtsbehörde für das Versicherungswesen und die betriebliche Altersversorgung (EIOPA) und die Europäische </w:t>
      </w:r>
      <w:r>
        <w:rPr>
          <w:rFonts w:cs="Calibri Light" w:ascii="Calibri Light" w:hAnsi="Calibri Light"/>
          <w:sz w:val="16"/>
          <w:szCs w:val="16"/>
          <w:lang w:val="de-DE"/>
        </w:rPr>
        <w:t>Bankenaufsichtsbehörde</w:t>
      </w:r>
      <w:r>
        <w:rPr>
          <w:rFonts w:cs="Calibri Light" w:ascii="Calibri Light" w:hAnsi="Calibri Light"/>
          <w:sz w:val="16"/>
          <w:szCs w:val="16"/>
        </w:rPr>
        <w:t xml:space="preserve"> (EBA).</w:t>
      </w:r>
    </w:p>
  </w:footnote>
  <w:footnote w:id="3">
    <w:p>
      <w:pPr>
        <w:pStyle w:val="Funote"/>
        <w:rPr/>
      </w:pPr>
      <w:r>
        <w:rPr>
          <w:rStyle w:val="Funotenzeichen"/>
        </w:rPr>
        <w:footnoteRef/>
      </w:r>
      <w:r>
        <w:rPr>
          <w:rFonts w:cs="Calibri Light" w:ascii="Calibri Light" w:hAnsi="Calibri Light"/>
          <w:sz w:val="16"/>
          <w:szCs w:val="16"/>
        </w:rPr>
        <w:t xml:space="preserve"> </w:t>
      </w:r>
      <w:hyperlink r:id="rId1">
        <w:r>
          <w:rPr>
            <w:rStyle w:val="Internetverknpfung"/>
            <w:rFonts w:cs="Calibri Light" w:ascii="Calibri Light" w:hAnsi="Calibri Light"/>
            <w:sz w:val="16"/>
            <w:szCs w:val="16"/>
          </w:rPr>
          <w:t>Gemeinsames Positionspapier</w:t>
        </w:r>
      </w:hyperlink>
      <w:r>
        <w:rPr>
          <w:rFonts w:cs="Calibri Light" w:ascii="Calibri Light" w:hAnsi="Calibri Light"/>
          <w:sz w:val="16"/>
          <w:szCs w:val="16"/>
          <w:lang w:val="de-DE"/>
        </w:rPr>
        <w:t xml:space="preserve">  </w:t>
      </w:r>
      <w:r>
        <w:rPr>
          <w:rFonts w:cs="Calibri Light" w:ascii="Calibri Light" w:hAnsi="Calibri Light"/>
          <w:sz w:val="16"/>
          <w:szCs w:val="16"/>
        </w:rPr>
        <w:t>der EBA-</w:t>
      </w:r>
      <w:r>
        <w:rPr>
          <w:rFonts w:cs="Calibri Light" w:ascii="Calibri Light" w:hAnsi="Calibri Light"/>
          <w:sz w:val="16"/>
          <w:szCs w:val="16"/>
          <w:lang w:val="de-DE"/>
        </w:rPr>
        <w:t>Gruppe der Interessenvertreter</w:t>
      </w:r>
      <w:r>
        <w:rPr>
          <w:rFonts w:cs="Calibri Light" w:ascii="Calibri Light" w:hAnsi="Calibri Light"/>
          <w:sz w:val="16"/>
          <w:szCs w:val="16"/>
        </w:rPr>
        <w:t xml:space="preserve"> </w:t>
      </w:r>
      <w:r>
        <w:rPr>
          <w:rFonts w:cs="Calibri Light" w:ascii="Calibri Light" w:hAnsi="Calibri Light"/>
          <w:sz w:val="16"/>
          <w:szCs w:val="16"/>
          <w:lang w:val="de-DE"/>
        </w:rPr>
        <w:t xml:space="preserve">der </w:t>
      </w:r>
      <w:r>
        <w:rPr>
          <w:rFonts w:cs="Calibri Light" w:ascii="Calibri Light" w:hAnsi="Calibri Light"/>
          <w:sz w:val="16"/>
          <w:szCs w:val="16"/>
        </w:rPr>
        <w:t>Banken (</w:t>
      </w:r>
      <w:r>
        <w:rPr>
          <w:rFonts w:cs="Calibri Light" w:ascii="Calibri Light" w:hAnsi="Calibri Light"/>
          <w:sz w:val="16"/>
          <w:szCs w:val="16"/>
          <w:lang w:val="de-DE"/>
        </w:rPr>
        <w:t>Banking Stakeholder Group</w:t>
      </w:r>
      <w:r>
        <w:rPr>
          <w:rFonts w:cs="Calibri Light" w:ascii="Calibri Light" w:hAnsi="Calibri Light"/>
          <w:sz w:val="16"/>
          <w:szCs w:val="16"/>
        </w:rPr>
        <w:t xml:space="preserve">), der EIOPA-Interessengruppe </w:t>
      </w:r>
      <w:r>
        <w:rPr>
          <w:rFonts w:cs="Calibri Light" w:ascii="Calibri Light" w:hAnsi="Calibri Light"/>
          <w:sz w:val="16"/>
          <w:szCs w:val="16"/>
          <w:lang w:val="de-DE"/>
        </w:rPr>
        <w:t>Versicherungs- und Rückversicherungssektor</w:t>
      </w:r>
      <w:r>
        <w:rPr>
          <w:rFonts w:cs="Calibri Light" w:ascii="Calibri Light" w:hAnsi="Calibri Light"/>
          <w:sz w:val="16"/>
          <w:szCs w:val="16"/>
        </w:rPr>
        <w:t xml:space="preserve"> (</w:t>
      </w:r>
      <w:r>
        <w:rPr>
          <w:rStyle w:val="Betont"/>
          <w:rFonts w:cs="Calibri Light" w:ascii="Calibri Light" w:hAnsi="Calibri Light"/>
          <w:i w:val="false"/>
          <w:iCs w:val="false"/>
          <w:sz w:val="16"/>
          <w:szCs w:val="16"/>
        </w:rPr>
        <w:t>Insurance</w:t>
      </w:r>
      <w:r>
        <w:rPr>
          <w:rFonts w:cs="Calibri Light" w:ascii="Calibri Light" w:hAnsi="Calibri Light"/>
          <w:i w:val="false"/>
          <w:iCs w:val="false"/>
          <w:sz w:val="16"/>
          <w:szCs w:val="16"/>
        </w:rPr>
        <w:t xml:space="preserve"> </w:t>
      </w:r>
      <w:r>
        <w:rPr>
          <w:rFonts w:cs="Calibri Light" w:ascii="Calibri Light" w:hAnsi="Calibri Light"/>
          <w:i w:val="false"/>
          <w:iCs w:val="false"/>
          <w:sz w:val="16"/>
          <w:szCs w:val="16"/>
          <w:lang w:val="de-DE"/>
        </w:rPr>
        <w:t>and</w:t>
      </w:r>
      <w:r>
        <w:rPr>
          <w:rFonts w:cs="Calibri Light" w:ascii="Calibri Light" w:hAnsi="Calibri Light"/>
          <w:i w:val="false"/>
          <w:iCs w:val="false"/>
          <w:sz w:val="16"/>
          <w:szCs w:val="16"/>
        </w:rPr>
        <w:t xml:space="preserve"> </w:t>
      </w:r>
      <w:r>
        <w:rPr>
          <w:rStyle w:val="Betont"/>
          <w:rFonts w:cs="Calibri Light" w:ascii="Calibri Light" w:hAnsi="Calibri Light"/>
          <w:i w:val="false"/>
          <w:iCs w:val="false"/>
          <w:sz w:val="16"/>
          <w:szCs w:val="16"/>
        </w:rPr>
        <w:t>Reinsurance</w:t>
      </w:r>
      <w:r>
        <w:rPr>
          <w:rFonts w:cs="Calibri Light" w:ascii="Calibri Light" w:hAnsi="Calibri Light"/>
          <w:i w:val="false"/>
          <w:iCs w:val="false"/>
          <w:sz w:val="16"/>
          <w:szCs w:val="16"/>
        </w:rPr>
        <w:t xml:space="preserve"> </w:t>
      </w:r>
      <w:r>
        <w:rPr>
          <w:rFonts w:cs="Calibri Light" w:ascii="Calibri Light" w:hAnsi="Calibri Light"/>
          <w:sz w:val="16"/>
          <w:szCs w:val="16"/>
        </w:rPr>
        <w:t>Stakeholder Group</w:t>
      </w:r>
      <w:r>
        <w:rPr>
          <w:rFonts w:cs="Calibri Light" w:ascii="Calibri Light" w:hAnsi="Calibri Light"/>
          <w:sz w:val="16"/>
          <w:szCs w:val="16"/>
          <w:lang w:val="de-DE"/>
        </w:rPr>
        <w:t>,</w:t>
      </w:r>
      <w:r>
        <w:rPr>
          <w:rFonts w:cs="Calibri Light" w:ascii="Calibri Light" w:hAnsi="Calibri Light"/>
          <w:sz w:val="16"/>
          <w:szCs w:val="16"/>
        </w:rPr>
        <w:t xml:space="preserve"> ISRG) und der Interessengruppe Betriebliche Altersversorgung (</w:t>
      </w:r>
      <w:r>
        <w:rPr>
          <w:rStyle w:val="Betont"/>
          <w:rFonts w:cs="Calibri Light" w:ascii="Calibri Light" w:hAnsi="Calibri Light"/>
          <w:i w:val="false"/>
          <w:iCs w:val="false"/>
          <w:sz w:val="16"/>
          <w:szCs w:val="16"/>
        </w:rPr>
        <w:t>Occupational Pensions</w:t>
      </w:r>
      <w:r>
        <w:rPr>
          <w:rFonts w:cs="Calibri Light" w:ascii="Calibri Light" w:hAnsi="Calibri Light"/>
          <w:i w:val="false"/>
          <w:iCs w:val="false"/>
          <w:sz w:val="16"/>
          <w:szCs w:val="16"/>
        </w:rPr>
        <w:t xml:space="preserve"> Stakeholder </w:t>
      </w:r>
      <w:r>
        <w:rPr>
          <w:rFonts w:cs="Calibri Light" w:ascii="Calibri Light" w:hAnsi="Calibri Light"/>
          <w:i w:val="false"/>
          <w:iCs w:val="false"/>
          <w:sz w:val="16"/>
          <w:szCs w:val="16"/>
          <w:lang w:val="de-DE"/>
        </w:rPr>
        <w:t>Group</w:t>
      </w:r>
      <w:r>
        <w:rPr>
          <w:rFonts w:cs="Calibri Light" w:ascii="Calibri Light" w:hAnsi="Calibri Light"/>
          <w:sz w:val="16"/>
          <w:szCs w:val="16"/>
          <w:lang w:val="de-DE"/>
        </w:rPr>
        <w:t>, OPSG</w:t>
      </w:r>
      <w:r>
        <w:rPr>
          <w:rFonts w:cs="Calibri Light" w:ascii="Calibri Light" w:hAnsi="Calibri Light"/>
          <w:sz w:val="16"/>
          <w:szCs w:val="16"/>
        </w:rPr>
        <w:t>) sowie der ESMA-Interessengruppe Wertpapiere und Märkte (</w:t>
      </w:r>
      <w:r>
        <w:rPr>
          <w:rFonts w:cs="Calibri Light" w:ascii="Calibri Light" w:hAnsi="Calibri Light"/>
          <w:sz w:val="16"/>
          <w:szCs w:val="16"/>
          <w:lang w:val="de-DE"/>
        </w:rPr>
        <w:t>S</w:t>
      </w:r>
      <w:r>
        <w:rPr>
          <w:rFonts w:cs="Calibri Light" w:ascii="Calibri Light" w:hAnsi="Calibri Light"/>
          <w:sz w:val="16"/>
          <w:szCs w:val="16"/>
        </w:rPr>
        <w:t>ecurities and Markets Stakeholder Group</w:t>
      </w:r>
      <w:r>
        <w:rPr>
          <w:rFonts w:cs="Calibri Light" w:ascii="Calibri Light" w:hAnsi="Calibri Light"/>
          <w:sz w:val="16"/>
          <w:szCs w:val="16"/>
          <w:lang w:val="de-DE"/>
        </w:rPr>
        <w:t>, SMSG</w:t>
      </w:r>
      <w:r>
        <w:rPr>
          <w:rFonts w:cs="Calibri Light" w:ascii="Calibri Light" w:hAnsi="Calibri Light"/>
          <w:sz w:val="16"/>
          <w:szCs w:val="16"/>
        </w:rPr>
        <w:t>)</w:t>
      </w:r>
      <w:r>
        <w:rPr>
          <w:rFonts w:cs="Calibri Light" w:ascii="Calibri Light" w:hAnsi="Calibri Light"/>
          <w:sz w:val="16"/>
          <w:szCs w:val="16"/>
          <w:lang w:val="de-DE"/>
        </w:rPr>
        <w:t xml:space="preserve"> zur Überprüfung der Europäischen Aufsichtsbehörden (ESA)</w:t>
      </w:r>
    </w:p>
  </w:footnote>
  <w:footnote w:id="4">
    <w:p>
      <w:pPr>
        <w:pStyle w:val="Funote"/>
        <w:rPr>
          <w:lang w:val="nl-BE"/>
        </w:rPr>
      </w:pPr>
      <w:r>
        <w:rPr>
          <w:rStyle w:val="Funotenzeichen"/>
        </w:rPr>
        <w:footnoteRef/>
      </w:r>
      <w:hyperlink r:id="rId2">
        <w:r>
          <w:rPr>
            <w:rStyle w:val="Internetverknpfung"/>
            <w:rFonts w:cs="Calibri Light" w:ascii="Calibri Light" w:hAnsi="Calibri Light"/>
            <w:sz w:val="16"/>
            <w:szCs w:val="16"/>
            <w:lang w:val="nl-BE"/>
          </w:rPr>
          <w:t xml:space="preserve"> </w:t>
        </w:r>
      </w:hyperlink>
      <w:r>
        <w:rPr>
          <w:rFonts w:cs="Calibri Light" w:ascii="Calibri Light" w:hAnsi="Calibri Light"/>
          <w:sz w:val="16"/>
          <w:szCs w:val="16"/>
          <w:lang w:val="de-DE"/>
        </w:rPr>
        <w:t>Interessen</w:t>
      </w:r>
      <w:r>
        <w:rPr>
          <w:rFonts w:cs="Calibri Light" w:ascii="Calibri Light" w:hAnsi="Calibri Light"/>
          <w:sz w:val="16"/>
          <w:szCs w:val="16"/>
          <w:lang w:val="nl-BE"/>
        </w:rPr>
        <w:t xml:space="preserve">gruppe </w:t>
      </w:r>
      <w:hyperlink r:id="rId3">
        <w:r>
          <w:rPr>
            <w:rStyle w:val="Internetverknpfung"/>
            <w:rFonts w:cs="Calibri Light" w:ascii="Calibri Light" w:hAnsi="Calibri Light"/>
            <w:sz w:val="16"/>
            <w:szCs w:val="16"/>
            <w:lang w:val="de-DE"/>
          </w:rPr>
          <w:t>Versicherungs- und Rückversicherungsssektor</w:t>
        </w:r>
      </w:hyperlink>
    </w:p>
  </w:footnote>
  <w:footnote w:id="5">
    <w:p>
      <w:pPr>
        <w:pStyle w:val="Funote"/>
        <w:rPr>
          <w:lang w:val="nl-BE"/>
        </w:rPr>
      </w:pPr>
      <w:r>
        <w:rPr>
          <w:rStyle w:val="Funotenzeichen"/>
        </w:rPr>
        <w:footnoteRef/>
      </w:r>
      <w:hyperlink r:id="rId4">
        <w:r>
          <w:rPr>
            <w:rStyle w:val="Internetverknpfung"/>
            <w:rFonts w:cs="Calibri Light" w:ascii="Calibri Light" w:hAnsi="Calibri Light"/>
            <w:sz w:val="16"/>
            <w:szCs w:val="16"/>
            <w:lang w:val="nl-BE"/>
          </w:rPr>
          <w:t xml:space="preserve"> </w:t>
        </w:r>
      </w:hyperlink>
      <w:r>
        <w:rPr>
          <w:rFonts w:cs="Calibri Light" w:ascii="Calibri Light" w:hAnsi="Calibri Light"/>
          <w:sz w:val="16"/>
          <w:szCs w:val="16"/>
          <w:lang w:val="de-DE"/>
        </w:rPr>
        <w:t>Interessengruppe</w:t>
      </w:r>
      <w:r>
        <w:rPr>
          <w:rFonts w:cs="Calibri Light" w:ascii="Calibri Light" w:hAnsi="Calibri Light"/>
          <w:sz w:val="16"/>
          <w:szCs w:val="16"/>
          <w:lang w:val="nl-BE"/>
        </w:rPr>
        <w:t xml:space="preserve"> für die </w:t>
      </w:r>
      <w:hyperlink r:id="rId5">
        <w:r>
          <w:rPr>
            <w:rStyle w:val="Internetverknpfung"/>
            <w:rFonts w:cs="Calibri Light" w:ascii="Calibri Light" w:hAnsi="Calibri Light"/>
            <w:sz w:val="16"/>
            <w:szCs w:val="16"/>
            <w:lang w:val="nl-BE"/>
          </w:rPr>
          <w:t>betriebliche Altersversorgung</w:t>
        </w:r>
      </w:hyperlink>
    </w:p>
  </w:footnote>
  <w:footnote w:id="6">
    <w:p>
      <w:pPr>
        <w:pStyle w:val="Funote"/>
        <w:rPr>
          <w:lang w:val="nl-BE"/>
        </w:rPr>
      </w:pPr>
      <w:r>
        <w:rPr>
          <w:rStyle w:val="Funotenzeichen"/>
        </w:rPr>
        <w:footnoteRef/>
      </w:r>
      <w:hyperlink r:id="rId6">
        <w:r>
          <w:rPr>
            <w:rStyle w:val="Internetverknpfung"/>
            <w:rFonts w:eastAsia="Calibri" w:cs="Calibri Light" w:ascii="Calibri Light" w:hAnsi="Calibri Light"/>
            <w:color w:val="auto"/>
            <w:kern w:val="0"/>
            <w:sz w:val="16"/>
            <w:szCs w:val="16"/>
            <w:u w:val="none"/>
            <w:lang w:val="de-DE" w:eastAsia="en-US" w:bidi="ar-SA"/>
          </w:rPr>
          <w:t xml:space="preserve"> </w:t>
        </w:r>
      </w:hyperlink>
      <w:r>
        <w:rPr>
          <w:rStyle w:val="Internetverknpfung"/>
          <w:rFonts w:eastAsia="Calibri" w:cs="Calibri Light" w:ascii="Calibri Light" w:hAnsi="Calibri Light"/>
          <w:color w:val="auto"/>
          <w:kern w:val="0"/>
          <w:sz w:val="16"/>
          <w:szCs w:val="16"/>
          <w:u w:val="none"/>
          <w:lang w:val="de-DE" w:eastAsia="en-US" w:bidi="ar-SA"/>
        </w:rPr>
        <w:t xml:space="preserve">Gruppe der Interessenvertreter der </w:t>
      </w:r>
      <w:hyperlink r:id="rId7">
        <w:r>
          <w:rPr>
            <w:rStyle w:val="Internetverknpfung"/>
            <w:rFonts w:cs="Calibri Light" w:ascii="Calibri Light" w:hAnsi="Calibri Light"/>
            <w:sz w:val="16"/>
            <w:szCs w:val="16"/>
            <w:lang w:val="de-DE"/>
          </w:rPr>
          <w:t>Banken</w:t>
        </w:r>
      </w:hyperlink>
    </w:p>
  </w:footnote>
  <w:footnote w:id="7">
    <w:p>
      <w:pPr>
        <w:pStyle w:val="Funote"/>
        <w:rPr>
          <w:lang w:val="nl-BE"/>
        </w:rPr>
      </w:pPr>
      <w:r>
        <w:rPr>
          <w:rStyle w:val="Funotenzeichen"/>
        </w:rPr>
        <w:footnoteRef/>
      </w:r>
      <w:hyperlink r:id="rId8">
        <w:r>
          <w:rPr>
            <w:rStyle w:val="Internetverknpfung"/>
            <w:rFonts w:cs="Calibri Light" w:ascii="Calibri Light" w:hAnsi="Calibri Light"/>
            <w:sz w:val="16"/>
            <w:szCs w:val="16"/>
            <w:lang w:val="nl-BE"/>
          </w:rPr>
          <w:t xml:space="preserve"> </w:t>
        </w:r>
      </w:hyperlink>
      <w:r>
        <w:rPr>
          <w:rFonts w:cs="Calibri Light" w:ascii="Calibri Light" w:hAnsi="Calibri Light"/>
          <w:sz w:val="16"/>
          <w:szCs w:val="16"/>
          <w:lang w:val="de-DE"/>
        </w:rPr>
        <w:t xml:space="preserve">Interessengruppe </w:t>
      </w:r>
      <w:hyperlink r:id="rId9">
        <w:r>
          <w:rPr>
            <w:rStyle w:val="Internetverknpfung"/>
            <w:rFonts w:cs="Calibri Light" w:ascii="Calibri Light" w:hAnsi="Calibri Light"/>
            <w:sz w:val="16"/>
            <w:szCs w:val="16"/>
            <w:lang w:val="nl-BE"/>
          </w:rPr>
          <w:t>Wertpapiere und Märkte</w:t>
        </w:r>
      </w:hyperlink>
    </w:p>
  </w:footnote>
  <w:footnote w:id="8">
    <w:p>
      <w:pPr>
        <w:pStyle w:val="Funote"/>
        <w:rPr>
          <w:lang w:val="nl-BE"/>
        </w:rPr>
      </w:pPr>
      <w:r>
        <w:rPr>
          <w:rStyle w:val="Funotenzeichen"/>
        </w:rPr>
        <w:footnoteRef/>
      </w:r>
      <w:r>
        <w:rPr>
          <w:rFonts w:cs="Calibri Light" w:ascii="Calibri Light" w:hAnsi="Calibri Light"/>
          <w:sz w:val="16"/>
          <w:szCs w:val="16"/>
          <w:lang w:val="nl-BE"/>
        </w:rPr>
        <w:t xml:space="preserve"> </w:t>
      </w:r>
      <w:r>
        <w:rPr>
          <w:rFonts w:cs="Calibri Light" w:ascii="Calibri Light" w:hAnsi="Calibri Light"/>
          <w:sz w:val="16"/>
          <w:szCs w:val="16"/>
          <w:lang w:val="nl-BE"/>
        </w:rPr>
        <w:t xml:space="preserve">Siehe hier die </w:t>
      </w:r>
      <w:r>
        <w:rPr>
          <w:rFonts w:cs="Calibri Light" w:ascii="Calibri Light" w:hAnsi="Calibri Light"/>
          <w:sz w:val="16"/>
          <w:szCs w:val="16"/>
          <w:lang w:val="de-DE"/>
        </w:rPr>
        <w:t xml:space="preserve">Stellungnahme </w:t>
      </w:r>
      <w:r>
        <w:rPr>
          <w:rFonts w:cs="Calibri Light" w:ascii="Calibri Light" w:hAnsi="Calibri Light"/>
          <w:sz w:val="16"/>
          <w:szCs w:val="16"/>
          <w:lang w:val="nl-BE"/>
        </w:rPr>
        <w:t xml:space="preserve">von BETTER FINANCE: </w:t>
      </w:r>
      <w:hyperlink r:id="rId10">
        <w:r>
          <w:rPr>
            <w:rStyle w:val="Internetverknpfung"/>
            <w:rFonts w:cs="Calibri Light" w:ascii="Calibri Light" w:hAnsi="Calibri Light"/>
            <w:sz w:val="16"/>
            <w:szCs w:val="16"/>
            <w:lang w:val="nl-BE"/>
          </w:rPr>
          <w:t>Allianzbrief</w:t>
        </w:r>
      </w:hyperlink>
      <w:r>
        <w:rPr>
          <w:rFonts w:cs="Calibri Light" w:ascii="Calibri Light" w:hAnsi="Calibri Light"/>
          <w:sz w:val="16"/>
          <w:szCs w:val="16"/>
          <w:lang w:val="de-DE"/>
        </w:rPr>
        <w:t xml:space="preserve"> an</w:t>
      </w:r>
      <w:r>
        <w:rPr>
          <w:rFonts w:cs="Calibri Light" w:ascii="Calibri Light" w:hAnsi="Calibri Light"/>
          <w:sz w:val="16"/>
          <w:szCs w:val="16"/>
          <w:lang w:val="nl-BE"/>
        </w:rPr>
        <w:t xml:space="preserve"> das EP, die EK und den EU-Rat zur Reform der Europäischen Aufsichtsbehörden und zum finanziellen Verbraucherschutz</w:t>
      </w:r>
    </w:p>
  </w:footnote>
  <w:footnote w:id="9">
    <w:p>
      <w:pPr>
        <w:pStyle w:val="Funote"/>
        <w:rPr>
          <w:lang w:val="nl-BE"/>
        </w:rPr>
      </w:pPr>
      <w:r>
        <w:rPr>
          <w:rStyle w:val="Funotenzeichen"/>
        </w:rPr>
        <w:footnoteRef/>
      </w:r>
      <w:r>
        <w:rPr>
          <w:rFonts w:cs="Calibri Light" w:ascii="Calibri Light" w:hAnsi="Calibri Light"/>
          <w:sz w:val="18"/>
          <w:szCs w:val="18"/>
          <w:lang w:val="nl-BE"/>
        </w:rPr>
        <w:t xml:space="preserve"> </w:t>
      </w:r>
      <w:hyperlink r:id="rId11">
        <w:r>
          <w:rPr>
            <w:rStyle w:val="Internetverknpfung"/>
            <w:rFonts w:cs="Calibri Light" w:ascii="Calibri Light" w:hAnsi="Calibri Light"/>
            <w:sz w:val="18"/>
            <w:szCs w:val="18"/>
            <w:lang w:val="nl-BE"/>
          </w:rPr>
          <w:t>Abschlussbericht</w:t>
        </w:r>
      </w:hyperlink>
      <w:r>
        <w:rPr>
          <w:rFonts w:cs="Calibri Light" w:ascii="Calibri Light" w:hAnsi="Calibri Light"/>
          <w:sz w:val="18"/>
          <w:szCs w:val="18"/>
          <w:lang w:val="de-DE"/>
        </w:rPr>
        <w:t xml:space="preserve"> des</w:t>
      </w:r>
      <w:r>
        <w:rPr>
          <w:rFonts w:cs="Calibri Light" w:ascii="Calibri Light" w:hAnsi="Calibri Light"/>
          <w:sz w:val="18"/>
          <w:szCs w:val="18"/>
          <w:lang w:val="nl-BE"/>
        </w:rPr>
        <w:t xml:space="preserve"> Hochrangigen Forums </w:t>
      </w:r>
      <w:r>
        <w:rPr>
          <w:rFonts w:cs="Calibri Light" w:ascii="Calibri Light" w:hAnsi="Calibri Light"/>
          <w:sz w:val="18"/>
          <w:szCs w:val="18"/>
          <w:lang w:val="de-DE"/>
        </w:rPr>
        <w:t>zur</w:t>
      </w:r>
      <w:r>
        <w:rPr>
          <w:rFonts w:cs="Calibri Light" w:ascii="Calibri Light" w:hAnsi="Calibri Light"/>
          <w:sz w:val="18"/>
          <w:szCs w:val="18"/>
          <w:lang w:val="nl-BE"/>
        </w:rPr>
        <w:t xml:space="preserve"> Kapitalmarktunion - Eine neue Vision für Europas Kapitalmärkte, S. 119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2564130</wp:posOffset>
          </wp:positionH>
          <wp:positionV relativeFrom="paragraph">
            <wp:posOffset>-189230</wp:posOffset>
          </wp:positionV>
          <wp:extent cx="3138170" cy="645160"/>
          <wp:effectExtent l="0" t="0" r="0" b="0"/>
          <wp:wrapSquare wrapText="bothSides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817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rPr/>
    </w:pPr>
    <w:r>
      <w:rPr/>
    </w:r>
  </w:p>
  <w:p>
    <w:pPr>
      <w:pStyle w:val="Kopfzeile"/>
      <w:rPr>
        <w:sz w:val="12"/>
        <w:szCs w:val="12"/>
      </w:rPr>
    </w:pPr>
    <w:r>
      <w:rPr>
        <w:sz w:val="12"/>
        <w:szCs w:val="12"/>
      </w:rPr>
    </w:r>
  </w:p>
  <w:p>
    <w:pPr>
      <w:pStyle w:val="Kopfzeile"/>
      <w:rPr>
        <w:sz w:val="12"/>
        <w:szCs w:val="12"/>
      </w:rPr>
    </w:pPr>
    <w:r>
      <w:rPr>
        <w:sz w:val="12"/>
        <w:szCs w:val="12"/>
      </w:rPr>
    </w:r>
  </w:p>
  <w:p>
    <w:pPr>
      <w:pStyle w:val="Kopfzeile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B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Arial"/>
      <w:color w:val="auto"/>
      <w:kern w:val="0"/>
      <w:sz w:val="22"/>
      <w:szCs w:val="22"/>
      <w:lang w:val="en-GB" w:eastAsia="en-US" w:bidi="ar-SA"/>
    </w:rPr>
  </w:style>
  <w:style w:type="paragraph" w:styleId="Berschrift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mbria" w:hAnsi="Cambria" w:eastAsia="SimSun" w:cs="Times New Roman"/>
      <w:color w:val="365F91"/>
      <w:sz w:val="32"/>
      <w:szCs w:val="32"/>
    </w:rPr>
  </w:style>
  <w:style w:type="paragraph" w:styleId="Berschrift2">
    <w:name w:val="Heading 2"/>
    <w:basedOn w:val="Normal"/>
    <w:next w:val="Normal"/>
    <w:uiPriority w:val="9"/>
    <w:unhideWhenUsed/>
    <w:qFormat/>
    <w:pPr>
      <w:keepNext w:val="true"/>
      <w:keepLines/>
      <w:spacing w:before="40" w:after="0"/>
      <w:outlineLvl w:val="1"/>
    </w:pPr>
    <w:rPr>
      <w:rFonts w:ascii="Cambria" w:hAnsi="Cambria" w:eastAsia="SimSun" w:cs="Times New Roman"/>
      <w:color w:val="365F9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odyTextChar" w:customStyle="1">
    <w:name w:val="Body Text Char"/>
    <w:basedOn w:val="DefaultParagraphFont"/>
    <w:qFormat/>
    <w:rPr>
      <w:rFonts w:ascii="Tahoma" w:hAnsi="Tahoma" w:eastAsia="Times New Roman" w:cs="Times New Roman"/>
      <w:spacing w:val="10"/>
      <w:sz w:val="17"/>
      <w:szCs w:val="20"/>
      <w:lang w:val="en-US"/>
    </w:rPr>
  </w:style>
  <w:style w:type="character" w:styleId="TitleChar" w:customStyle="1">
    <w:name w:val="Title Char"/>
    <w:basedOn w:val="DefaultParagraphFont"/>
    <w:qFormat/>
    <w:rPr>
      <w:rFonts w:ascii="Cambria" w:hAnsi="Cambria" w:eastAsia="SimSun" w:cs="Times New Roman"/>
      <w:spacing w:val="-10"/>
      <w:kern w:val="2"/>
      <w:sz w:val="56"/>
      <w:szCs w:val="56"/>
    </w:rPr>
  </w:style>
  <w:style w:type="character" w:styleId="BalloonTextChar" w:customStyle="1">
    <w:name w:val="Balloon Text Char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sz w:val="20"/>
      <w:szCs w:val="20"/>
    </w:rPr>
  </w:style>
  <w:style w:type="character" w:styleId="CommentSubjectChar" w:customStyle="1">
    <w:name w:val="Comment Subject Char"/>
    <w:basedOn w:val="CommentTextChar"/>
    <w:qFormat/>
    <w:rPr>
      <w:b/>
      <w:bCs/>
      <w:sz w:val="20"/>
      <w:szCs w:val="20"/>
    </w:rPr>
  </w:style>
  <w:style w:type="character" w:styleId="FootnoteTextChar" w:customStyle="1">
    <w:name w:val="Footnote Text Char"/>
    <w:basedOn w:val="DefaultParagraphFont"/>
    <w:qFormat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rPr>
      <w:color w:val="800080"/>
      <w:u w:val="single"/>
    </w:rPr>
  </w:style>
  <w:style w:type="character" w:styleId="Heading2Char" w:customStyle="1">
    <w:name w:val="Heading 2 Char"/>
    <w:basedOn w:val="DefaultParagraphFont"/>
    <w:qFormat/>
    <w:rPr>
      <w:rFonts w:ascii="Cambria" w:hAnsi="Cambria" w:eastAsia="SimSun" w:cs="Times New Roman"/>
      <w:color w:val="365F91"/>
      <w:sz w:val="26"/>
      <w:szCs w:val="26"/>
    </w:rPr>
  </w:style>
  <w:style w:type="character" w:styleId="Heading1Char" w:customStyle="1">
    <w:name w:val="Heading 1 Char"/>
    <w:basedOn w:val="DefaultParagraphFont"/>
    <w:qFormat/>
    <w:rPr>
      <w:rFonts w:ascii="Cambria" w:hAnsi="Cambria" w:eastAsia="SimSun" w:cs="Times New Roman"/>
      <w:color w:val="365F91"/>
      <w:sz w:val="32"/>
      <w:szCs w:val="32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exact" w:line="240"/>
    </w:pPr>
    <w:rPr>
      <w:rFonts w:ascii="Tahoma" w:hAnsi="Tahoma" w:eastAsia="Times New Roman" w:cs="Times New Roman"/>
      <w:spacing w:val="10"/>
      <w:sz w:val="17"/>
      <w:szCs w:val="20"/>
      <w:lang w:val="en-US"/>
    </w:rPr>
  </w:style>
  <w:style w:type="paragraph" w:styleId="Liste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el">
    <w:name w:val="Title"/>
    <w:basedOn w:val="Normal"/>
    <w:next w:val="Normal"/>
    <w:uiPriority w:val="10"/>
    <w:qFormat/>
    <w:pPr>
      <w:spacing w:lineRule="auto" w:line="240" w:before="0" w:after="0"/>
    </w:pPr>
    <w:rPr>
      <w:rFonts w:ascii="Cambria" w:hAnsi="Cambria" w:eastAsia="SimSun" w:cs="Times New Roman"/>
      <w:spacing w:val="-10"/>
      <w:kern w:val="2"/>
      <w:sz w:val="56"/>
      <w:szCs w:val="56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Fu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color w:val="000000"/>
      <w:kern w:val="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etterfinance.eu/publication/alliance-letter-to-the-ep-ec-eu-council-on-the-reform-of-the-european-supervisory-authorities-and-financial-consumer-protection-factual-mistake-in-the-revision-of-the-eiopa-regulation-to-the-detr/" TargetMode="External"/><Relationship Id="rId4" Type="http://schemas.openxmlformats.org/officeDocument/2006/relationships/hyperlink" Target="https://betterfinance.eu/wp-content/uploads/PR_-_EIOPA_IRSG___OPSG_-_19072018.pdf" TargetMode="External"/><Relationship Id="rId5" Type="http://schemas.openxmlformats.org/officeDocument/2006/relationships/hyperlink" Target="mailto:houdmont@betterfinance.e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rofinuse.org/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esma.europa.eu/sites/default/files/library/esma22-106-2053-joint_opinion_esa_review.pdf" TargetMode="External"/><Relationship Id="rId2" Type="http://schemas.openxmlformats.org/officeDocument/2006/relationships/hyperlink" Target="https://www.eiopa.europa.eu/about/working-stakeholders/insurance-and-reinsurance-stakeholder-group_en" TargetMode="External"/><Relationship Id="rId3" Type="http://schemas.openxmlformats.org/officeDocument/2006/relationships/hyperlink" Target="https://www.eiopa.europa.eu/about/working-stakeholders/insurance-and-reinsurance-stakeholder-group_en" TargetMode="External"/><Relationship Id="rId4" Type="http://schemas.openxmlformats.org/officeDocument/2006/relationships/hyperlink" Target="https://www.eiopa.europa.eu/about/working-stakeholders/occupational-pensions-stakeholder-group_en" TargetMode="External"/><Relationship Id="rId5" Type="http://schemas.openxmlformats.org/officeDocument/2006/relationships/hyperlink" Target="https://www.eiopa.europa.eu/about/working-stakeholders/occupational-pensions-stakeholder-group_en" TargetMode="External"/><Relationship Id="rId6" Type="http://schemas.openxmlformats.org/officeDocument/2006/relationships/hyperlink" Target="https://eba.europa.eu/about-us/organisation/banking-stakeholder-group" TargetMode="External"/><Relationship Id="rId7" Type="http://schemas.openxmlformats.org/officeDocument/2006/relationships/hyperlink" Target="https://eba.europa.eu/about-us/organisation/banking-stakeholder-group" TargetMode="External"/><Relationship Id="rId8" Type="http://schemas.openxmlformats.org/officeDocument/2006/relationships/hyperlink" Target="https://www.esma.europa.eu/about-esma/governance/smsg" TargetMode="External"/><Relationship Id="rId9" Type="http://schemas.openxmlformats.org/officeDocument/2006/relationships/hyperlink" Target="https://www.esma.europa.eu/about-esma/governance/smsg" TargetMode="External"/><Relationship Id="rId10" Type="http://schemas.openxmlformats.org/officeDocument/2006/relationships/hyperlink" Target="https://betterfinance.eu/publication/alliance-letter-to-the-ep-ec-eu-council-on-the-reform-of-the-european-supervisory-authorities-and-financial-consumer-protection-factual-mistake-in-the-revision-of-the-eiopa-regulation-to-the-detr/" TargetMode="External"/><Relationship Id="rId11" Type="http://schemas.openxmlformats.org/officeDocument/2006/relationships/hyperlink" Target="https://ec.europa.eu/info/files/200610-cmu-high-level-forum-final-report_en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84854-90EA-47E1-A45A-8256A3222EF0}"/>
</file>

<file path=customXml/itemProps2.xml><?xml version="1.0" encoding="utf-8"?>
<ds:datastoreItem xmlns:ds="http://schemas.openxmlformats.org/officeDocument/2006/customXml" ds:itemID="{1E1DC5D0-8E24-4660-9810-A9BB47859736}"/>
</file>

<file path=customXml/itemProps3.xml><?xml version="1.0" encoding="utf-8"?>
<ds:datastoreItem xmlns:ds="http://schemas.openxmlformats.org/officeDocument/2006/customXml" ds:itemID="{800609CC-E7C1-4182-8582-AF2FD7901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LibreOffice/6.4.6.2$Windows_X86_64 LibreOffice_project/0ce51a4fd21bff07a5c061082cc82c5ed232f115</Application>
  <Pages>2</Pages>
  <Words>1016</Words>
  <Characters>7192</Characters>
  <CharactersWithSpaces>8161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2020-11-19T18:54:00Z</dcterms:created>
  <dc:creator>Arnaud Houdmont</dc:creator>
  <dc:description/>
  <dc:language>de-DE</dc:language>
  <cp:lastModifiedBy/>
  <cp:lastPrinted>2020-12-20T20:30:59Z</cp:lastPrinted>
  <dcterms:modified xsi:type="dcterms:W3CDTF">2020-12-20T20:56:08Z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0x010100B5308A9776426D41840A8C2CCB15B3F3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