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extkrper"/>
        <w:spacing w:lineRule="auto" w:line="312" w:before="0" w:after="0"/>
        <w:jc w:val="both"/>
        <w:rPr>
          <w:lang w:val="nl-BE"/>
        </w:rPr>
      </w:pPr>
      <w:bookmarkStart w:id="0" w:name="_Hlk4143464"/>
      <w:r>
        <w:rPr>
          <w:rStyle w:val="Strong"/>
          <w:sz w:val="20"/>
          <w:szCs w:val="22"/>
          <w:lang w:val="nl-BE"/>
        </w:rPr>
        <w:t xml:space="preserve">PRESSEMITTEILUNG </w:t>
      </w:r>
    </w:p>
    <w:p>
      <w:pPr>
        <w:pStyle w:val="Textkrper"/>
        <w:spacing w:lineRule="auto" w:line="240" w:before="0" w:after="80"/>
        <w:jc w:val="both"/>
        <w:rPr>
          <w:lang w:val="nl-BE"/>
        </w:rPr>
      </w:pPr>
      <w:r>
        <w:rPr>
          <w:rFonts w:eastAsia="Calibri" w:cs="Arial" w:ascii="Cambria" w:hAnsi="Cambria"/>
          <w:b/>
          <w:smallCaps/>
          <w:color w:val="365F91"/>
          <w:spacing w:val="20"/>
          <w:kern w:val="2"/>
          <w:sz w:val="32"/>
          <w:szCs w:val="30"/>
          <w:lang w:val="nl-BE"/>
        </w:rPr>
        <w:t xml:space="preserve">Je mehr </w:t>
      </w:r>
      <w:r>
        <w:rPr>
          <w:rFonts w:eastAsia="Calibri" w:cs="Arial" w:ascii="Cambria" w:hAnsi="Cambria"/>
          <w:b/>
          <w:smallCaps/>
          <w:color w:val="365F91"/>
          <w:spacing w:val="20"/>
          <w:kern w:val="2"/>
          <w:sz w:val="32"/>
          <w:szCs w:val="30"/>
          <w:lang w:val="de-DE"/>
        </w:rPr>
        <w:t>s</w:t>
      </w:r>
      <w:r>
        <w:rPr>
          <w:rFonts w:eastAsia="Calibri" w:cs="Arial" w:ascii="Cambria" w:hAnsi="Cambria"/>
          <w:b/>
          <w:smallCaps/>
          <w:color w:val="365F91"/>
          <w:spacing w:val="20"/>
          <w:kern w:val="2"/>
          <w:sz w:val="32"/>
          <w:szCs w:val="30"/>
          <w:lang w:val="nl-BE"/>
        </w:rPr>
        <w:t xml:space="preserve">ie </w:t>
      </w:r>
      <w:r>
        <w:rPr>
          <w:rFonts w:eastAsia="Calibri" w:cs="Arial" w:ascii="Cambria" w:hAnsi="Cambria"/>
          <w:b/>
          <w:smallCaps/>
          <w:color w:val="365F91"/>
          <w:spacing w:val="20"/>
          <w:kern w:val="2"/>
          <w:sz w:val="32"/>
          <w:szCs w:val="30"/>
          <w:lang w:val="de-DE"/>
        </w:rPr>
        <w:t>be</w:t>
      </w:r>
      <w:r>
        <w:rPr>
          <w:rFonts w:eastAsia="Calibri" w:cs="Arial" w:ascii="Cambria" w:hAnsi="Cambria"/>
          <w:b/>
          <w:smallCaps/>
          <w:color w:val="365F91"/>
          <w:spacing w:val="20"/>
          <w:kern w:val="2"/>
          <w:sz w:val="32"/>
          <w:szCs w:val="30"/>
          <w:lang w:val="nl-BE"/>
        </w:rPr>
        <w:t xml:space="preserve">zahlen, desto weniger </w:t>
      </w:r>
      <w:r>
        <w:rPr>
          <w:rFonts w:eastAsia="Calibri" w:cs="Arial" w:ascii="Cambria" w:hAnsi="Cambria"/>
          <w:b/>
          <w:smallCaps/>
          <w:color w:val="365F91"/>
          <w:spacing w:val="20"/>
          <w:kern w:val="2"/>
          <w:sz w:val="32"/>
          <w:szCs w:val="30"/>
          <w:lang w:val="de-DE"/>
        </w:rPr>
        <w:t>können sie erwarten</w:t>
      </w:r>
    </w:p>
    <w:p>
      <w:pPr>
        <w:pStyle w:val="Berschrift2"/>
        <w:spacing w:before="40" w:after="8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Neue </w:t>
      </w:r>
      <w:r>
        <w:rPr>
          <w:sz w:val="24"/>
          <w:szCs w:val="24"/>
          <w:lang w:val="de-DE"/>
        </w:rPr>
        <w:t>Studien</w:t>
      </w:r>
      <w:r>
        <w:rPr>
          <w:sz w:val="24"/>
          <w:szCs w:val="24"/>
          <w:lang w:val="nl-BE"/>
        </w:rPr>
        <w:t xml:space="preserve"> von BETTER FINANCE über </w:t>
      </w:r>
      <w:r>
        <w:rPr>
          <w:sz w:val="24"/>
          <w:szCs w:val="24"/>
          <w:lang w:val="de-DE"/>
        </w:rPr>
        <w:t>die Wechselbeziehung</w:t>
      </w:r>
      <w:r>
        <w:rPr>
          <w:sz w:val="24"/>
          <w:szCs w:val="24"/>
          <w:lang w:val="nl-BE"/>
        </w:rPr>
        <w:t xml:space="preserve"> zwischen </w:t>
      </w:r>
      <w:r>
        <w:rPr>
          <w:sz w:val="24"/>
          <w:szCs w:val="24"/>
          <w:lang w:val="de-DE"/>
        </w:rPr>
        <w:t xml:space="preserve">den </w:t>
      </w:r>
      <w:r>
        <w:rPr>
          <w:sz w:val="24"/>
          <w:szCs w:val="24"/>
          <w:lang w:val="nl-BE"/>
        </w:rPr>
        <w:t xml:space="preserve">Kosten und </w:t>
      </w:r>
      <w:r>
        <w:rPr>
          <w:sz w:val="24"/>
          <w:szCs w:val="24"/>
          <w:lang w:val="de-DE"/>
        </w:rPr>
        <w:t>der Wertentwicklung</w:t>
      </w:r>
      <w:r>
        <w:rPr>
          <w:sz w:val="24"/>
          <w:szCs w:val="24"/>
          <w:lang w:val="nl-BE"/>
        </w:rPr>
        <w:t xml:space="preserve"> von EU-Aktienfonds für Privatanleger </w:t>
      </w:r>
      <w:r>
        <w:rPr>
          <w:sz w:val="24"/>
          <w:szCs w:val="24"/>
          <w:lang w:val="de-DE"/>
        </w:rPr>
        <w:t xml:space="preserve">belegen ohne jeden Zweifel die </w:t>
      </w:r>
      <w:r>
        <w:rPr>
          <w:sz w:val="24"/>
          <w:szCs w:val="24"/>
          <w:lang w:val="nl-BE"/>
        </w:rPr>
        <w:t>negative</w:t>
      </w:r>
      <w:r>
        <w:rPr>
          <w:sz w:val="24"/>
          <w:szCs w:val="24"/>
          <w:lang w:val="de-DE"/>
        </w:rPr>
        <w:t xml:space="preserve"> Wechselbeziehung</w:t>
      </w:r>
      <w:r>
        <w:rPr>
          <w:sz w:val="24"/>
          <w:szCs w:val="24"/>
          <w:lang w:val="nl-BE"/>
        </w:rPr>
        <w:t xml:space="preserve"> zwischen Renditen und Gebühren</w:t>
      </w:r>
    </w:p>
    <w:p>
      <w:pPr>
        <w:pStyle w:val="Normal"/>
        <w:spacing w:before="0" w:after="80"/>
        <w:jc w:val="both"/>
        <w:rPr>
          <w:lang w:val="nl-BE"/>
        </w:rPr>
      </w:pPr>
      <w:r>
        <w:rPr>
          <w:rFonts w:ascii="Cambria" w:hAnsi="Cambria"/>
          <w:b/>
          <w:lang w:val="nl-BE"/>
        </w:rPr>
        <w:t xml:space="preserve">Brüssel, 20. Juni 2019 – </w:t>
      </w:r>
      <w:r>
        <w:rPr>
          <w:rFonts w:ascii="Cambria" w:hAnsi="Cambria"/>
          <w:b/>
          <w:lang w:val="en-GB"/>
        </w:rPr>
        <w:t xml:space="preserve"> </w:t>
      </w:r>
      <w:bookmarkEnd w:id="0"/>
      <w:r>
        <w:rPr>
          <w:rFonts w:ascii="Cambria" w:hAnsi="Cambria"/>
          <w:lang w:val="nl-BE"/>
        </w:rPr>
        <w:t xml:space="preserve">Es ist allgemein bekannt, dass </w:t>
      </w:r>
      <w:r>
        <w:rPr>
          <w:rFonts w:ascii="Cambria" w:hAnsi="Cambria"/>
          <w:lang w:val="de-DE"/>
        </w:rPr>
        <w:t xml:space="preserve">man </w:t>
      </w:r>
      <w:r>
        <w:rPr>
          <w:rFonts w:ascii="Cambria" w:hAnsi="Cambria"/>
          <w:lang w:val="nl-BE"/>
        </w:rPr>
        <w:t xml:space="preserve">auf ein sehr aktives Management </w:t>
      </w:r>
      <w:r>
        <w:rPr>
          <w:rFonts w:ascii="Cambria" w:hAnsi="Cambria"/>
          <w:lang w:val="de-DE"/>
        </w:rPr>
        <w:t>zurückgreifen</w:t>
      </w:r>
      <w:r>
        <w:rPr>
          <w:rFonts w:ascii="Cambria" w:hAnsi="Cambria"/>
          <w:lang w:val="nl-BE"/>
        </w:rPr>
        <w:t xml:space="preserve"> muss, wenn man den Markt schlagen will ... </w:t>
      </w:r>
      <w:r>
        <w:rPr>
          <w:rFonts w:ascii="Cambria" w:hAnsi="Cambria"/>
          <w:lang w:val="en-GB"/>
        </w:rPr>
        <w:t xml:space="preserve">doch das </w:t>
      </w:r>
      <w:r>
        <w:rPr>
          <w:rFonts w:ascii="Cambria" w:hAnsi="Cambria"/>
          <w:lang w:val="de-DE"/>
        </w:rPr>
        <w:t>hat</w:t>
      </w:r>
      <w:r>
        <w:rPr>
          <w:rFonts w:ascii="Cambria" w:hAnsi="Cambria"/>
          <w:lang w:val="nl-BE"/>
        </w:rPr>
        <w:t xml:space="preserve"> </w:t>
      </w:r>
      <w:r>
        <w:rPr>
          <w:rFonts w:ascii="Cambria" w:hAnsi="Cambria"/>
          <w:lang w:val="de-DE"/>
        </w:rPr>
        <w:t>seinen</w:t>
      </w:r>
      <w:r>
        <w:rPr>
          <w:rFonts w:ascii="Cambria" w:hAnsi="Cambria"/>
          <w:lang w:val="nl-BE"/>
        </w:rPr>
        <w:t xml:space="preserve"> Preis. </w:t>
      </w:r>
    </w:p>
    <w:p>
      <w:pPr>
        <w:pStyle w:val="Normal"/>
        <w:spacing w:before="0" w:after="80"/>
        <w:jc w:val="both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t xml:space="preserve">Im Rahmen seiner #FundResearch-Reihe beschloss BETTER FINANCE, </w:t>
      </w:r>
      <w:r>
        <w:rPr>
          <w:rFonts w:ascii="Cambria" w:hAnsi="Cambria"/>
          <w:lang w:val="en-GB"/>
        </w:rPr>
        <w:t>dieses Motto</w:t>
      </w:r>
      <w:r>
        <w:rPr>
          <w:rFonts w:ascii="Cambria" w:hAnsi="Cambria"/>
          <w:lang w:val="nl-BE"/>
        </w:rPr>
        <w:t xml:space="preserve"> auf den Prüfstand zu stellen und die wichtigsten Faktoren</w:t>
      </w:r>
      <w:r>
        <w:rPr>
          <w:rFonts w:ascii="Cambria" w:hAnsi="Cambria"/>
          <w:lang w:val="de-DE"/>
        </w:rPr>
        <w:t xml:space="preserve"> näher zu untersuchen</w:t>
      </w:r>
      <w:r>
        <w:rPr>
          <w:rFonts w:ascii="Cambria" w:hAnsi="Cambria"/>
          <w:lang w:val="nl-BE"/>
        </w:rPr>
        <w:t xml:space="preserve">, die die Fondsperformance und die Fähigkeit, über dem Marktdurchschnitt liegende Renditen zu erzielen, beeinflussen, </w:t>
      </w:r>
      <w:r>
        <w:rPr>
          <w:rFonts w:ascii="Cambria" w:hAnsi="Cambria"/>
          <w:lang w:val="de-DE"/>
        </w:rPr>
        <w:t xml:space="preserve"> wobei insbesondere die </w:t>
      </w:r>
      <w:r>
        <w:rPr>
          <w:rFonts w:ascii="Cambria" w:hAnsi="Cambria"/>
          <w:lang w:val="nl-BE"/>
        </w:rPr>
        <w:t>Kosten</w:t>
      </w:r>
      <w:r>
        <w:rPr>
          <w:rFonts w:ascii="Cambria" w:hAnsi="Cambria"/>
          <w:lang w:val="de-DE"/>
        </w:rPr>
        <w:t xml:space="preserve"> berücksichtigt wurden</w:t>
      </w:r>
      <w:r>
        <w:rPr>
          <w:rFonts w:ascii="Cambria" w:hAnsi="Cambria"/>
          <w:lang w:val="nl-BE"/>
        </w:rPr>
        <w:t xml:space="preserve">. </w:t>
      </w:r>
    </w:p>
    <w:p>
      <w:pPr>
        <w:pStyle w:val="Normal"/>
        <w:spacing w:before="0" w:after="80"/>
        <w:jc w:val="both"/>
        <w:rPr>
          <w:lang w:val="nl-BE"/>
        </w:rPr>
      </w:pPr>
      <w:r>
        <w:rPr>
          <w:rFonts w:ascii="Cambria" w:hAnsi="Cambria"/>
          <w:lang w:val="nl-BE"/>
        </w:rPr>
        <w:t xml:space="preserve">BETTER FINANCE hat die </w:t>
      </w:r>
      <w:r>
        <w:rPr>
          <w:rFonts w:ascii="Cambria" w:hAnsi="Cambria"/>
          <w:lang w:val="de-DE"/>
        </w:rPr>
        <w:t>Wertentwicklung der letzten zehn Jahre</w:t>
      </w:r>
      <w:r>
        <w:rPr>
          <w:rFonts w:ascii="Cambria" w:hAnsi="Cambria"/>
          <w:lang w:val="nl-BE"/>
        </w:rPr>
        <w:t xml:space="preserve"> von</w:t>
      </w:r>
      <w:r>
        <w:rPr>
          <w:rFonts w:ascii="Cambria" w:hAnsi="Cambria"/>
          <w:lang w:val="de-DE"/>
        </w:rPr>
        <w:t xml:space="preserve"> an Kleinanleger vertriebene</w:t>
      </w:r>
      <w:r>
        <w:rPr>
          <w:rFonts w:ascii="Cambria" w:hAnsi="Cambria"/>
          <w:lang w:val="nl-BE"/>
        </w:rPr>
        <w:t xml:space="preserve"> EU-Aktien</w:t>
      </w:r>
      <w:r>
        <w:rPr>
          <w:rFonts w:ascii="Cambria" w:hAnsi="Cambria"/>
          <w:lang w:val="de-DE"/>
        </w:rPr>
        <w:t xml:space="preserve">fonds </w:t>
      </w:r>
      <w:r>
        <w:rPr>
          <w:rFonts w:ascii="Cambria" w:hAnsi="Cambria"/>
          <w:lang w:val="nl-BE"/>
        </w:rPr>
        <w:t xml:space="preserve">aus Belgien, Frankreich und Luxemburg </w:t>
      </w:r>
      <w:r>
        <w:rPr>
          <w:rFonts w:ascii="Cambria" w:hAnsi="Cambria"/>
          <w:lang w:val="de-DE"/>
        </w:rPr>
        <w:t>gegenüber</w:t>
      </w:r>
      <w:r>
        <w:rPr>
          <w:rFonts w:ascii="Cambria" w:hAnsi="Cambria"/>
          <w:lang w:val="nl-BE"/>
        </w:rPr>
        <w:t xml:space="preserve"> ihren </w:t>
      </w:r>
      <w:r>
        <w:rPr>
          <w:rFonts w:ascii="Cambria" w:hAnsi="Cambria"/>
          <w:lang w:val="de-DE"/>
        </w:rPr>
        <w:t>Vergleichsindizes</w:t>
      </w:r>
      <w:r>
        <w:rPr>
          <w:rFonts w:ascii="Cambria" w:hAnsi="Cambria"/>
          <w:lang w:val="nl-BE"/>
        </w:rPr>
        <w:t xml:space="preserve"> gemessen und festgestellt, dass nur 27 % der überlebenden Fonds mit einer ausreichend langen Erfolgsbilanz es schafften, den Markt über </w:t>
      </w:r>
      <w:r>
        <w:rPr>
          <w:rFonts w:ascii="Cambria" w:hAnsi="Cambria"/>
          <w:lang w:val="de-DE"/>
        </w:rPr>
        <w:t>gleitende</w:t>
      </w:r>
      <w:r>
        <w:rPr>
          <w:rFonts w:ascii="Cambria" w:hAnsi="Cambria"/>
          <w:lang w:val="nl-BE"/>
        </w:rPr>
        <w:t xml:space="preserve"> Quartalsperioden</w:t>
      </w:r>
      <w:r>
        <w:rPr>
          <w:rFonts w:ascii="Cambria" w:hAnsi="Cambria"/>
          <w:lang w:val="de-DE"/>
        </w:rPr>
        <w:t xml:space="preserve"> innerhalb eines Zeitraums von 5 Jahren</w:t>
      </w:r>
      <w:r>
        <w:rPr>
          <w:rFonts w:ascii="Cambria" w:hAnsi="Cambria"/>
          <w:lang w:val="nl-BE"/>
        </w:rPr>
        <w:t xml:space="preserve"> zu übertreffen</w:t>
      </w:r>
      <w:r>
        <w:rPr>
          <w:rStyle w:val="Funotenanker"/>
          <w:rFonts w:ascii="Cambria" w:hAnsi="Cambria"/>
          <w:lang w:val="en-US"/>
        </w:rPr>
        <w:footnoteReference w:id="2"/>
      </w:r>
      <w:r>
        <w:rPr>
          <w:rFonts w:ascii="Cambria" w:hAnsi="Cambria"/>
          <w:lang w:val="nl-BE"/>
        </w:rPr>
        <w:t>. Dies bestätigt, dass nur wenige aktive Fondsmanager in der Lage sind, die Auswirkungen der von ihnen</w:t>
      </w:r>
      <w:r>
        <w:rPr>
          <w:rFonts w:ascii="Cambria" w:hAnsi="Cambria"/>
          <w:lang w:val="de-DE"/>
        </w:rPr>
        <w:t xml:space="preserve"> berechneten</w:t>
      </w:r>
      <w:r>
        <w:rPr>
          <w:rFonts w:ascii="Cambria" w:hAnsi="Cambria"/>
          <w:lang w:val="nl-BE"/>
        </w:rPr>
        <w:t xml:space="preserve"> Gebühren auszugleichen, und dass es meist vom </w:t>
      </w:r>
      <w:r>
        <w:rPr>
          <w:rFonts w:ascii="Cambria" w:hAnsi="Cambria"/>
          <w:lang w:val="de-DE"/>
        </w:rPr>
        <w:t>Zufall</w:t>
      </w:r>
      <w:r>
        <w:rPr>
          <w:rFonts w:ascii="Cambria" w:hAnsi="Cambria"/>
          <w:lang w:val="nl-BE"/>
        </w:rPr>
        <w:t xml:space="preserve"> abhängt, ob eine </w:t>
      </w:r>
      <w:r>
        <w:rPr>
          <w:rFonts w:ascii="Cambria" w:hAnsi="Cambria"/>
          <w:lang w:val="de-DE"/>
        </w:rPr>
        <w:t>Anlage</w:t>
      </w:r>
      <w:r>
        <w:rPr>
          <w:rFonts w:ascii="Cambria" w:hAnsi="Cambria"/>
          <w:lang w:val="nl-BE"/>
        </w:rPr>
        <w:t xml:space="preserve"> den Markt schlägt</w:t>
      </w:r>
      <w:r>
        <w:rPr>
          <w:rFonts w:ascii="Cambria" w:hAnsi="Cambria"/>
          <w:lang w:val="de-DE"/>
        </w:rPr>
        <w:t xml:space="preserve"> oder nicht</w:t>
      </w:r>
      <w:r>
        <w:rPr>
          <w:rFonts w:ascii="Cambria" w:hAnsi="Cambria"/>
          <w:lang w:val="nl-BE"/>
        </w:rPr>
        <w:t xml:space="preserve">. Darüber hinaus wird </w:t>
      </w:r>
      <w:r>
        <w:rPr>
          <w:rFonts w:ascii="Cambria" w:hAnsi="Cambria"/>
          <w:lang w:val="de-DE"/>
        </w:rPr>
        <w:t xml:space="preserve">anhand sehr solider </w:t>
      </w:r>
      <w:r>
        <w:rPr>
          <w:rFonts w:ascii="Cambria" w:hAnsi="Cambria"/>
          <w:lang w:val="nl-BE"/>
        </w:rPr>
        <w:t>statistische</w:t>
      </w:r>
      <w:r>
        <w:rPr>
          <w:rFonts w:ascii="Cambria" w:hAnsi="Cambria"/>
          <w:lang w:val="de-DE"/>
        </w:rPr>
        <w:t xml:space="preserve">r </w:t>
      </w:r>
      <w:r>
        <w:rPr>
          <w:rFonts w:ascii="Cambria" w:hAnsi="Cambria"/>
          <w:lang w:val="nl-BE"/>
        </w:rPr>
        <w:t xml:space="preserve">Daten belegt, dass </w:t>
      </w:r>
      <w:r>
        <w:rPr>
          <w:rFonts w:ascii="Cambria" w:hAnsi="Cambria"/>
          <w:lang w:val="de-DE"/>
        </w:rPr>
        <w:t xml:space="preserve">die Anzahl der </w:t>
      </w:r>
      <w:r>
        <w:rPr>
          <w:rFonts w:ascii="Cambria" w:hAnsi="Cambria"/>
          <w:lang w:val="nl-BE"/>
        </w:rPr>
        <w:t>aktive</w:t>
      </w:r>
      <w:r>
        <w:rPr>
          <w:rFonts w:ascii="Cambria" w:hAnsi="Cambria"/>
          <w:lang w:val="de-DE"/>
        </w:rPr>
        <w:t>n</w:t>
      </w:r>
      <w:r>
        <w:rPr>
          <w:rFonts w:ascii="Cambria" w:hAnsi="Cambria"/>
          <w:lang w:val="nl-BE"/>
        </w:rPr>
        <w:t xml:space="preserve"> Fonds</w:t>
      </w:r>
      <w:r>
        <w:rPr>
          <w:rFonts w:ascii="Cambria" w:hAnsi="Cambria"/>
          <w:lang w:val="de-DE"/>
        </w:rPr>
        <w:t>, die</w:t>
      </w:r>
      <w:r>
        <w:rPr>
          <w:rFonts w:ascii="Cambria" w:hAnsi="Cambria"/>
          <w:lang w:val="nl-BE"/>
        </w:rPr>
        <w:t xml:space="preserve"> es schaffen, die Renditen ihrer </w:t>
      </w:r>
      <w:r>
        <w:rPr>
          <w:rFonts w:ascii="Cambria" w:hAnsi="Cambria"/>
          <w:lang w:val="de-DE"/>
        </w:rPr>
        <w:t xml:space="preserve">jeweiligen </w:t>
      </w:r>
      <w:r>
        <w:rPr>
          <w:rFonts w:ascii="Cambria" w:hAnsi="Cambria"/>
          <w:lang w:val="nl-BE"/>
        </w:rPr>
        <w:t xml:space="preserve">Kapitalmärkte zu übertreffen (d. h. ein positives </w:t>
      </w:r>
      <w:r>
        <w:rPr>
          <w:rFonts w:ascii="Cambria" w:hAnsi="Cambria"/>
          <w:lang w:val="de-DE"/>
        </w:rPr>
        <w:t>„</w:t>
      </w:r>
      <w:r>
        <w:rPr>
          <w:rFonts w:ascii="Cambria" w:hAnsi="Cambria"/>
          <w:lang w:val="nl-BE"/>
        </w:rPr>
        <w:t>Alpha</w:t>
      </w:r>
      <w:r>
        <w:rPr>
          <w:rFonts w:ascii="Cambria" w:hAnsi="Cambria"/>
          <w:lang w:val="de-DE"/>
        </w:rPr>
        <w:t>“</w:t>
      </w:r>
      <w:r>
        <w:rPr>
          <w:rFonts w:ascii="Cambria" w:hAnsi="Cambria"/>
          <w:lang w:val="nl-BE"/>
        </w:rPr>
        <w:t xml:space="preserve"> zu generieren)</w:t>
      </w:r>
      <w:r>
        <w:rPr>
          <w:rFonts w:ascii="Cambria" w:hAnsi="Cambria"/>
          <w:lang w:val="de-DE"/>
        </w:rPr>
        <w:t>, umso geringer wird, je stärker ihre Gebühren steigen</w:t>
      </w:r>
      <w:r>
        <w:rPr>
          <w:rFonts w:ascii="Cambria" w:hAnsi="Cambria"/>
          <w:lang w:val="nl-BE"/>
        </w:rPr>
        <w:t>.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57"/>
        <w:gridCol w:w="1860"/>
        <w:gridCol w:w="1863"/>
        <w:gridCol w:w="1859"/>
        <w:gridCol w:w="1633"/>
      </w:tblGrid>
      <w:tr>
        <w:trPr>
          <w:trHeight w:val="70" w:hRule="atLeast"/>
        </w:trPr>
        <w:tc>
          <w:tcPr>
            <w:tcW w:w="9072" w:type="dxa"/>
            <w:gridSpan w:val="5"/>
            <w:tcBorders/>
            <w:shd w:color="auto" w:fill="1F4E7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lang w:val="nl-BE"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lang w:val="nl-BE" w:eastAsia="en-GB"/>
              </w:rPr>
              <w:t xml:space="preserve">Streuung der 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lang w:val="de-DE" w:eastAsia="en-GB"/>
              </w:rPr>
              <w:t>Überschussrendite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lang w:val="nl-BE" w:eastAsia="en-GB"/>
              </w:rPr>
              <w:t xml:space="preserve"> nach Gebührenstufen (Gebühren vs. Alpha 2013 - 2017)</w:t>
            </w:r>
          </w:p>
        </w:tc>
      </w:tr>
      <w:tr>
        <w:trPr>
          <w:trHeight w:val="70" w:hRule="atLeast"/>
        </w:trPr>
        <w:tc>
          <w:tcPr>
            <w:tcW w:w="1857" w:type="dxa"/>
            <w:tcBorders/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  <w:t>Gebühren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5355" w:type="dxa"/>
            <w:gridSpan w:val="3"/>
            <w:tcBorders/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  <w:t>Alle Fonds</w:t>
            </w:r>
          </w:p>
        </w:tc>
      </w:tr>
      <w:tr>
        <w:trPr>
          <w:trHeight w:val="70" w:hRule="atLeast"/>
        </w:trPr>
        <w:tc>
          <w:tcPr>
            <w:tcW w:w="18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lang w:eastAsia="en-GB"/>
              </w:rPr>
            </w:r>
          </w:p>
        </w:tc>
        <w:tc>
          <w:tcPr>
            <w:tcW w:w="186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  <w:t>OGAW</w:t>
            </w:r>
          </w:p>
        </w:tc>
        <w:tc>
          <w:tcPr>
            <w:tcW w:w="1859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  <w:t>AIF</w:t>
            </w:r>
          </w:p>
        </w:tc>
        <w:tc>
          <w:tcPr>
            <w:tcW w:w="163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GB"/>
              </w:rPr>
              <w:t>Gesamt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 xml:space="preserve">[0 %, </w:t>
            </w: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val="de-DE" w:eastAsia="en-GB"/>
              </w:rPr>
              <w:t>0,5 </w:t>
            </w: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alpha ≥ 0 %</w:t>
            </w:r>
          </w:p>
        </w:tc>
        <w:tc>
          <w:tcPr>
            <w:tcW w:w="18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1,86 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1,18 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1,80 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Alpha &lt; 0 %</w:t>
            </w:r>
          </w:p>
        </w:tc>
        <w:tc>
          <w:tcPr>
            <w:tcW w:w="186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1,56 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5,33 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1,91 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restart"/>
            <w:tcBorders/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>[</w:t>
            </w: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val="de-DE" w:eastAsia="en-GB"/>
              </w:rPr>
              <w:t>0,5 </w:t>
            </w: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>%, 1 %)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alpha ≥ 0 %</w:t>
            </w:r>
          </w:p>
        </w:tc>
        <w:tc>
          <w:tcPr>
            <w:tcW w:w="18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1,50 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1,18 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1,47 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continue"/>
            <w:tcBorders/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Alpha &lt; 0 %</w:t>
            </w:r>
          </w:p>
        </w:tc>
        <w:tc>
          <w:tcPr>
            <w:tcW w:w="186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5,05 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8,28 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5,34 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>[1 %, 2 %)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alpha ≥ 0 %</w:t>
            </w:r>
          </w:p>
        </w:tc>
        <w:tc>
          <w:tcPr>
            <w:tcW w:w="18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16,16 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4,73 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15,10 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Alpha &lt; 0 %</w:t>
            </w:r>
          </w:p>
        </w:tc>
        <w:tc>
          <w:tcPr>
            <w:tcW w:w="186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32,19 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37,87 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32,72 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restart"/>
            <w:tcBorders/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>[2 %; 3 %)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alpha ≥ 0 %</w:t>
            </w:r>
          </w:p>
        </w:tc>
        <w:tc>
          <w:tcPr>
            <w:tcW w:w="18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9,55 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3,55 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9,00 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continue"/>
            <w:tcBorders/>
            <w:shd w:color="auto" w:fill="9CC2E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Alpha &lt; 0 %</w:t>
            </w:r>
          </w:p>
        </w:tc>
        <w:tc>
          <w:tcPr>
            <w:tcW w:w="186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22,28 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23,08 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22,36 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  <w:t xml:space="preserve">[3 %+ 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alpha ≥ 0 %</w:t>
            </w:r>
          </w:p>
        </w:tc>
        <w:tc>
          <w:tcPr>
            <w:tcW w:w="18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2,40 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1,18 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val="de-DE" w:eastAsia="en-GB"/>
              </w:rPr>
              <w:t>2,29 </w:t>
            </w: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>
        <w:trPr>
          <w:trHeight w:val="70" w:hRule="atLeast"/>
        </w:trPr>
        <w:tc>
          <w:tcPr>
            <w:tcW w:w="185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8"/>
                <w:szCs w:val="18"/>
                <w:lang w:eastAsia="en-GB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Alpha &lt; 0 %</w:t>
            </w:r>
          </w:p>
        </w:tc>
        <w:tc>
          <w:tcPr>
            <w:tcW w:w="186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7,45 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59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13,61 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633" w:type="dxa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val="de-DE" w:eastAsia="en-GB"/>
              </w:rPr>
              <w:t>8,02 </w:t>
            </w:r>
            <w:r>
              <w:rPr>
                <w:rFonts w:eastAsia="Times New Roman" w:cs="Calibri" w:ascii="Cambria" w:hAnsi="Cambria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</w:tbl>
    <w:p>
      <w:pPr>
        <w:pStyle w:val="Normal"/>
        <w:spacing w:before="120" w:after="80"/>
        <w:jc w:val="both"/>
        <w:rPr>
          <w:rFonts w:ascii="Cambria" w:hAnsi="Cambria"/>
          <w:lang w:val="nl-BE"/>
        </w:rPr>
      </w:pPr>
      <w:r>
        <w:rPr>
          <w:rFonts w:ascii="Cambria" w:hAnsi="Cambria"/>
          <w:lang w:val="de-DE"/>
        </w:rPr>
        <w:t>D</w:t>
      </w:r>
      <w:r>
        <w:rPr>
          <w:rFonts w:ascii="Cambria" w:hAnsi="Cambria"/>
          <w:lang w:val="nl-BE"/>
        </w:rPr>
        <w:t xml:space="preserve">ie enttäuschenden Renditen vieler aktiv verwalteter Fonds sind fast allein </w:t>
      </w:r>
      <w:r>
        <w:rPr>
          <w:rFonts w:ascii="Cambria" w:hAnsi="Cambria"/>
          <w:lang w:val="de-DE"/>
        </w:rPr>
        <w:t xml:space="preserve">auf </w:t>
      </w:r>
      <w:r>
        <w:rPr>
          <w:rFonts w:ascii="Cambria" w:hAnsi="Cambria"/>
          <w:lang w:val="nl-BE"/>
        </w:rPr>
        <w:t xml:space="preserve">die Gebühren </w:t>
      </w:r>
      <w:r>
        <w:rPr>
          <w:rFonts w:ascii="Cambria" w:hAnsi="Cambria"/>
          <w:lang w:val="de-DE"/>
        </w:rPr>
        <w:t>zurückzuführen</w:t>
      </w:r>
      <w:r>
        <w:rPr>
          <w:rFonts w:ascii="Cambria" w:hAnsi="Cambria"/>
          <w:lang w:val="nl-BE"/>
        </w:rPr>
        <w:t xml:space="preserve">. Eine lineare Regressionsanalyse bestätigt, dass bei einem Anstieg der Gebühren um 100 Basispunkte die Überschussrendite </w:t>
      </w:r>
      <w:r>
        <w:rPr>
          <w:rFonts w:ascii="Cambria" w:hAnsi="Cambria"/>
          <w:lang w:val="de-DE"/>
        </w:rPr>
        <w:t>des</w:t>
      </w:r>
      <w:r>
        <w:rPr>
          <w:rFonts w:ascii="Cambria" w:hAnsi="Cambria"/>
          <w:lang w:val="nl-BE"/>
        </w:rPr>
        <w:t xml:space="preserve"> Fonds um 68 Basispunkte sinkt. Eine multiple Regressionsanalyse </w:t>
      </w:r>
      <w:r>
        <w:rPr>
          <w:rFonts w:ascii="Cambria" w:hAnsi="Cambria"/>
          <w:lang w:val="de-DE"/>
        </w:rPr>
        <w:t>kommt zu dem Ergebnis</w:t>
      </w:r>
      <w:r>
        <w:rPr>
          <w:rFonts w:ascii="Cambria" w:hAnsi="Cambria"/>
          <w:lang w:val="nl-BE"/>
        </w:rPr>
        <w:t xml:space="preserve">, dass die Marktrendite die Gesamtrendite des Fonds überwiegt, während die Höhe der Gebühren der zweitwichtigste </w:t>
      </w:r>
      <w:r>
        <w:rPr>
          <w:rFonts w:ascii="Cambria" w:hAnsi="Cambria"/>
          <w:lang w:val="de-DE"/>
        </w:rPr>
        <w:t>Rendite</w:t>
      </w:r>
      <w:r>
        <w:rPr>
          <w:rFonts w:ascii="Cambria" w:hAnsi="Cambria"/>
          <w:lang w:val="nl-BE"/>
        </w:rPr>
        <w:t xml:space="preserve">faktor ist, gefolgt vom Tracking Error. Darüber hinaus scheint eine gelegentliche </w:t>
      </w:r>
      <w:r>
        <w:rPr>
          <w:rFonts w:ascii="Cambria" w:hAnsi="Cambria"/>
          <w:lang w:val="de-DE"/>
        </w:rPr>
        <w:t>Überschussrendite</w:t>
      </w:r>
      <w:r>
        <w:rPr>
          <w:rFonts w:ascii="Cambria" w:hAnsi="Cambria"/>
          <w:lang w:val="nl-BE"/>
        </w:rPr>
        <w:t xml:space="preserve"> </w:t>
      </w:r>
      <w:r>
        <w:rPr>
          <w:rFonts w:ascii="Cambria" w:hAnsi="Cambria"/>
          <w:lang w:val="de-DE"/>
        </w:rPr>
        <w:t>durch</w:t>
      </w:r>
      <w:r>
        <w:rPr>
          <w:rFonts w:ascii="Cambria" w:hAnsi="Cambria"/>
          <w:lang w:val="nl-BE"/>
        </w:rPr>
        <w:t xml:space="preserve"> </w:t>
      </w:r>
      <w:r>
        <w:rPr>
          <w:rFonts w:ascii="Cambria" w:hAnsi="Cambria"/>
          <w:lang w:val="de-DE"/>
        </w:rPr>
        <w:t>Zufall</w:t>
      </w:r>
      <w:r>
        <w:rPr>
          <w:rFonts w:ascii="Cambria" w:hAnsi="Cambria"/>
          <w:lang w:val="nl-BE"/>
        </w:rPr>
        <w:t xml:space="preserve"> </w:t>
      </w:r>
      <w:r>
        <w:rPr>
          <w:rFonts w:ascii="Cambria" w:hAnsi="Cambria"/>
          <w:lang w:val="de-DE"/>
        </w:rPr>
        <w:t>bedingt</w:t>
      </w:r>
      <w:r>
        <w:rPr>
          <w:rFonts w:ascii="Cambria" w:hAnsi="Cambria"/>
          <w:lang w:val="nl-BE"/>
        </w:rPr>
        <w:t xml:space="preserve"> zu sein, ohne kausalen Zusammenhang mit den Gebühren oder dem Geschick bei der Aktienauswahl, da auch keine anhaltende </w:t>
      </w:r>
      <w:r>
        <w:rPr>
          <w:rFonts w:ascii="Cambria" w:hAnsi="Cambria"/>
          <w:lang w:val="de-DE"/>
        </w:rPr>
        <w:t>Überschussrendite</w:t>
      </w:r>
      <w:r>
        <w:rPr>
          <w:rFonts w:ascii="Cambria" w:hAnsi="Cambria"/>
          <w:lang w:val="nl-BE"/>
        </w:rPr>
        <w:t xml:space="preserve"> festgestellt werden konnte.</w:t>
      </w:r>
    </w:p>
    <w:p>
      <w:pPr>
        <w:pStyle w:val="Normal"/>
        <w:spacing w:before="0" w:after="80"/>
        <w:jc w:val="both"/>
        <w:rPr>
          <w:lang w:val="nl-BE"/>
        </w:rPr>
      </w:pPr>
      <w:r>
        <w:rPr>
          <w:rFonts w:ascii="Cambria" w:hAnsi="Cambria"/>
          <w:lang w:val="nl-BE"/>
        </w:rPr>
        <w:t xml:space="preserve">Guillaume Prache, Geschäftsführer von BETTER FINANCE, betont, dass </w:t>
      </w:r>
      <w:r>
        <w:rPr>
          <w:rFonts w:ascii="Cambria" w:hAnsi="Cambria"/>
          <w:lang w:val="de-DE"/>
        </w:rPr>
        <w:t>„</w:t>
      </w:r>
      <w:r>
        <w:rPr>
          <w:rFonts w:ascii="Cambria" w:hAnsi="Cambria"/>
          <w:i/>
          <w:iCs/>
          <w:lang w:val="nl-BE"/>
        </w:rPr>
        <w:t xml:space="preserve">die Auswahl eines Fonds eine </w:t>
      </w:r>
      <w:r>
        <w:rPr>
          <w:rFonts w:ascii="Cambria" w:hAnsi="Cambria"/>
          <w:i/>
          <w:iCs/>
          <w:lang w:val="de-DE"/>
        </w:rPr>
        <w:t>grundsätzliche</w:t>
      </w:r>
      <w:r>
        <w:rPr>
          <w:rFonts w:ascii="Cambria" w:hAnsi="Cambria"/>
          <w:i/>
          <w:iCs/>
          <w:lang w:val="nl-BE"/>
        </w:rPr>
        <w:t xml:space="preserve"> Entscheidung für einen </w:t>
      </w:r>
      <w:r>
        <w:rPr>
          <w:rFonts w:ascii="Cambria" w:hAnsi="Cambria"/>
          <w:i/>
          <w:iCs/>
          <w:lang w:val="de-DE"/>
        </w:rPr>
        <w:t>Privata</w:t>
      </w:r>
      <w:r>
        <w:rPr>
          <w:rFonts w:ascii="Cambria" w:hAnsi="Cambria"/>
          <w:i/>
          <w:iCs/>
          <w:lang w:val="nl-BE"/>
        </w:rPr>
        <w:t xml:space="preserve">nleger ist. </w:t>
      </w:r>
      <w:r>
        <w:rPr>
          <w:rFonts w:ascii="Cambria" w:hAnsi="Cambria"/>
          <w:i/>
          <w:iCs/>
          <w:lang w:val="de-DE"/>
        </w:rPr>
        <w:t xml:space="preserve">Unsere Studien belegen leider </w:t>
      </w:r>
      <w:r>
        <w:rPr>
          <w:rFonts w:ascii="Cambria" w:hAnsi="Cambria"/>
          <w:i/>
          <w:iCs/>
          <w:lang w:val="nl-BE"/>
        </w:rPr>
        <w:t>eindeutig, dass der durchschnittliche Anleger in den letzten zehn Jahren, bis 2017, nur eine Chance von 1 zu 3,7 hatte, einen Aktienfonds zu wählen, der seine</w:t>
      </w:r>
      <w:r>
        <w:rPr>
          <w:rFonts w:ascii="Cambria" w:hAnsi="Cambria"/>
          <w:i/>
          <w:iCs/>
          <w:lang w:val="de-DE"/>
        </w:rPr>
        <w:t>n Vergleichsindex</w:t>
      </w:r>
      <w:r>
        <w:rPr>
          <w:rFonts w:ascii="Cambria" w:hAnsi="Cambria"/>
          <w:i/>
          <w:iCs/>
          <w:lang w:val="nl-BE"/>
        </w:rPr>
        <w:t xml:space="preserve"> bei einer Halteperiode von 5 Jahren übertreffen würde. Kostengünstige Aktienindexfonds oder direkt gehaltene diversifizierte Aktienportfolios sind daher eine wertvolle Alternative, die </w:t>
      </w:r>
      <w:r>
        <w:rPr>
          <w:rFonts w:ascii="Cambria" w:hAnsi="Cambria"/>
          <w:i/>
          <w:iCs/>
          <w:lang w:val="de-DE"/>
        </w:rPr>
        <w:t>Privata</w:t>
      </w:r>
      <w:r>
        <w:rPr>
          <w:rFonts w:ascii="Cambria" w:hAnsi="Cambria"/>
          <w:i/>
          <w:iCs/>
          <w:lang w:val="nl-BE"/>
        </w:rPr>
        <w:t>nleger</w:t>
      </w:r>
      <w:r>
        <w:rPr>
          <w:rFonts w:ascii="Cambria" w:hAnsi="Cambria"/>
          <w:i/>
          <w:iCs/>
          <w:lang w:val="de-DE"/>
        </w:rPr>
        <w:t>n</w:t>
      </w:r>
      <w:r>
        <w:rPr>
          <w:rFonts w:ascii="Cambria" w:hAnsi="Cambria"/>
          <w:i/>
          <w:iCs/>
          <w:lang w:val="nl-BE"/>
        </w:rPr>
        <w:t xml:space="preserve"> angeboten werden sollte. Die</w:t>
      </w:r>
      <w:r>
        <w:rPr>
          <w:rFonts w:ascii="Cambria" w:hAnsi="Cambria"/>
          <w:i/>
          <w:iCs/>
          <w:lang w:val="de-DE"/>
        </w:rPr>
        <w:t xml:space="preserve"> Studie von</w:t>
      </w:r>
      <w:r>
        <w:rPr>
          <w:rFonts w:ascii="Cambria" w:hAnsi="Cambria"/>
          <w:i/>
          <w:iCs/>
          <w:lang w:val="nl-BE"/>
        </w:rPr>
        <w:t xml:space="preserve"> BETTER FINANCE belegt </w:t>
      </w:r>
      <w:r>
        <w:rPr>
          <w:rFonts w:ascii="Cambria" w:hAnsi="Cambria"/>
          <w:i/>
          <w:iCs/>
          <w:lang w:val="de-DE"/>
        </w:rPr>
        <w:t>zudem eindrucksvoll, dass sich</w:t>
      </w:r>
      <w:r>
        <w:rPr>
          <w:rFonts w:ascii="Cambria" w:hAnsi="Cambria"/>
          <w:i/>
          <w:iCs/>
          <w:lang w:val="nl-BE"/>
        </w:rPr>
        <w:t xml:space="preserve"> die Höhe der Fondsgebühren </w:t>
      </w:r>
      <w:r>
        <w:rPr>
          <w:rFonts w:ascii="Cambria" w:hAnsi="Cambria"/>
          <w:i/>
          <w:iCs/>
          <w:lang w:val="de-DE"/>
        </w:rPr>
        <w:t xml:space="preserve">negativ </w:t>
      </w:r>
      <w:r>
        <w:rPr>
          <w:rFonts w:ascii="Cambria" w:hAnsi="Cambria"/>
          <w:i/>
          <w:iCs/>
          <w:lang w:val="nl-BE"/>
        </w:rPr>
        <w:t xml:space="preserve">auf die </w:t>
      </w:r>
      <w:r>
        <w:rPr>
          <w:rFonts w:ascii="Cambria" w:hAnsi="Cambria"/>
          <w:i/>
          <w:iCs/>
          <w:lang w:val="de-DE"/>
        </w:rPr>
        <w:t>Überschussrendite auswirkt“</w:t>
      </w:r>
      <w:r>
        <w:rPr>
          <w:rFonts w:ascii="Cambria" w:hAnsi="Cambria"/>
          <w:lang w:val="nl-BE"/>
        </w:rPr>
        <w:t>.</w:t>
      </w:r>
    </w:p>
    <w:p>
      <w:pPr>
        <w:pStyle w:val="Normal"/>
        <w:spacing w:before="0" w:after="80"/>
        <w:jc w:val="both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</w:r>
    </w:p>
    <w:p>
      <w:pPr>
        <w:pStyle w:val="Normal"/>
        <w:spacing w:before="0" w:after="80"/>
        <w:jc w:val="center"/>
        <w:rPr/>
      </w:pPr>
      <w:r>
        <w:rPr/>
        <w:drawing>
          <wp:inline distT="0" distB="0" distL="0" distR="0">
            <wp:extent cx="5448300" cy="6278880"/>
            <wp:effectExtent l="0" t="0" r="0" b="0"/>
            <wp:docPr id="1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120"/>
        <w:jc w:val="center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t>***</w:t>
      </w:r>
    </w:p>
    <w:p>
      <w:pPr>
        <w:pStyle w:val="Textkrper"/>
        <w:spacing w:lineRule="atLeast" w:line="30" w:before="0" w:after="0"/>
        <w:jc w:val="center"/>
        <w:rPr>
          <w:lang w:val="nl-BE"/>
        </w:rPr>
      </w:pPr>
      <w:r>
        <w:rPr>
          <w:rFonts w:cs="Calibri" w:ascii="Cambria" w:hAnsi="Cambria"/>
          <w:sz w:val="18"/>
          <w:szCs w:val="18"/>
          <w:u w:val="single"/>
          <w:lang w:val="nl-BE"/>
        </w:rPr>
        <w:t>Kontakt</w:t>
      </w:r>
      <w:r>
        <w:rPr>
          <w:rFonts w:cs="Calibri" w:ascii="Cambria" w:hAnsi="Cambria"/>
          <w:sz w:val="18"/>
          <w:szCs w:val="18"/>
          <w:lang w:val="nl-BE"/>
        </w:rPr>
        <w:t xml:space="preserve">: Leiter der Kommunikationsabteilung ǀ Arnaud Houdmont ǀ +32 (0)2 514 37 77 ǀ </w:t>
      </w:r>
      <w:hyperlink r:id="rId3">
        <w:r>
          <w:rPr>
            <w:rStyle w:val="Internetverknpfung"/>
            <w:rFonts w:cs="Calibri" w:ascii="Cambria" w:hAnsi="Cambria"/>
            <w:sz w:val="18"/>
            <w:szCs w:val="18"/>
            <w:lang w:val="nl-BE"/>
          </w:rPr>
          <w:t>houdmont@betterfinance.eu</w:t>
        </w:r>
      </w:hyperlink>
    </w:p>
    <w:p>
      <w:pPr>
        <w:pStyle w:val="Normal"/>
        <w:spacing w:lineRule="atLeast" w:line="30" w:before="120" w:after="120"/>
        <w:jc w:val="center"/>
        <w:rPr>
          <w:lang w:val="nl-BE"/>
        </w:rPr>
      </w:pPr>
      <w:r>
        <w:rPr>
          <w:rFonts w:ascii="Cambria" w:hAnsi="Cambria"/>
          <w:b/>
          <w:spacing w:val="10"/>
          <w:sz w:val="18"/>
          <w:szCs w:val="18"/>
          <w:lang w:val="nl-BE"/>
        </w:rPr>
        <w:t xml:space="preserve">Wenn Sie von unserer Mailingliste </w:t>
      </w:r>
      <w:r>
        <w:rPr>
          <w:rFonts w:ascii="Cambria" w:hAnsi="Cambria"/>
          <w:b/>
          <w:spacing w:val="10"/>
          <w:sz w:val="18"/>
          <w:szCs w:val="18"/>
          <w:lang w:val="de-DE"/>
        </w:rPr>
        <w:t>entfernt</w:t>
      </w:r>
      <w:r>
        <w:rPr>
          <w:rFonts w:ascii="Cambria" w:hAnsi="Cambria"/>
          <w:b/>
          <w:spacing w:val="10"/>
          <w:sz w:val="18"/>
          <w:szCs w:val="18"/>
          <w:lang w:val="nl-BE"/>
        </w:rPr>
        <w:t xml:space="preserve"> werden möchten, senden Sie bitte eine E-Mail an info@betterfinance.eu. 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567" w:hanging="0"/>
      <w:jc w:val="center"/>
      <w:rPr>
        <w:b/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</w:r>
  </w:p>
  <w:p>
    <w:pPr>
      <w:pStyle w:val="Normal"/>
      <w:spacing w:lineRule="auto" w:line="240" w:before="0" w:after="0"/>
      <w:ind w:left="-567" w:hanging="0"/>
      <w:jc w:val="center"/>
      <w:rPr>
        <w:b/>
        <w:b/>
        <w:color w:val="006FB4"/>
        <w:sz w:val="16"/>
        <w:szCs w:val="16"/>
        <w:lang w:val="nl-BE"/>
      </w:rPr>
    </w:pPr>
    <w:r>
      <w:rPr>
        <w:b/>
        <w:color w:val="006FB4"/>
        <w:sz w:val="16"/>
        <w:szCs w:val="16"/>
        <w:lang w:val="nl-BE"/>
      </w:rPr>
      <w:t>Europäische</w:t>
    </w:r>
    <w:r>
      <w:rPr>
        <w:b/>
        <w:color w:val="006FB4"/>
        <w:sz w:val="16"/>
        <w:szCs w:val="16"/>
        <w:lang w:val="de-DE"/>
      </w:rPr>
      <w:t>r Verband</w:t>
    </w:r>
    <w:r>
      <w:rPr>
        <w:b/>
        <w:color w:val="006FB4"/>
        <w:sz w:val="16"/>
        <w:szCs w:val="16"/>
        <w:lang w:val="nl-BE"/>
      </w:rPr>
      <w:t xml:space="preserve"> der </w:t>
    </w:r>
    <w:r>
      <w:rPr>
        <w:b/>
        <w:color w:val="006FB4"/>
        <w:sz w:val="16"/>
        <w:szCs w:val="16"/>
        <w:lang w:val="de-DE"/>
      </w:rPr>
      <w:t>Anleger</w:t>
    </w:r>
    <w:r>
      <w:rPr>
        <w:b/>
        <w:color w:val="006FB4"/>
        <w:sz w:val="16"/>
        <w:szCs w:val="16"/>
        <w:lang w:val="nl-BE"/>
      </w:rPr>
      <w:t xml:space="preserve"> und Nutzer von Finanzdienstleistungen</w:t>
    </w:r>
  </w:p>
  <w:p>
    <w:pPr>
      <w:pStyle w:val="Normal"/>
      <w:spacing w:lineRule="auto" w:line="240" w:before="0" w:after="0"/>
      <w:ind w:left="-567" w:hanging="0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Brüssel - Belgien</w:t>
    </w:r>
  </w:p>
  <w:p>
    <w:pPr>
      <w:pStyle w:val="Normal"/>
      <w:spacing w:lineRule="auto" w:line="240" w:before="0" w:after="0"/>
      <w:ind w:left="-567" w:hanging="0"/>
      <w:jc w:val="center"/>
      <w:rPr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>
    <w:pPr>
      <w:pStyle w:val="Normal"/>
      <w:spacing w:lineRule="auto" w:line="240" w:before="0" w:after="0"/>
      <w:ind w:left="-567" w:hanging="0"/>
      <w:jc w:val="center"/>
      <w:rPr/>
    </w:pPr>
    <w:r>
      <w:rPr>
        <w:color w:val="006FB4"/>
        <w:sz w:val="16"/>
        <w:szCs w:val="16"/>
        <w:lang w:val="pt-PT"/>
      </w:rPr>
      <w:t>E-Mail: info@betterfinance.eu -</w:t>
    </w:r>
    <w:bookmarkStart w:id="1" w:name="_Hlk944867"/>
    <w:r>
      <w:rPr>
        <w:color w:val="006FB4"/>
        <w:sz w:val="16"/>
        <w:szCs w:val="16"/>
        <w:lang w:val="pt-PT"/>
      </w:rPr>
      <w:t xml:space="preserve"> </w:t>
    </w:r>
    <w:hyperlink r:id="rId1">
      <w:r>
        <w:rPr>
          <w:color w:val="006FB4"/>
          <w:sz w:val="16"/>
          <w:szCs w:val="16"/>
          <w:u w:val="single"/>
          <w:lang w:val="it-IT"/>
        </w:rPr>
        <w:t xml:space="preserve">http://www.betterfinance.eu </w:t>
      </w:r>
    </w:hyperlink>
    <w:bookmarkEnd w:id="1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r>
        <w:rPr>
          <w:rFonts w:ascii="Cambria" w:hAnsi="Cambria"/>
          <w:sz w:val="16"/>
          <w:szCs w:val="16"/>
          <w:lang w:val="nl-BE"/>
        </w:rPr>
        <w:t xml:space="preserve"> </w:t>
      </w:r>
      <w:r>
        <w:rPr>
          <w:rFonts w:ascii="Cambria" w:hAnsi="Cambria"/>
          <w:sz w:val="16"/>
          <w:szCs w:val="16"/>
          <w:lang w:val="nl-BE"/>
        </w:rPr>
        <w:t xml:space="preserve">Wir verwendeten rollierende 5-Jahres-Perioden, die mit dem ersten Quartal 2008 beginnen und mit dem vierten Quartal 2017 enden, um die Verzerrung </w:t>
      </w:r>
      <w:r>
        <w:rPr>
          <w:rFonts w:ascii="Cambria" w:hAnsi="Cambria"/>
          <w:sz w:val="16"/>
          <w:szCs w:val="16"/>
          <w:lang w:val="de-DE"/>
        </w:rPr>
        <w:t>durch</w:t>
      </w:r>
      <w:r>
        <w:rPr>
          <w:rFonts w:ascii="Cambria" w:hAnsi="Cambria"/>
          <w:sz w:val="16"/>
          <w:szCs w:val="16"/>
          <w:lang w:val="nl-BE"/>
        </w:rPr>
        <w:t xml:space="preserve"> Market Timing zu eliminieren.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2564130</wp:posOffset>
          </wp:positionH>
          <wp:positionV relativeFrom="paragraph">
            <wp:posOffset>-265430</wp:posOffset>
          </wp:positionV>
          <wp:extent cx="3138170" cy="645160"/>
          <wp:effectExtent l="0" t="0" r="0" b="0"/>
          <wp:wrapSquare wrapText="bothSides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817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rPr/>
    </w:pPr>
    <w:r>
      <w:rPr/>
    </w:r>
  </w:p>
  <w:p>
    <w:pPr>
      <w:pStyle w:val="Kopfzeile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B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Arial"/>
      <w:color w:val="auto"/>
      <w:kern w:val="0"/>
      <w:sz w:val="22"/>
      <w:szCs w:val="22"/>
      <w:lang w:val="en-GB" w:eastAsia="en-US" w:bidi="ar-SA"/>
    </w:rPr>
  </w:style>
  <w:style w:type="paragraph" w:styleId="Berschrift2">
    <w:name w:val="Heading 2"/>
    <w:basedOn w:val="Normal"/>
    <w:next w:val="Normal"/>
    <w:uiPriority w:val="9"/>
    <w:unhideWhenUsed/>
    <w:qFormat/>
    <w:pPr>
      <w:keepNext w:val="true"/>
      <w:keepLines/>
      <w:spacing w:before="40" w:after="0"/>
      <w:outlineLvl w:val="1"/>
    </w:pPr>
    <w:rPr>
      <w:rFonts w:ascii="Cambria" w:hAnsi="Cambria" w:eastAsia="SimSun" w:cs="Times New Roman"/>
      <w:color w:val="365F9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odyTextChar" w:customStyle="1">
    <w:name w:val="Body Text Char"/>
    <w:basedOn w:val="DefaultParagraphFont"/>
    <w:qFormat/>
    <w:rPr>
      <w:rFonts w:ascii="Tahoma" w:hAnsi="Tahoma" w:eastAsia="Times New Roman" w:cs="Times New Roman"/>
      <w:spacing w:val="10"/>
      <w:sz w:val="17"/>
      <w:szCs w:val="20"/>
      <w:lang w:val="en-US"/>
    </w:rPr>
  </w:style>
  <w:style w:type="character" w:styleId="TitleChar" w:customStyle="1">
    <w:name w:val="Title Char"/>
    <w:basedOn w:val="DefaultParagraphFont"/>
    <w:qFormat/>
    <w:rPr>
      <w:rFonts w:ascii="Cambria" w:hAnsi="Cambria" w:eastAsia="SimSun" w:cs="Times New Roman"/>
      <w:spacing w:val="-10"/>
      <w:kern w:val="2"/>
      <w:sz w:val="56"/>
      <w:szCs w:val="56"/>
    </w:rPr>
  </w:style>
  <w:style w:type="character" w:styleId="BalloonTextChar" w:customStyle="1">
    <w:name w:val="Balloon Text Ch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sz w:val="20"/>
      <w:szCs w:val="20"/>
    </w:rPr>
  </w:style>
  <w:style w:type="character" w:styleId="CommentSubjectChar" w:customStyle="1">
    <w:name w:val="Comment Subject Char"/>
    <w:basedOn w:val="CommentTextChar"/>
    <w:qFormat/>
    <w:rPr>
      <w:b/>
      <w:bCs/>
      <w:sz w:val="20"/>
      <w:szCs w:val="20"/>
    </w:rPr>
  </w:style>
  <w:style w:type="character" w:styleId="FootnoteTextChar" w:customStyle="1">
    <w:name w:val="Footnote Text Char"/>
    <w:basedOn w:val="DefaultParagraphFont"/>
    <w:qFormat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rPr>
      <w:color w:val="800080"/>
      <w:u w:val="single"/>
    </w:rPr>
  </w:style>
  <w:style w:type="character" w:styleId="Heading2Char" w:customStyle="1">
    <w:name w:val="Heading 2 Char"/>
    <w:basedOn w:val="DefaultParagraphFont"/>
    <w:qFormat/>
    <w:rPr>
      <w:rFonts w:ascii="Cambria" w:hAnsi="Cambria" w:eastAsia="SimSun" w:cs="Times New Roman"/>
      <w:color w:val="365F91"/>
      <w:sz w:val="26"/>
      <w:szCs w:val="26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exact" w:line="240"/>
    </w:pPr>
    <w:rPr>
      <w:rFonts w:ascii="Tahoma" w:hAnsi="Tahoma" w:eastAsia="Times New Roman" w:cs="Times New Roman"/>
      <w:spacing w:val="10"/>
      <w:sz w:val="17"/>
      <w:szCs w:val="20"/>
      <w:lang w:val="en-US"/>
    </w:rPr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le"/>
    <w:basedOn w:val="Normal"/>
    <w:next w:val="Normal"/>
    <w:uiPriority w:val="10"/>
    <w:qFormat/>
    <w:pPr>
      <w:spacing w:lineRule="auto" w:line="240" w:before="0" w:after="0"/>
    </w:pPr>
    <w:rPr>
      <w:rFonts w:ascii="Cambria" w:hAnsi="Cambria" w:eastAsia="SimSun" w:cs="Times New Roman"/>
      <w:spacing w:val="-10"/>
      <w:kern w:val="2"/>
      <w:sz w:val="56"/>
      <w:szCs w:val="5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Fu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oudmont@betterfinance.e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rofinuse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7BF39-1C6B-4FE4-81C7-758A7A7E8863}"/>
</file>

<file path=customXml/itemProps2.xml><?xml version="1.0" encoding="utf-8"?>
<ds:datastoreItem xmlns:ds="http://schemas.openxmlformats.org/officeDocument/2006/customXml" ds:itemID="{6F8F3D90-93EE-4B06-9EEC-9ABD302E1011}"/>
</file>

<file path=customXml/itemProps3.xml><?xml version="1.0" encoding="utf-8"?>
<ds:datastoreItem xmlns:ds="http://schemas.openxmlformats.org/officeDocument/2006/customXml" ds:itemID="{58D81D68-1642-41D4-A87A-F59FAFB56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LibreOffice/6.4.6.2$Windows_X86_64 LibreOffice_project/0ce51a4fd21bff07a5c061082cc82c5ed232f115</Application>
  <Pages>2</Pages>
  <Words>648</Words>
  <Characters>3653</Characters>
  <CharactersWithSpaces>4243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2020-11-19T18:51:00Z</dcterms:created>
  <dc:creator>Arnaud Houdmont</dc:creator>
  <dc:description/>
  <dc:language>de-DE</dc:language>
  <cp:lastModifiedBy/>
  <cp:lastPrinted>2020-12-20T16:58:17Z</cp:lastPrinted>
  <dcterms:modified xsi:type="dcterms:W3CDTF">2020-12-20T17:03:56Z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0x010100B5308A9776426D41840A8C2CCB15B3F3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