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extkrper"/>
        <w:spacing w:lineRule="auto" w:line="312" w:before="0" w:after="120"/>
        <w:jc w:val="both"/>
        <w:rPr>
          <w:lang w:val="nl-BE"/>
        </w:rPr>
      </w:pPr>
      <w:r>
        <w:rPr>
          <w:rStyle w:val="Strong"/>
          <w:sz w:val="18"/>
          <w:lang w:val="nl-BE"/>
        </w:rPr>
        <w:t xml:space="preserve">PRESSEMITTEILUNG </w:t>
      </w:r>
    </w:p>
    <w:p>
      <w:pPr>
        <w:pStyle w:val="Berschrift2"/>
        <w:spacing w:before="40" w:after="80"/>
        <w:jc w:val="both"/>
        <w:rPr>
          <w:lang w:val="nl-BE"/>
        </w:rPr>
      </w:pPr>
      <w:r>
        <w:rPr>
          <w:rFonts w:eastAsia="Calibri" w:cs="Arial"/>
          <w:b/>
          <w:spacing w:val="20"/>
          <w:kern w:val="2"/>
          <w:sz w:val="30"/>
          <w:szCs w:val="30"/>
          <w:lang w:val="nl-BE"/>
        </w:rPr>
        <w:t xml:space="preserve">BETTER FINANCE </w:t>
      </w:r>
      <w:r>
        <w:rPr>
          <w:rFonts w:eastAsia="Calibri" w:cs="Arial"/>
          <w:b/>
          <w:spacing w:val="20"/>
          <w:kern w:val="2"/>
          <w:sz w:val="30"/>
          <w:szCs w:val="30"/>
          <w:lang w:val="de-DE"/>
        </w:rPr>
        <w:t>begrüßt</w:t>
      </w:r>
      <w:r>
        <w:rPr>
          <w:rFonts w:eastAsia="Calibri" w:cs="Arial"/>
          <w:b/>
          <w:spacing w:val="20"/>
          <w:kern w:val="2"/>
          <w:sz w:val="30"/>
          <w:szCs w:val="30"/>
          <w:lang w:val="nl-BE"/>
        </w:rPr>
        <w:t xml:space="preserve"> die neuen europäischen </w:t>
      </w:r>
      <w:r>
        <w:rPr>
          <w:rFonts w:eastAsia="Calibri" w:cs="Arial"/>
          <w:b/>
          <w:spacing w:val="20"/>
          <w:kern w:val="2"/>
          <w:sz w:val="30"/>
          <w:szCs w:val="30"/>
          <w:lang w:val="de-DE"/>
        </w:rPr>
        <w:t>Leit</w:t>
      </w:r>
      <w:r>
        <w:rPr>
          <w:rFonts w:eastAsia="Calibri" w:cs="Arial"/>
          <w:b/>
          <w:spacing w:val="20"/>
          <w:kern w:val="2"/>
          <w:sz w:val="30"/>
          <w:szCs w:val="30"/>
          <w:lang w:val="nl-BE"/>
        </w:rPr>
        <w:t>linien zu</w:t>
      </w:r>
      <w:r>
        <w:rPr>
          <w:rFonts w:eastAsia="Calibri" w:cs="Arial"/>
          <w:b/>
          <w:spacing w:val="20"/>
          <w:kern w:val="2"/>
          <w:sz w:val="30"/>
          <w:szCs w:val="30"/>
          <w:lang w:val="de-DE"/>
        </w:rPr>
        <w:t xml:space="preserve"> „Performance"-Gebühren von</w:t>
      </w:r>
      <w:r>
        <w:rPr>
          <w:rFonts w:eastAsia="Calibri" w:cs="Arial"/>
          <w:b/>
          <w:spacing w:val="20"/>
          <w:kern w:val="2"/>
          <w:sz w:val="30"/>
          <w:szCs w:val="30"/>
          <w:lang w:val="nl-BE"/>
        </w:rPr>
        <w:t xml:space="preserve"> Fonds </w:t>
      </w:r>
    </w:p>
    <w:p>
      <w:pPr>
        <w:pStyle w:val="Normal"/>
        <w:jc w:val="both"/>
        <w:rPr>
          <w:lang w:val="nl-BE"/>
        </w:rPr>
      </w:pPr>
      <w:bookmarkStart w:id="0" w:name="_Hlk4143464"/>
      <w:r>
        <w:rPr>
          <w:rFonts w:cs="Calibri Light" w:ascii="Calibri Light" w:hAnsi="Calibri Light"/>
          <w:b/>
          <w:lang w:val="nl-BE"/>
        </w:rPr>
        <w:t>Brüssel, 27. April 2020</w:t>
      </w:r>
      <w:bookmarkEnd w:id="0"/>
      <w:r>
        <w:rPr>
          <w:rFonts w:cs="Calibri Light" w:ascii="Calibri Light" w:hAnsi="Calibri Light"/>
          <w:b/>
          <w:lang w:val="nl-BE"/>
        </w:rPr>
        <w:t xml:space="preserve"> </w:t>
      </w:r>
      <w:r>
        <w:rPr>
          <w:rFonts w:cs="Calibri Light" w:ascii="Calibri Light" w:hAnsi="Calibri Light"/>
          <w:lang w:val="nl-BE"/>
        </w:rPr>
        <w:t xml:space="preserve">- </w:t>
      </w:r>
      <w:r>
        <w:rPr>
          <w:rFonts w:cs="Cambria" w:ascii="Cambria" w:hAnsi="Cambria"/>
          <w:lang w:val="nl-BE"/>
        </w:rPr>
        <w:t>Am 3. April veröffentlichte die Europäische Wertpapier- und Marktaufsichtsbehörde (ESMA) ihre endgültigen Leitlinien zu</w:t>
      </w:r>
      <w:r>
        <w:rPr>
          <w:rFonts w:cs="Cambria" w:ascii="Cambria" w:hAnsi="Cambria"/>
          <w:lang w:val="de-DE"/>
        </w:rPr>
        <w:t>r</w:t>
      </w:r>
      <w:r>
        <w:rPr>
          <w:rFonts w:cs="Cambria" w:ascii="Cambria" w:hAnsi="Cambria"/>
          <w:lang w:val="nl-BE"/>
        </w:rPr>
        <w:t xml:space="preserve"> erfolgsabhängigen </w:t>
      </w:r>
      <w:r>
        <w:rPr>
          <w:rFonts w:cs="Cambria" w:ascii="Cambria" w:hAnsi="Cambria"/>
          <w:lang w:val="de-DE"/>
        </w:rPr>
        <w:t>Vergütung (Performancegebühren) von</w:t>
      </w:r>
      <w:r>
        <w:rPr>
          <w:rFonts w:cs="Cambria" w:ascii="Cambria" w:hAnsi="Cambria"/>
          <w:lang w:val="nl-BE"/>
        </w:rPr>
        <w:t xml:space="preserve"> Investmentfonds, die für Organismen für gemeinsame Anlagen in Wertpapiere (OGAW) und bestimmte Arten von alternativen Investmentfonds (AIF) gelten. </w:t>
      </w:r>
    </w:p>
    <w:p>
      <w:pPr>
        <w:pStyle w:val="Normal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 xml:space="preserve">Diese </w:t>
      </w:r>
      <w:r>
        <w:rPr>
          <w:rFonts w:cs="Cambria" w:ascii="Cambria" w:hAnsi="Cambria"/>
          <w:lang w:val="de-DE"/>
        </w:rPr>
        <w:t>Leit</w:t>
      </w:r>
      <w:r>
        <w:rPr>
          <w:rFonts w:cs="Cambria" w:ascii="Cambria" w:hAnsi="Cambria"/>
          <w:lang w:val="nl-BE"/>
        </w:rPr>
        <w:t xml:space="preserve">linien zielen darauf ab, Regeln für Fondsmanager bei der Berechnung von Performancegebühren für Kleinanleger sowie für die zuständigen </w:t>
      </w:r>
      <w:r>
        <w:rPr>
          <w:rFonts w:cs="Cambria" w:ascii="Cambria" w:hAnsi="Cambria"/>
          <w:lang w:val="de-DE"/>
        </w:rPr>
        <w:t xml:space="preserve">nationalen </w:t>
      </w:r>
      <w:r>
        <w:rPr>
          <w:rFonts w:cs="Cambria" w:ascii="Cambria" w:hAnsi="Cambria"/>
          <w:lang w:val="nl-BE"/>
        </w:rPr>
        <w:t xml:space="preserve">Behörden (NCA) bei der Überwachung von </w:t>
      </w:r>
      <w:r>
        <w:rPr>
          <w:rFonts w:cs="Cambria" w:ascii="Cambria" w:hAnsi="Cambria"/>
          <w:lang w:val="de-DE"/>
        </w:rPr>
        <w:t xml:space="preserve">erfolgsabhängigen Vergütungsmodellen </w:t>
      </w:r>
      <w:r>
        <w:rPr>
          <w:rFonts w:cs="Cambria" w:ascii="Cambria" w:hAnsi="Cambria"/>
          <w:lang w:val="nl-BE"/>
        </w:rPr>
        <w:t>und der Offenlegung</w:t>
      </w:r>
      <w:r>
        <w:rPr>
          <w:rFonts w:cs="Cambria" w:ascii="Cambria" w:hAnsi="Cambria"/>
          <w:lang w:val="de-DE"/>
        </w:rPr>
        <w:t xml:space="preserve"> von erfolgsabhängigen Vergütungen</w:t>
      </w:r>
      <w:r>
        <w:rPr>
          <w:rFonts w:cs="Cambria" w:ascii="Cambria" w:hAnsi="Cambria"/>
          <w:lang w:val="nl-BE"/>
        </w:rPr>
        <w:t xml:space="preserve"> in der Europäischen Union (EU) zu schaffen. </w:t>
      </w:r>
    </w:p>
    <w:p>
      <w:pPr>
        <w:pStyle w:val="Normal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de-DE"/>
        </w:rPr>
        <w:t xml:space="preserve">Als engagierter Vertreter der privaten Anleger war </w:t>
      </w:r>
      <w:r>
        <w:rPr>
          <w:rFonts w:cs="Cambria" w:ascii="Cambria" w:hAnsi="Cambria"/>
          <w:lang w:val="nl-BE"/>
        </w:rPr>
        <w:t>BETTER FINANCE die einzige Organisation</w:t>
      </w:r>
      <w:r>
        <w:rPr>
          <w:rFonts w:cs="Cambria" w:ascii="Cambria" w:hAnsi="Cambria"/>
          <w:lang w:val="de-DE"/>
        </w:rPr>
        <w:t xml:space="preserve"> seitens der Nutzer</w:t>
      </w:r>
      <w:r>
        <w:rPr>
          <w:rFonts w:cs="Cambria" w:ascii="Cambria" w:hAnsi="Cambria"/>
          <w:lang w:val="nl-BE"/>
        </w:rPr>
        <w:t>, die der EMSA ein umfassendes Feedback zu diesem Thema gab</w:t>
      </w:r>
      <w:r>
        <w:rPr>
          <w:rFonts w:cs="Cambria" w:ascii="Cambria" w:hAnsi="Cambria"/>
          <w:lang w:val="de-DE"/>
        </w:rPr>
        <w:t>. BETTER FINANCE</w:t>
      </w:r>
      <w:r>
        <w:rPr>
          <w:rFonts w:cs="Cambria" w:ascii="Cambria" w:hAnsi="Cambria"/>
          <w:lang w:val="nl-BE"/>
        </w:rPr>
        <w:t xml:space="preserve"> </w:t>
      </w:r>
      <w:r>
        <w:rPr>
          <w:rFonts w:cs="Cambria" w:ascii="Cambria" w:hAnsi="Cambria"/>
          <w:lang w:val="de-DE"/>
        </w:rPr>
        <w:t>begrüßt daher</w:t>
      </w:r>
      <w:r>
        <w:rPr>
          <w:rFonts w:cs="Cambria" w:ascii="Cambria" w:hAnsi="Cambria"/>
          <w:lang w:val="nl-BE"/>
        </w:rPr>
        <w:t xml:space="preserve">, dass viele </w:t>
      </w:r>
      <w:r>
        <w:rPr>
          <w:rFonts w:cs="Cambria" w:ascii="Cambria" w:hAnsi="Cambria"/>
          <w:lang w:val="de-DE"/>
        </w:rPr>
        <w:t>seiner</w:t>
      </w:r>
      <w:r>
        <w:rPr>
          <w:rFonts w:cs="Cambria" w:ascii="Cambria" w:hAnsi="Cambria"/>
          <w:lang w:val="nl-BE"/>
        </w:rPr>
        <w:t xml:space="preserve"> Vorschläge </w:t>
      </w:r>
      <w:r>
        <w:rPr>
          <w:rFonts w:cs="Cambria" w:ascii="Cambria" w:hAnsi="Cambria"/>
          <w:lang w:val="de-DE"/>
        </w:rPr>
        <w:t xml:space="preserve">im Rahmen </w:t>
      </w:r>
      <w:r>
        <w:rPr>
          <w:rFonts w:cs="Cambria" w:ascii="Cambria" w:hAnsi="Cambria"/>
          <w:lang w:val="nl-BE"/>
        </w:rPr>
        <w:t xml:space="preserve">der Leitlinien berücksichtigt wurden: 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 xml:space="preserve">OGAW/AIF-Verwalter </w:t>
      </w:r>
      <w:r>
        <w:rPr>
          <w:rFonts w:cs="Cambria" w:ascii="Cambria" w:hAnsi="Cambria"/>
          <w:lang w:val="de-DE"/>
        </w:rPr>
        <w:t>dürfen nur dann eine Performancegebühr berechnen, wenn die Wertentwicklung über der des als Referenz zugrunde gelegten Vergleichsindex liegt.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 xml:space="preserve">Performancegebühren müssen auf der Grundlage der </w:t>
      </w:r>
      <w:r>
        <w:rPr>
          <w:rFonts w:cs="Cambria" w:ascii="Cambria" w:hAnsi="Cambria"/>
          <w:lang w:val="de-DE"/>
        </w:rPr>
        <w:t>Überschussrendite</w:t>
      </w:r>
      <w:r>
        <w:rPr>
          <w:rFonts w:cs="Cambria" w:ascii="Cambria" w:hAnsi="Cambria"/>
          <w:lang w:val="nl-BE"/>
        </w:rPr>
        <w:t xml:space="preserve"> berechnet werden, abzüglich aller Kosten, einschließlich der Performancegebühr. 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>Wenn eine Performancegebühr auch bei negativen Renditen erhoben wird – zum Beispiel</w:t>
      </w:r>
      <w:r>
        <w:rPr>
          <w:rFonts w:cs="Cambria" w:ascii="Cambria" w:hAnsi="Cambria"/>
          <w:lang w:val="de-DE"/>
        </w:rPr>
        <w:t>,</w:t>
      </w:r>
      <w:r>
        <w:rPr>
          <w:rFonts w:cs="Cambria" w:ascii="Cambria" w:hAnsi="Cambria"/>
          <w:lang w:val="nl-BE"/>
        </w:rPr>
        <w:t xml:space="preserve"> wenn </w:t>
      </w:r>
      <w:r>
        <w:rPr>
          <w:rFonts w:cs="Cambria" w:ascii="Cambria" w:hAnsi="Cambria"/>
          <w:lang w:val="de-DE"/>
        </w:rPr>
        <w:t>der zugrunde gelegte Vergleichsindex</w:t>
      </w:r>
      <w:r>
        <w:rPr>
          <w:rFonts w:cs="Cambria" w:ascii="Cambria" w:hAnsi="Cambria"/>
          <w:lang w:val="nl-BE"/>
        </w:rPr>
        <w:t xml:space="preserve"> des Fonds bei -7 % liegt und der Fonds selbst </w:t>
      </w:r>
      <w:r>
        <w:rPr>
          <w:rFonts w:cs="Cambria" w:ascii="Cambria" w:hAnsi="Cambria"/>
          <w:lang w:val="de-DE"/>
        </w:rPr>
        <w:t>mit</w:t>
      </w:r>
      <w:r>
        <w:rPr>
          <w:rFonts w:cs="Cambria" w:ascii="Cambria" w:hAnsi="Cambria"/>
          <w:lang w:val="nl-BE"/>
        </w:rPr>
        <w:t xml:space="preserve"> -5 % </w:t>
      </w:r>
      <w:r>
        <w:rPr>
          <w:rFonts w:cs="Cambria" w:ascii="Cambria" w:hAnsi="Cambria"/>
          <w:lang w:val="de-DE"/>
        </w:rPr>
        <w:t>geringfügig</w:t>
      </w:r>
      <w:r>
        <w:rPr>
          <w:rFonts w:cs="Cambria" w:ascii="Cambria" w:hAnsi="Cambria"/>
          <w:lang w:val="nl-BE"/>
        </w:rPr>
        <w:t xml:space="preserve"> besser abschneidet –</w:t>
      </w:r>
      <w:r>
        <w:rPr>
          <w:rFonts w:cs="Cambria" w:ascii="Cambria" w:hAnsi="Cambria"/>
          <w:lang w:val="de-DE"/>
        </w:rPr>
        <w:t>,</w:t>
      </w:r>
      <w:r>
        <w:rPr>
          <w:rFonts w:cs="Cambria" w:ascii="Cambria" w:hAnsi="Cambria"/>
          <w:lang w:val="nl-BE"/>
        </w:rPr>
        <w:t xml:space="preserve"> dann muss </w:t>
      </w:r>
      <w:r>
        <w:rPr>
          <w:rFonts w:cs="Cambria" w:ascii="Cambria" w:hAnsi="Cambria"/>
          <w:lang w:val="de-DE"/>
        </w:rPr>
        <w:t>das Basisinformationsblatt (</w:t>
      </w:r>
      <w:r>
        <w:rPr>
          <w:rFonts w:cs="Cambria" w:ascii="Cambria" w:hAnsi="Cambria"/>
          <w:lang w:val="nl-BE"/>
        </w:rPr>
        <w:t>KIID</w:t>
      </w:r>
      <w:r>
        <w:rPr>
          <w:rFonts w:cs="Cambria" w:ascii="Cambria" w:hAnsi="Cambria"/>
          <w:lang w:val="de-DE"/>
        </w:rPr>
        <w:t>)</w:t>
      </w:r>
      <w:r>
        <w:rPr>
          <w:rFonts w:cs="Cambria" w:ascii="Cambria" w:hAnsi="Cambria"/>
          <w:lang w:val="nl-BE"/>
        </w:rPr>
        <w:t xml:space="preserve"> des Fonds einen klaren Warnhinweis enthalten, dass die Performancegebühr keine positiven Renditen voraussetzt.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 xml:space="preserve">Ein Fonds, dessen Anlageklasse nicht mit der </w:t>
      </w:r>
      <w:r>
        <w:rPr>
          <w:rFonts w:cs="Cambria" w:ascii="Cambria" w:hAnsi="Cambria"/>
          <w:lang w:val="de-DE"/>
        </w:rPr>
        <w:t xml:space="preserve">des </w:t>
      </w:r>
      <w:r>
        <w:rPr>
          <w:rFonts w:cs="Cambria" w:ascii="Cambria" w:hAnsi="Cambria"/>
          <w:lang w:val="nl-BE"/>
        </w:rPr>
        <w:t xml:space="preserve">angegebenen </w:t>
      </w:r>
      <w:r>
        <w:rPr>
          <w:rFonts w:cs="Cambria" w:ascii="Cambria" w:hAnsi="Cambria"/>
          <w:lang w:val="de-DE"/>
        </w:rPr>
        <w:t>Vergleichsindex</w:t>
      </w:r>
      <w:r>
        <w:rPr>
          <w:rFonts w:cs="Cambria" w:ascii="Cambria" w:hAnsi="Cambria"/>
          <w:lang w:val="nl-BE"/>
        </w:rPr>
        <w:t xml:space="preserve"> übereinstimmt (z. B. ein Aktienfonds, der sich an einem Geldmarktindex orientiert), darf keine Performance</w:t>
      </w:r>
      <w:r>
        <w:rPr>
          <w:rFonts w:cs="Cambria" w:ascii="Cambria" w:hAnsi="Cambria"/>
          <w:lang w:val="de-DE"/>
        </w:rPr>
        <w:t>g</w:t>
      </w:r>
      <w:r>
        <w:rPr>
          <w:rFonts w:cs="Cambria" w:ascii="Cambria" w:hAnsi="Cambria"/>
          <w:lang w:val="nl-BE"/>
        </w:rPr>
        <w:t xml:space="preserve">ebühr </w:t>
      </w:r>
      <w:r>
        <w:rPr>
          <w:rFonts w:cs="Cambria" w:ascii="Cambria" w:hAnsi="Cambria"/>
          <w:lang w:val="de-DE"/>
        </w:rPr>
        <w:t>berechnen</w:t>
      </w:r>
      <w:r>
        <w:rPr>
          <w:rFonts w:cs="Cambria" w:ascii="Cambria" w:hAnsi="Cambria"/>
          <w:lang w:val="nl-BE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52" w:before="0" w:after="160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de-DE"/>
        </w:rPr>
        <w:t>Die Bestimmungen dieser</w:t>
      </w:r>
      <w:r>
        <w:rPr>
          <w:rFonts w:cs="Cambria" w:ascii="Cambria" w:hAnsi="Cambria"/>
          <w:lang w:val="nl-BE"/>
        </w:rPr>
        <w:t xml:space="preserve"> </w:t>
      </w:r>
      <w:r>
        <w:rPr>
          <w:rFonts w:cs="Cambria" w:ascii="Cambria" w:hAnsi="Cambria"/>
          <w:lang w:val="de-DE"/>
        </w:rPr>
        <w:t>Leitlinien</w:t>
      </w:r>
      <w:r>
        <w:rPr>
          <w:rFonts w:cs="Cambria" w:ascii="Cambria" w:hAnsi="Cambria"/>
          <w:lang w:val="nl-BE"/>
        </w:rPr>
        <w:t xml:space="preserve"> werden auf AIF </w:t>
      </w:r>
      <w:r>
        <w:rPr>
          <w:rFonts w:cs="Cambria" w:ascii="Cambria" w:hAnsi="Cambria"/>
          <w:lang w:val="de-DE"/>
        </w:rPr>
        <w:t>erweitert</w:t>
      </w:r>
      <w:r>
        <w:rPr>
          <w:rFonts w:cs="Cambria" w:ascii="Cambria" w:hAnsi="Cambria"/>
          <w:lang w:val="nl-BE"/>
        </w:rPr>
        <w:t xml:space="preserve">, die an </w:t>
      </w:r>
      <w:r>
        <w:rPr>
          <w:rFonts w:cs="Cambria" w:ascii="Cambria" w:hAnsi="Cambria"/>
          <w:lang w:val="de-DE"/>
        </w:rPr>
        <w:t>Privat</w:t>
      </w:r>
      <w:r>
        <w:rPr>
          <w:rFonts w:cs="Cambria" w:ascii="Cambria" w:hAnsi="Cambria"/>
          <w:lang w:val="nl-BE"/>
        </w:rPr>
        <w:t xml:space="preserve">anleger vertrieben werden. </w:t>
      </w:r>
    </w:p>
    <w:p>
      <w:pPr>
        <w:pStyle w:val="Normal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nl-BE"/>
        </w:rPr>
        <w:t xml:space="preserve">Ein Schlüsselaspekt, der in den </w:t>
      </w:r>
      <w:r>
        <w:rPr>
          <w:rFonts w:cs="Cambria" w:ascii="Cambria" w:hAnsi="Cambria"/>
          <w:lang w:val="de-DE"/>
        </w:rPr>
        <w:t>Leit</w:t>
      </w:r>
      <w:r>
        <w:rPr>
          <w:rFonts w:cs="Cambria" w:ascii="Cambria" w:hAnsi="Cambria"/>
          <w:lang w:val="nl-BE"/>
        </w:rPr>
        <w:t xml:space="preserve">linien berücksichtigt wird, ist der des </w:t>
      </w:r>
      <w:r>
        <w:rPr>
          <w:rFonts w:cs="Cambria" w:ascii="Cambria" w:hAnsi="Cambria"/>
          <w:lang w:val="de-DE"/>
        </w:rPr>
        <w:t>„</w:t>
      </w:r>
      <w:r>
        <w:rPr>
          <w:rFonts w:cs="Cambria" w:ascii="Cambria" w:hAnsi="Cambria"/>
          <w:lang w:val="nl-BE"/>
        </w:rPr>
        <w:t>High-Water-Mark</w:t>
      </w:r>
      <w:r>
        <w:rPr>
          <w:rFonts w:cs="Cambria" w:ascii="Cambria" w:hAnsi="Cambria"/>
          <w:lang w:val="de-DE"/>
        </w:rPr>
        <w:t>“</w:t>
      </w:r>
      <w:r>
        <w:rPr>
          <w:rFonts w:cs="Cambria" w:ascii="Cambria" w:hAnsi="Cambria"/>
          <w:lang w:val="nl-BE"/>
        </w:rPr>
        <w:t xml:space="preserve">-Modells (HWM), mit dem sichergestellt werden soll, dass im Falle eines Rückgangs des Nettoinventarwerts eines Fonds keine Performancegebühr gezahlt wird und dass eine Performancegebühr </w:t>
      </w:r>
      <w:r>
        <w:rPr>
          <w:rFonts w:cs="Cambria" w:ascii="Cambria" w:hAnsi="Cambria"/>
          <w:lang w:val="de-DE"/>
        </w:rPr>
        <w:t xml:space="preserve">für den gleichen Betrag der erbrachten Leistung </w:t>
      </w:r>
      <w:r>
        <w:rPr>
          <w:rFonts w:cs="Cambria" w:ascii="Cambria" w:hAnsi="Cambria"/>
          <w:lang w:val="nl-BE"/>
        </w:rPr>
        <w:t xml:space="preserve">nicht zweimal </w:t>
      </w:r>
      <w:r>
        <w:rPr>
          <w:rFonts w:cs="Cambria" w:ascii="Cambria" w:hAnsi="Cambria"/>
          <w:lang w:val="de-DE"/>
        </w:rPr>
        <w:t>berechnet wird</w:t>
      </w:r>
      <w:r>
        <w:rPr>
          <w:rFonts w:cs="Cambria" w:ascii="Cambria" w:hAnsi="Cambria"/>
          <w:lang w:val="nl-BE"/>
        </w:rPr>
        <w:t xml:space="preserve">. Grundsätzlich sollte bei einem Rückgang des Nettovermögenswerts eines Fonds </w:t>
      </w:r>
      <w:r>
        <w:rPr>
          <w:rFonts w:cs="Cambria" w:ascii="Cambria" w:hAnsi="Cambria"/>
          <w:lang w:val="de-DE"/>
        </w:rPr>
        <w:t xml:space="preserve">während </w:t>
      </w:r>
      <w:r>
        <w:rPr>
          <w:rFonts w:cs="Cambria" w:ascii="Cambria" w:hAnsi="Cambria"/>
          <w:lang w:val="nl-BE"/>
        </w:rPr>
        <w:t>eines Jahres keine Performancegebühr an den Investmentmanager gezahlt werden</w:t>
      </w:r>
      <w:r>
        <w:rPr>
          <w:rFonts w:cs="Cambria" w:ascii="Cambria" w:hAnsi="Cambria"/>
          <w:lang w:val="de-DE"/>
        </w:rPr>
        <w:t xml:space="preserve">; ebenso wenig </w:t>
      </w:r>
      <w:r>
        <w:rPr>
          <w:rFonts w:cs="Cambria" w:ascii="Cambria" w:hAnsi="Cambria"/>
          <w:lang w:val="nl-BE"/>
        </w:rPr>
        <w:t xml:space="preserve">sollte eine Performancegebühr </w:t>
      </w:r>
      <w:r>
        <w:rPr>
          <w:rFonts w:cs="Cambria" w:ascii="Cambria" w:hAnsi="Cambria"/>
          <w:lang w:val="de-DE"/>
        </w:rPr>
        <w:t xml:space="preserve">berechnet werden, wenn sich der Nettovermögenswert daraufhin </w:t>
      </w:r>
      <w:r>
        <w:rPr>
          <w:rFonts w:cs="Cambria" w:ascii="Cambria" w:hAnsi="Cambria"/>
          <w:lang w:val="nl-BE"/>
        </w:rPr>
        <w:t>bis</w:t>
      </w:r>
      <w:r>
        <w:rPr>
          <w:rFonts w:cs="Cambria" w:ascii="Cambria" w:hAnsi="Cambria"/>
          <w:lang w:val="de-DE"/>
        </w:rPr>
        <w:t xml:space="preserve"> (maximal)</w:t>
      </w:r>
      <w:r>
        <w:rPr>
          <w:rFonts w:cs="Cambria" w:ascii="Cambria" w:hAnsi="Cambria"/>
          <w:lang w:val="nl-BE"/>
        </w:rPr>
        <w:t xml:space="preserve"> zur HWM </w:t>
      </w:r>
      <w:r>
        <w:rPr>
          <w:rFonts w:cs="Cambria" w:ascii="Cambria" w:hAnsi="Cambria"/>
          <w:lang w:val="de-DE"/>
        </w:rPr>
        <w:t>erhöht</w:t>
      </w:r>
      <w:r>
        <w:rPr>
          <w:rFonts w:cs="Cambria" w:ascii="Cambria" w:hAnsi="Cambria"/>
          <w:lang w:val="nl-BE"/>
        </w:rPr>
        <w:t xml:space="preserve">, da der </w:t>
      </w:r>
      <w:r>
        <w:rPr>
          <w:rFonts w:cs="Cambria" w:ascii="Cambria" w:hAnsi="Cambria"/>
          <w:lang w:val="de-DE"/>
        </w:rPr>
        <w:t>Anleger</w:t>
      </w:r>
      <w:r>
        <w:rPr>
          <w:rFonts w:cs="Cambria" w:ascii="Cambria" w:hAnsi="Cambria"/>
          <w:lang w:val="nl-BE"/>
        </w:rPr>
        <w:t xml:space="preserve"> </w:t>
      </w:r>
      <w:r>
        <w:rPr>
          <w:rFonts w:cs="Cambria" w:ascii="Cambria" w:hAnsi="Cambria"/>
          <w:lang w:val="de-DE"/>
        </w:rPr>
        <w:t xml:space="preserve">in diesem Fall </w:t>
      </w:r>
      <w:r>
        <w:rPr>
          <w:rFonts w:cs="Cambria" w:ascii="Cambria" w:hAnsi="Cambria"/>
          <w:lang w:val="nl-BE"/>
        </w:rPr>
        <w:t xml:space="preserve">noch </w:t>
      </w:r>
      <w:r>
        <w:rPr>
          <w:rFonts w:cs="Cambria" w:ascii="Cambria" w:hAnsi="Cambria"/>
          <w:lang w:val="de-DE"/>
        </w:rPr>
        <w:t>keine Rendite</w:t>
      </w:r>
      <w:r>
        <w:rPr>
          <w:rFonts w:cs="Cambria" w:ascii="Cambria" w:hAnsi="Cambria"/>
          <w:lang w:val="nl-BE"/>
        </w:rPr>
        <w:t xml:space="preserve"> aus seiner </w:t>
      </w:r>
      <w:r>
        <w:rPr>
          <w:rFonts w:cs="Cambria" w:ascii="Cambria" w:hAnsi="Cambria"/>
          <w:lang w:val="de-DE"/>
        </w:rPr>
        <w:t>Anlage</w:t>
      </w:r>
      <w:r>
        <w:rPr>
          <w:rFonts w:cs="Cambria" w:ascii="Cambria" w:hAnsi="Cambria"/>
          <w:lang w:val="nl-BE"/>
        </w:rPr>
        <w:t xml:space="preserve"> erzielt hätte. Aus diesem Grund sollte ein Fonds nur </w:t>
      </w:r>
      <w:r>
        <w:rPr>
          <w:rFonts w:cs="Cambria" w:ascii="Cambria" w:hAnsi="Cambria"/>
          <w:lang w:val="de-DE"/>
        </w:rPr>
        <w:t>dann eine Performancegebühr berechnen, wenn der</w:t>
      </w:r>
      <w:r>
        <w:rPr>
          <w:rFonts w:cs="Cambria" w:ascii="Cambria" w:hAnsi="Cambria"/>
          <w:lang w:val="nl-BE"/>
        </w:rPr>
        <w:t xml:space="preserve"> Nettoinventarwert </w:t>
      </w:r>
      <w:r>
        <w:rPr>
          <w:rFonts w:cs="Cambria" w:ascii="Cambria" w:hAnsi="Cambria"/>
          <w:lang w:val="de-DE"/>
        </w:rPr>
        <w:t xml:space="preserve">den der </w:t>
      </w:r>
      <w:r>
        <w:rPr>
          <w:rFonts w:cs="Cambria" w:ascii="Cambria" w:hAnsi="Cambria"/>
          <w:lang w:val="nl-BE"/>
        </w:rPr>
        <w:t xml:space="preserve">HWM </w:t>
      </w:r>
      <w:r>
        <w:rPr>
          <w:rFonts w:cs="Cambria" w:ascii="Cambria" w:hAnsi="Cambria"/>
          <w:lang w:val="de-DE"/>
        </w:rPr>
        <w:t>übersteigt</w:t>
      </w:r>
      <w:r>
        <w:rPr>
          <w:rFonts w:cs="Cambria" w:ascii="Cambria" w:hAnsi="Cambria"/>
          <w:lang w:val="nl-BE"/>
        </w:rPr>
        <w:t xml:space="preserve">. </w:t>
      </w:r>
    </w:p>
    <w:p>
      <w:pPr>
        <w:pStyle w:val="Normal"/>
        <w:jc w:val="both"/>
        <w:rPr>
          <w:lang w:val="nl-BE"/>
        </w:rPr>
      </w:pPr>
      <w:r>
        <w:rPr>
          <w:rFonts w:cs="Cambria" w:ascii="Cambria" w:hAnsi="Cambria"/>
          <w:lang w:val="nl-BE"/>
        </w:rPr>
        <w:t xml:space="preserve">In diesem Zusammenhang begrüßt BETTER FINANCE die Entscheidung der ESMA, </w:t>
      </w:r>
      <w:r>
        <w:rPr>
          <w:rFonts w:cs="Cambria" w:ascii="Cambria" w:hAnsi="Cambria"/>
          <w:lang w:val="de-DE"/>
        </w:rPr>
        <w:t>„</w:t>
      </w:r>
      <w:r>
        <w:rPr>
          <w:rFonts w:cs="Cambria" w:ascii="Cambria" w:hAnsi="Cambria"/>
          <w:i/>
          <w:iCs/>
          <w:lang w:val="nl-BE"/>
        </w:rPr>
        <w:t>zu empfehlen, dass</w:t>
      </w:r>
      <w:r>
        <w:rPr>
          <w:rFonts w:cs="Cambria" w:ascii="Cambria" w:hAnsi="Cambria"/>
          <w:i/>
          <w:iCs/>
          <w:lang w:val="de-DE"/>
        </w:rPr>
        <w:t xml:space="preserve"> beim HWM-Modell</w:t>
      </w:r>
      <w:r>
        <w:rPr>
          <w:rFonts w:cs="Cambria" w:ascii="Cambria" w:hAnsi="Cambria"/>
          <w:i/>
          <w:iCs/>
          <w:lang w:val="nl-BE"/>
        </w:rPr>
        <w:t xml:space="preserve"> </w:t>
      </w:r>
      <w:r>
        <w:rPr>
          <w:rFonts w:cs="Cambria" w:ascii="Cambria" w:hAnsi="Cambria"/>
          <w:i/>
          <w:iCs/>
          <w:lang w:val="de-DE"/>
        </w:rPr>
        <w:t>die Dauer des</w:t>
      </w:r>
      <w:r>
        <w:rPr>
          <w:rFonts w:cs="Cambria" w:ascii="Cambria" w:hAnsi="Cambria"/>
          <w:i/>
          <w:iCs/>
          <w:lang w:val="nl-BE"/>
        </w:rPr>
        <w:t xml:space="preserve"> Referenzzeitraum</w:t>
      </w:r>
      <w:r>
        <w:rPr>
          <w:rFonts w:cs="Cambria" w:ascii="Cambria" w:hAnsi="Cambria"/>
          <w:i/>
          <w:iCs/>
          <w:lang w:val="de-DE"/>
        </w:rPr>
        <w:t>s</w:t>
      </w:r>
      <w:r>
        <w:rPr>
          <w:rFonts w:cs="Cambria" w:ascii="Cambria" w:hAnsi="Cambria"/>
          <w:i/>
          <w:iCs/>
          <w:lang w:val="nl-BE"/>
        </w:rPr>
        <w:t xml:space="preserve"> </w:t>
      </w:r>
      <w:r>
        <w:rPr>
          <w:rFonts w:cs="Cambria" w:ascii="Cambria" w:hAnsi="Cambria"/>
          <w:i/>
          <w:iCs/>
          <w:lang w:val="de-DE"/>
        </w:rPr>
        <w:t>für die Wertentwicklung</w:t>
      </w:r>
      <w:r>
        <w:rPr>
          <w:rFonts w:cs="Cambria" w:ascii="Cambria" w:hAnsi="Cambria"/>
          <w:i/>
          <w:iCs/>
          <w:lang w:val="nl-BE"/>
        </w:rPr>
        <w:t xml:space="preserve">, </w:t>
      </w:r>
      <w:r>
        <w:rPr>
          <w:rFonts w:cs="Cambria" w:ascii="Cambria" w:hAnsi="Cambria"/>
          <w:i/>
          <w:iCs/>
          <w:lang w:val="de-DE"/>
        </w:rPr>
        <w:t>sofern</w:t>
      </w:r>
      <w:r>
        <w:rPr>
          <w:rFonts w:cs="Cambria" w:ascii="Cambria" w:hAnsi="Cambria"/>
          <w:i/>
          <w:iCs/>
          <w:lang w:val="nl-BE"/>
        </w:rPr>
        <w:t xml:space="preserve"> diese kürze </w:t>
      </w:r>
      <w:r>
        <w:rPr>
          <w:rFonts w:cs="Cambria" w:ascii="Cambria" w:hAnsi="Cambria"/>
          <w:i/>
          <w:iCs/>
          <w:lang w:val="de-DE"/>
        </w:rPr>
        <w:t xml:space="preserve">ist </w:t>
      </w:r>
      <w:r>
        <w:rPr>
          <w:rFonts w:cs="Cambria" w:ascii="Cambria" w:hAnsi="Cambria"/>
          <w:i/>
          <w:iCs/>
          <w:lang w:val="nl-BE"/>
        </w:rPr>
        <w:t xml:space="preserve">als die gesamte </w:t>
      </w:r>
      <w:r>
        <w:rPr>
          <w:rFonts w:cs="Cambria" w:ascii="Cambria" w:hAnsi="Cambria"/>
          <w:i/>
          <w:iCs/>
          <w:lang w:val="de-DE"/>
        </w:rPr>
        <w:t xml:space="preserve">Lebensdauer des </w:t>
      </w:r>
      <w:r>
        <w:rPr>
          <w:rFonts w:cs="Cambria" w:ascii="Cambria" w:hAnsi="Cambria"/>
          <w:i/>
          <w:iCs/>
          <w:lang w:val="nl-BE"/>
        </w:rPr>
        <w:t>Fonds, auf mindestens 5 Jahre festgelegt werden sollte</w:t>
      </w:r>
      <w:r>
        <w:rPr>
          <w:rFonts w:cs="Cambria" w:ascii="Cambria" w:hAnsi="Cambria"/>
          <w:i/>
          <w:iCs/>
          <w:lang w:val="de-DE"/>
        </w:rPr>
        <w:t>“</w:t>
      </w:r>
      <w:r>
        <w:rPr>
          <w:rFonts w:cs="Cambria" w:ascii="Cambria" w:hAnsi="Cambria"/>
          <w:lang w:val="nl-BE"/>
        </w:rPr>
        <w:t xml:space="preserve">. Die ESMA fügte hinzu, dass </w:t>
      </w:r>
      <w:r>
        <w:rPr>
          <w:rFonts w:cs="Cambria" w:ascii="Cambria" w:hAnsi="Cambria"/>
          <w:lang w:val="de-DE"/>
        </w:rPr>
        <w:t>„</w:t>
      </w:r>
      <w:r>
        <w:rPr>
          <w:rFonts w:cs="Cambria" w:ascii="Cambria" w:hAnsi="Cambria"/>
          <w:i/>
          <w:iCs/>
          <w:lang w:val="nl-BE"/>
        </w:rPr>
        <w:t xml:space="preserve">das HWM-Modell auf die gesamte </w:t>
      </w:r>
      <w:r>
        <w:rPr>
          <w:rFonts w:cs="Cambria" w:ascii="Cambria" w:hAnsi="Cambria"/>
          <w:i/>
          <w:iCs/>
          <w:lang w:val="de-DE"/>
        </w:rPr>
        <w:t>Lebensdauer</w:t>
      </w:r>
      <w:r>
        <w:rPr>
          <w:rFonts w:cs="Cambria" w:ascii="Cambria" w:hAnsi="Cambria"/>
          <w:i/>
          <w:iCs/>
          <w:lang w:val="nl-BE"/>
        </w:rPr>
        <w:t xml:space="preserve"> des Fonds oder auf mindestens 5 Jahre festgelegt werden sollte, um </w:t>
      </w:r>
      <w:r>
        <w:rPr>
          <w:rFonts w:cs="Cambria" w:ascii="Cambria" w:hAnsi="Cambria"/>
          <w:i/>
          <w:iCs/>
          <w:lang w:val="de-DE"/>
        </w:rPr>
        <w:t xml:space="preserve">Kleinanlegern </w:t>
      </w:r>
      <w:r>
        <w:rPr>
          <w:rFonts w:cs="Cambria" w:ascii="Cambria" w:hAnsi="Cambria"/>
          <w:i/>
          <w:iCs/>
          <w:lang w:val="nl-BE"/>
        </w:rPr>
        <w:t xml:space="preserve">einen angemessenen Schutz zu gewährleisten. </w:t>
      </w:r>
      <w:r>
        <w:rPr>
          <w:rFonts w:cs="Cambria" w:ascii="Cambria" w:hAnsi="Cambria"/>
          <w:i/>
          <w:iCs/>
          <w:lang w:val="de-DE"/>
        </w:rPr>
        <w:t xml:space="preserve">Damit ließe sich vermeiden, dass die Performancegebühr für den gleichen Umfang der erbrachten Leistungen zweimal zu zahlen ist. Dies entspricht </w:t>
      </w:r>
      <w:r>
        <w:rPr>
          <w:rFonts w:cs="Cambria" w:ascii="Cambria" w:hAnsi="Cambria"/>
          <w:i/>
          <w:iCs/>
          <w:lang w:val="nl-BE"/>
        </w:rPr>
        <w:t>dem Feedback der Verbrauchervertreter</w:t>
      </w:r>
      <w:r>
        <w:rPr>
          <w:rFonts w:cs="Cambria" w:ascii="Cambria" w:hAnsi="Cambria"/>
          <w:i/>
          <w:iCs/>
          <w:lang w:val="de-DE"/>
        </w:rPr>
        <w:t>“</w:t>
      </w:r>
      <w:r>
        <w:rPr>
          <w:rFonts w:cs="Cambria" w:ascii="Cambria" w:hAnsi="Cambria"/>
          <w:lang w:val="nl-BE"/>
        </w:rPr>
        <w:t>.</w:t>
      </w:r>
    </w:p>
    <w:p>
      <w:pPr>
        <w:pStyle w:val="Normal"/>
        <w:jc w:val="both"/>
        <w:rPr>
          <w:rFonts w:ascii="Cambria" w:hAnsi="Cambria" w:cs="Cambria"/>
          <w:lang w:val="nl-BE"/>
        </w:rPr>
      </w:pPr>
      <w:r>
        <w:rPr>
          <w:rFonts w:cs="Cambria" w:ascii="Cambria" w:hAnsi="Cambria"/>
          <w:lang w:val="de-DE"/>
        </w:rPr>
        <w:t>Durch seine Entscheidung</w:t>
      </w:r>
      <w:r>
        <w:rPr>
          <w:rFonts w:cs="Cambria" w:ascii="Cambria" w:hAnsi="Cambria"/>
          <w:lang w:val="nl-BE"/>
        </w:rPr>
        <w:t>, Performancegebühren nicht zu verbieten, wenn die Anlageziele (</w:t>
      </w:r>
      <w:r>
        <w:rPr>
          <w:rFonts w:cs="Cambria" w:ascii="Cambria" w:hAnsi="Cambria"/>
          <w:lang w:val="de-DE"/>
        </w:rPr>
        <w:t>etwa</w:t>
      </w:r>
      <w:r>
        <w:rPr>
          <w:rFonts w:cs="Cambria" w:ascii="Cambria" w:hAnsi="Cambria"/>
          <w:lang w:val="nl-BE"/>
        </w:rPr>
        <w:t xml:space="preserve"> bei </w:t>
      </w:r>
      <w:r>
        <w:rPr>
          <w:rFonts w:cs="Cambria" w:ascii="Cambria" w:hAnsi="Cambria"/>
          <w:lang w:val="de-DE"/>
        </w:rPr>
        <w:t>indexgebundenen</w:t>
      </w:r>
      <w:r>
        <w:rPr>
          <w:rFonts w:cs="Cambria" w:ascii="Cambria" w:hAnsi="Cambria"/>
          <w:lang w:val="nl-BE"/>
        </w:rPr>
        <w:t xml:space="preserve"> Fonds) mit dem Konzept einer Performancegebühr unvereinbar sind</w:t>
      </w:r>
      <w:r>
        <w:rPr>
          <w:rFonts w:cs="Cambria" w:ascii="Cambria" w:hAnsi="Cambria"/>
          <w:lang w:val="de-DE"/>
        </w:rPr>
        <w:t>, folgte die ESMA jedoch nicht in allen Punkten den Vorschlägen von BETTER FINANCE</w:t>
      </w:r>
      <w:r>
        <w:rPr>
          <w:rFonts w:cs="Cambria" w:ascii="Cambria" w:hAnsi="Cambria"/>
          <w:lang w:val="nl-BE"/>
        </w:rPr>
        <w:t>.</w:t>
      </w:r>
    </w:p>
    <w:p>
      <w:pPr>
        <w:pStyle w:val="Normal"/>
        <w:jc w:val="both"/>
        <w:rPr>
          <w:lang w:val="nl-BE"/>
        </w:rPr>
      </w:pPr>
      <w:r>
        <w:rPr>
          <w:rFonts w:cs="Cambria" w:ascii="Cambria" w:hAnsi="Cambria"/>
          <w:lang w:val="nl-BE"/>
        </w:rPr>
        <w:t xml:space="preserve">Ebenso wenig </w:t>
      </w:r>
      <w:r>
        <w:rPr>
          <w:rFonts w:cs="Cambria" w:ascii="Cambria" w:hAnsi="Cambria"/>
          <w:lang w:val="de-DE"/>
        </w:rPr>
        <w:t xml:space="preserve">entsprach </w:t>
      </w:r>
      <w:r>
        <w:rPr>
          <w:rFonts w:cs="Cambria" w:ascii="Cambria" w:hAnsi="Cambria"/>
          <w:lang w:val="nl-BE"/>
        </w:rPr>
        <w:t xml:space="preserve">die ESMA </w:t>
      </w:r>
      <w:r>
        <w:rPr>
          <w:rFonts w:cs="Cambria" w:ascii="Cambria" w:hAnsi="Cambria"/>
          <w:lang w:val="de-DE"/>
        </w:rPr>
        <w:t xml:space="preserve">der Forderung von </w:t>
      </w:r>
      <w:r>
        <w:rPr>
          <w:rFonts w:cs="Cambria" w:ascii="Cambria" w:hAnsi="Cambria"/>
          <w:lang w:val="nl-BE"/>
        </w:rPr>
        <w:t xml:space="preserve">BETTER FINANCE </w:t>
      </w:r>
      <w:r>
        <w:rPr>
          <w:rFonts w:cs="Cambria" w:ascii="Cambria" w:hAnsi="Cambria"/>
          <w:lang w:val="de-DE"/>
        </w:rPr>
        <w:t xml:space="preserve">bei </w:t>
      </w:r>
      <w:r>
        <w:rPr>
          <w:rFonts w:cs="Cambria" w:ascii="Cambria" w:hAnsi="Cambria"/>
          <w:lang w:val="nl-BE"/>
        </w:rPr>
        <w:t xml:space="preserve">dem Grundsatz, OGAW-Verwalter, die </w:t>
      </w:r>
      <w:r>
        <w:rPr>
          <w:rFonts w:cs="Cambria" w:ascii="Cambria" w:hAnsi="Cambria"/>
          <w:u w:val="single"/>
          <w:lang w:val="nl-BE"/>
        </w:rPr>
        <w:t>bei</w:t>
      </w:r>
      <w:r>
        <w:rPr>
          <w:rFonts w:cs="Cambria" w:ascii="Cambria" w:hAnsi="Cambria"/>
          <w:u w:val="single"/>
          <w:lang w:val="de-DE"/>
        </w:rPr>
        <w:t xml:space="preserve"> einer</w:t>
      </w:r>
      <w:r>
        <w:rPr>
          <w:rFonts w:cs="Cambria" w:ascii="Cambria" w:hAnsi="Cambria"/>
          <w:u w:val="none"/>
          <w:lang w:val="de-DE"/>
        </w:rPr>
        <w:t xml:space="preserve"> Wertentwicklung über der des Vergleichsindex</w:t>
      </w:r>
      <w:r>
        <w:rPr>
          <w:rFonts w:cs="Cambria" w:ascii="Cambria" w:hAnsi="Cambria"/>
          <w:u w:val="none"/>
          <w:lang w:val="nl-BE"/>
        </w:rPr>
        <w:t xml:space="preserve"> </w:t>
      </w:r>
      <w:r>
        <w:rPr>
          <w:rFonts w:cs="Cambria" w:ascii="Cambria" w:hAnsi="Cambria"/>
          <w:lang w:val="nl-BE"/>
        </w:rPr>
        <w:t xml:space="preserve">Performancegebühren </w:t>
      </w:r>
      <w:r>
        <w:rPr>
          <w:rFonts w:cs="Cambria" w:ascii="Cambria" w:hAnsi="Cambria"/>
          <w:lang w:val="de-DE"/>
        </w:rPr>
        <w:t>berechnen</w:t>
      </w:r>
      <w:r>
        <w:rPr>
          <w:rFonts w:cs="Cambria" w:ascii="Cambria" w:hAnsi="Cambria"/>
          <w:lang w:val="nl-BE"/>
        </w:rPr>
        <w:t>, zu verpflichten,</w:t>
      </w:r>
      <w:r>
        <w:rPr>
          <w:rFonts w:cs="Cambria" w:ascii="Cambria" w:hAnsi="Cambria"/>
          <w:lang w:val="de-DE"/>
        </w:rPr>
        <w:t xml:space="preserve"> ihre Verwaltungsgebühr</w:t>
      </w:r>
      <w:r>
        <w:rPr>
          <w:rFonts w:cs="Cambria" w:ascii="Cambria" w:hAnsi="Cambria"/>
          <w:lang w:val="nl-BE"/>
        </w:rPr>
        <w:t xml:space="preserve"> </w:t>
      </w:r>
      <w:r>
        <w:rPr>
          <w:rFonts w:cs="Cambria" w:ascii="Cambria" w:hAnsi="Cambria"/>
          <w:u w:val="single"/>
          <w:lang w:val="nl-BE"/>
        </w:rPr>
        <w:t xml:space="preserve">zu verringern, wenn die </w:t>
      </w:r>
      <w:r>
        <w:rPr>
          <w:rFonts w:cs="Cambria" w:ascii="Cambria" w:hAnsi="Cambria"/>
          <w:u w:val="single"/>
          <w:lang w:val="de-DE"/>
        </w:rPr>
        <w:t>Wertentwicklung hinter der des Vergleichsindex zurückbleibt</w:t>
      </w:r>
      <w:r>
        <w:rPr>
          <w:rFonts w:cs="Cambria" w:ascii="Cambria" w:hAnsi="Cambria"/>
          <w:lang w:val="nl-BE"/>
        </w:rPr>
        <w:t xml:space="preserve">. Die Performancegebühren </w:t>
      </w:r>
      <w:r>
        <w:rPr>
          <w:rFonts w:cs="Cambria" w:ascii="Cambria" w:hAnsi="Cambria"/>
          <w:lang w:val="de-DE"/>
        </w:rPr>
        <w:t xml:space="preserve">sind daher weiterhin </w:t>
      </w:r>
      <w:r>
        <w:rPr>
          <w:rFonts w:cs="Cambria" w:ascii="Cambria" w:hAnsi="Cambria"/>
          <w:lang w:val="nl-BE"/>
        </w:rPr>
        <w:t xml:space="preserve">eine </w:t>
      </w:r>
      <w:r>
        <w:rPr>
          <w:rFonts w:cs="Cambria" w:ascii="Cambria" w:hAnsi="Cambria"/>
          <w:lang w:val="de-DE"/>
        </w:rPr>
        <w:t>Einbahnstraße nach dem Motto</w:t>
      </w:r>
      <w:r>
        <w:rPr>
          <w:rFonts w:cs="Cambria" w:ascii="Cambria" w:hAnsi="Cambria"/>
          <w:lang w:val="nl-BE"/>
        </w:rPr>
        <w:t xml:space="preserve">: </w:t>
      </w:r>
      <w:r>
        <w:rPr>
          <w:rFonts w:cs="Cambria" w:ascii="Cambria" w:hAnsi="Cambria"/>
          <w:lang w:val="de-DE"/>
        </w:rPr>
        <w:t>„</w:t>
      </w:r>
      <w:r>
        <w:rPr>
          <w:rFonts w:cs="Cambria" w:ascii="Cambria" w:hAnsi="Cambria"/>
          <w:lang w:val="nl-BE"/>
        </w:rPr>
        <w:t>Kopf</w:t>
      </w:r>
      <w:r>
        <w:rPr>
          <w:rFonts w:cs="Cambria" w:ascii="Cambria" w:hAnsi="Cambria"/>
          <w:lang w:val="de-DE"/>
        </w:rPr>
        <w:t>, ich gewinne. Zahl, du verlierst“</w:t>
      </w:r>
      <w:r>
        <w:rPr>
          <w:rFonts w:cs="Cambria" w:ascii="Cambria" w:hAnsi="Cambria"/>
          <w:lang w:val="nl-BE"/>
        </w:rPr>
        <w:t>.</w:t>
      </w:r>
    </w:p>
    <w:p>
      <w:pPr>
        <w:pStyle w:val="Normal"/>
        <w:jc w:val="both"/>
        <w:rPr>
          <w:lang w:val="nl-BE"/>
        </w:rPr>
      </w:pPr>
      <w:r>
        <w:rPr>
          <w:rFonts w:cs="Cambria" w:ascii="Cambria" w:hAnsi="Cambria"/>
          <w:i/>
          <w:iCs/>
          <w:lang w:val="de-DE"/>
        </w:rPr>
        <w:t>„</w:t>
      </w:r>
      <w:r>
        <w:rPr>
          <w:rFonts w:cs="Cambria" w:ascii="Cambria" w:hAnsi="Cambria"/>
          <w:i/>
          <w:iCs/>
          <w:lang w:val="nl-BE"/>
        </w:rPr>
        <w:t xml:space="preserve">Insgesamt ist BETTER FINANCE der europäischen Aufsichtsbehörde sehr dankbar für diese gründliche Verbesserung bei der </w:t>
      </w:r>
      <w:r>
        <w:rPr>
          <w:rFonts w:cs="Cambria" w:ascii="Cambria" w:hAnsi="Cambria"/>
          <w:i/>
          <w:iCs/>
          <w:lang w:val="de-DE"/>
        </w:rPr>
        <w:t>An</w:t>
      </w:r>
      <w:r>
        <w:rPr>
          <w:rFonts w:cs="Cambria" w:ascii="Cambria" w:hAnsi="Cambria"/>
          <w:i/>
          <w:iCs/>
          <w:lang w:val="nl-BE"/>
        </w:rPr>
        <w:t xml:space="preserve">wendung von </w:t>
      </w:r>
      <w:r>
        <w:rPr>
          <w:rFonts w:cs="Cambria" w:ascii="Cambria" w:hAnsi="Cambria"/>
          <w:i/>
          <w:iCs/>
          <w:lang w:val="de-DE"/>
        </w:rPr>
        <w:t>„</w:t>
      </w:r>
      <w:r>
        <w:rPr>
          <w:rFonts w:cs="Cambria" w:ascii="Cambria" w:hAnsi="Cambria"/>
          <w:i/>
          <w:iCs/>
          <w:lang w:val="nl-BE"/>
        </w:rPr>
        <w:t>Performance</w:t>
      </w:r>
      <w:r>
        <w:rPr>
          <w:rFonts w:cs="Cambria" w:ascii="Cambria" w:hAnsi="Cambria"/>
          <w:i/>
          <w:iCs/>
          <w:lang w:val="de-DE"/>
        </w:rPr>
        <w:t>“</w:t>
      </w:r>
      <w:r>
        <w:rPr>
          <w:rFonts w:cs="Cambria" w:ascii="Cambria" w:hAnsi="Cambria"/>
          <w:i/>
          <w:iCs/>
          <w:lang w:val="nl-BE"/>
        </w:rPr>
        <w:t xml:space="preserve">-Gebühren durch Investmentfondsgesellschaften, </w:t>
      </w:r>
      <w:r>
        <w:rPr>
          <w:rFonts w:cs="Cambria" w:ascii="Cambria" w:hAnsi="Cambria"/>
          <w:i/>
          <w:iCs/>
          <w:lang w:val="de-DE"/>
        </w:rPr>
        <w:t xml:space="preserve">durch </w:t>
      </w:r>
      <w:r>
        <w:rPr>
          <w:rFonts w:cs="Cambria" w:ascii="Cambria" w:hAnsi="Cambria"/>
          <w:i/>
          <w:iCs/>
          <w:lang w:val="nl-BE"/>
        </w:rPr>
        <w:t xml:space="preserve">die die Fondsanleger besser </w:t>
      </w:r>
      <w:r>
        <w:rPr>
          <w:rFonts w:cs="Cambria" w:ascii="Cambria" w:hAnsi="Cambria"/>
          <w:i/>
          <w:iCs/>
          <w:lang w:val="de-DE"/>
        </w:rPr>
        <w:t>geschützt werden“</w:t>
      </w:r>
      <w:r>
        <w:rPr>
          <w:rFonts w:cs="Cambria" w:ascii="Cambria" w:hAnsi="Cambria"/>
          <w:i/>
          <w:iCs/>
          <w:lang w:val="nl-BE"/>
        </w:rPr>
        <w:t xml:space="preserve">, </w:t>
      </w:r>
      <w:r>
        <w:rPr>
          <w:rFonts w:cs="Cambria" w:ascii="Cambria" w:hAnsi="Cambria"/>
          <w:lang w:val="nl-BE"/>
        </w:rPr>
        <w:t xml:space="preserve">sagte Guillaume Prache, </w:t>
      </w:r>
      <w:r>
        <w:rPr>
          <w:rFonts w:cs="Cambria" w:ascii="Cambria" w:hAnsi="Cambria"/>
          <w:lang w:val="de-DE"/>
        </w:rPr>
        <w:t>Geschäftsführer</w:t>
      </w:r>
      <w:r>
        <w:rPr>
          <w:rFonts w:cs="Cambria" w:ascii="Cambria" w:hAnsi="Cambria"/>
          <w:lang w:val="nl-BE"/>
        </w:rPr>
        <w:t>.</w:t>
      </w:r>
    </w:p>
    <w:p>
      <w:pPr>
        <w:pStyle w:val="Normal"/>
        <w:jc w:val="center"/>
        <w:rPr>
          <w:rFonts w:ascii="Calibri Light" w:hAnsi="Calibri Light" w:cs="Calibri Light"/>
          <w:lang w:val="nl-BE"/>
        </w:rPr>
      </w:pPr>
      <w:r>
        <w:rPr>
          <w:rFonts w:cs="Calibri Light" w:ascii="Calibri Light" w:hAnsi="Calibri Light"/>
          <w:lang w:val="nl-BE"/>
        </w:rPr>
        <w:t>***</w:t>
      </w:r>
    </w:p>
    <w:p>
      <w:pPr>
        <w:pStyle w:val="Textkrper"/>
        <w:spacing w:lineRule="atLeast" w:line="30" w:before="120" w:after="0"/>
        <w:jc w:val="center"/>
        <w:rPr>
          <w:lang w:val="nl-BE"/>
        </w:rPr>
      </w:pPr>
      <w:r>
        <w:rPr>
          <w:rFonts w:cs="Calibri Light" w:ascii="Calibri Light" w:hAnsi="Calibri Light"/>
          <w:sz w:val="18"/>
          <w:szCs w:val="18"/>
          <w:u w:val="single"/>
          <w:lang w:val="nl-BE"/>
        </w:rPr>
        <w:t>Kontakt</w:t>
      </w:r>
      <w:r>
        <w:rPr>
          <w:rFonts w:cs="Calibri Light" w:ascii="Calibri Light" w:hAnsi="Calibri Light"/>
          <w:sz w:val="18"/>
          <w:szCs w:val="18"/>
          <w:lang w:val="nl-BE"/>
        </w:rPr>
        <w:t xml:space="preserve">: Leiter der Kommunikationsabteilung ǀ Arnaud Houdmont ǀ +32 (0)2 514 37 77 ǀ </w:t>
      </w:r>
      <w:hyperlink r:id="rId2">
        <w:r>
          <w:rPr>
            <w:rStyle w:val="Internetverknpfung"/>
            <w:rFonts w:cs="Calibri Light" w:ascii="Calibri Light" w:hAnsi="Calibri Light"/>
            <w:sz w:val="18"/>
            <w:szCs w:val="18"/>
            <w:lang w:val="nl-BE"/>
          </w:rPr>
          <w:t>houdmont@betterfinance.eu</w:t>
        </w:r>
      </w:hyperlink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20" w:after="0"/>
      <w:ind w:left="-567" w:hanging="0"/>
      <w:jc w:val="center"/>
      <w:rPr>
        <w:b/>
        <w:b/>
        <w:color w:val="006FB4"/>
        <w:sz w:val="16"/>
        <w:szCs w:val="16"/>
        <w:lang w:val="nl-BE"/>
      </w:rPr>
    </w:pPr>
    <w:r>
      <w:rPr>
        <w:b/>
        <w:color w:val="006FB4"/>
        <w:sz w:val="16"/>
        <w:szCs w:val="16"/>
        <w:lang w:val="nl-BE"/>
      </w:rPr>
      <w:t>Die Europäische Föderation der Investoren und Nutzer von Finanzdienstleistungen</w:t>
    </w:r>
  </w:p>
  <w:p>
    <w:pPr>
      <w:pStyle w:val="Normal"/>
      <w:spacing w:lineRule="auto" w:line="240" w:before="0" w:after="0"/>
      <w:ind w:left="-567" w:hanging="0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Brüssel - Belgien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>
    <w:pPr>
      <w:pStyle w:val="Normal"/>
      <w:spacing w:lineRule="auto" w:line="240" w:before="0" w:after="0"/>
      <w:ind w:left="-567" w:hanging="0"/>
      <w:jc w:val="center"/>
      <w:rPr/>
    </w:pPr>
    <w:r>
      <w:rPr>
        <w:color w:val="006FB4"/>
        <w:sz w:val="16"/>
        <w:szCs w:val="16"/>
        <w:lang w:val="pt-PT"/>
      </w:rPr>
      <w:t>E-Mail: info@betterfinance.eu -</w:t>
    </w:r>
    <w:bookmarkStart w:id="1" w:name="_Hlk944867"/>
    <w:r>
      <w:rPr>
        <w:color w:val="006FB4"/>
        <w:sz w:val="16"/>
        <w:szCs w:val="16"/>
        <w:lang w:val="pt-PT"/>
      </w:rPr>
      <w:t xml:space="preserve"> </w:t>
    </w:r>
    <w:hyperlink r:id="rId1">
      <w:r>
        <w:rPr>
          <w:color w:val="006FB4"/>
          <w:sz w:val="16"/>
          <w:szCs w:val="16"/>
          <w:u w:val="single"/>
          <w:lang w:val="it-IT"/>
        </w:rPr>
        <w:t xml:space="preserve">http://www.betterfinance.eu </w:t>
      </w:r>
    </w:hyperlink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2564130</wp:posOffset>
          </wp:positionH>
          <wp:positionV relativeFrom="paragraph">
            <wp:posOffset>-265430</wp:posOffset>
          </wp:positionV>
          <wp:extent cx="3138170" cy="64516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817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  <w:p>
    <w:pPr>
      <w:pStyle w:val="Kopfzeile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B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Arial"/>
      <w:color w:val="auto"/>
      <w:kern w:val="0"/>
      <w:sz w:val="22"/>
      <w:szCs w:val="22"/>
      <w:lang w:val="en-GB" w:eastAsia="en-US" w:bidi="ar-SA"/>
    </w:rPr>
  </w:style>
  <w:style w:type="paragraph" w:styleId="Berschrift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mbria" w:hAnsi="Cambria" w:eastAsia="SimSun" w:cs="Times New Roman"/>
      <w:color w:val="365F91"/>
      <w:sz w:val="32"/>
      <w:szCs w:val="32"/>
    </w:rPr>
  </w:style>
  <w:style w:type="paragraph" w:styleId="Berschrift2">
    <w:name w:val="Heading 2"/>
    <w:basedOn w:val="Normal"/>
    <w:next w:val="Normal"/>
    <w:uiPriority w:val="9"/>
    <w:unhideWhenUsed/>
    <w:qFormat/>
    <w:pPr>
      <w:keepNext w:val="true"/>
      <w:keepLines/>
      <w:spacing w:before="40" w:after="0"/>
      <w:outlineLvl w:val="1"/>
    </w:pPr>
    <w:rPr>
      <w:rFonts w:ascii="Cambria" w:hAnsi="Cambria" w:eastAsia="SimSun" w:cs="Times New Roman"/>
      <w:color w:val="365F9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odyTextChar" w:customStyle="1">
    <w:name w:val="Body Text Char"/>
    <w:basedOn w:val="DefaultParagraphFont"/>
    <w:qFormat/>
    <w:rPr>
      <w:rFonts w:ascii="Tahoma" w:hAnsi="Tahoma" w:eastAsia="Times New Roman" w:cs="Times New Roman"/>
      <w:spacing w:val="10"/>
      <w:sz w:val="17"/>
      <w:szCs w:val="20"/>
      <w:lang w:val="en-US"/>
    </w:rPr>
  </w:style>
  <w:style w:type="character" w:styleId="TitleChar" w:customStyle="1">
    <w:name w:val="Title Char"/>
    <w:basedOn w:val="DefaultParagraphFont"/>
    <w:qFormat/>
    <w:rPr>
      <w:rFonts w:ascii="Cambria" w:hAnsi="Cambria" w:eastAsia="SimSun" w:cs="Times New Roman"/>
      <w:spacing w:val="-10"/>
      <w:kern w:val="2"/>
      <w:sz w:val="56"/>
      <w:szCs w:val="56"/>
    </w:rPr>
  </w:style>
  <w:style w:type="character" w:styleId="BalloonTextChar" w:customStyle="1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sz w:val="20"/>
      <w:szCs w:val="20"/>
    </w:rPr>
  </w:style>
  <w:style w:type="character" w:styleId="CommentSubjectChar" w:customStyle="1">
    <w:name w:val="Comment Subject Char"/>
    <w:basedOn w:val="CommentTextChar"/>
    <w:qFormat/>
    <w:rPr>
      <w:b/>
      <w:bCs/>
      <w:sz w:val="20"/>
      <w:szCs w:val="20"/>
    </w:rPr>
  </w:style>
  <w:style w:type="character" w:styleId="FootnoteTextChar" w:customStyle="1">
    <w:name w:val="Footnote Text Char"/>
    <w:basedOn w:val="DefaultParagraphFont"/>
    <w:qFormat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rPr>
      <w:color w:val="800080"/>
      <w:u w:val="single"/>
    </w:rPr>
  </w:style>
  <w:style w:type="character" w:styleId="Heading2Char" w:customStyle="1">
    <w:name w:val="Heading 2 Char"/>
    <w:basedOn w:val="DefaultParagraphFont"/>
    <w:qFormat/>
    <w:rPr>
      <w:rFonts w:ascii="Cambria" w:hAnsi="Cambria" w:eastAsia="SimSun" w:cs="Times New Roman"/>
      <w:color w:val="365F91"/>
      <w:sz w:val="26"/>
      <w:szCs w:val="26"/>
    </w:rPr>
  </w:style>
  <w:style w:type="character" w:styleId="Heading1Char" w:customStyle="1">
    <w:name w:val="Heading 1 Char"/>
    <w:basedOn w:val="DefaultParagraphFont"/>
    <w:qFormat/>
    <w:rPr>
      <w:rFonts w:ascii="Cambria" w:hAnsi="Cambria" w:eastAsia="SimSun" w:cs="Times New Roman"/>
      <w:color w:val="365F91"/>
      <w:sz w:val="32"/>
      <w:szCs w:val="32"/>
    </w:rPr>
  </w:style>
  <w:style w:type="character" w:styleId="Tlidtranslation" w:customStyle="1">
    <w:name w:val="tlid-translation"/>
    <w:basedOn w:val="DefaultParagraph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exact" w:line="240"/>
    </w:pPr>
    <w:rPr>
      <w:rFonts w:ascii="Tahoma" w:hAnsi="Tahoma" w:eastAsia="Times New Roman" w:cs="Times New Roman"/>
      <w:spacing w:val="10"/>
      <w:sz w:val="17"/>
      <w:szCs w:val="20"/>
      <w:lang w:val="en-US"/>
    </w:rPr>
  </w:style>
  <w:style w:type="paragraph" w:styleId="Liste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le"/>
    <w:basedOn w:val="Normal"/>
    <w:next w:val="Normal"/>
    <w:uiPriority w:val="10"/>
    <w:qFormat/>
    <w:pPr>
      <w:spacing w:lineRule="auto" w:line="240" w:before="0" w:after="0"/>
    </w:pPr>
    <w:rPr>
      <w:rFonts w:ascii="Cambria" w:hAnsi="Cambria" w:eastAsia="SimSun" w:cs="Times New Roman"/>
      <w:spacing w:val="-10"/>
      <w:kern w:val="2"/>
      <w:sz w:val="56"/>
      <w:szCs w:val="5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Fu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udmont@betterfinance.e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urofinuse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A81C4-9679-46F7-A504-BE76D4FE59D6}"/>
</file>

<file path=customXml/itemProps2.xml><?xml version="1.0" encoding="utf-8"?>
<ds:datastoreItem xmlns:ds="http://schemas.openxmlformats.org/officeDocument/2006/customXml" ds:itemID="{762101ED-AE62-4A55-BDF3-3FC939505D67}"/>
</file>

<file path=customXml/itemProps3.xml><?xml version="1.0" encoding="utf-8"?>
<ds:datastoreItem xmlns:ds="http://schemas.openxmlformats.org/officeDocument/2006/customXml" ds:itemID="{13D1FE3C-7512-4720-ABE7-D21EC426E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LibreOffice/6.4.6.2$Windows_X86_64 LibreOffice_project/0ce51a4fd21bff07a5c061082cc82c5ed232f115</Application>
  <Pages>2</Pages>
  <Words>634</Words>
  <Characters>4274</Characters>
  <CharactersWithSpaces>4893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2020-11-09T16:51:00Z</dcterms:created>
  <dc:creator>Arnaud Houdmont</dc:creator>
  <dc:description/>
  <dc:language>de-DE</dc:language>
  <cp:lastModifiedBy/>
  <cp:lastPrinted>2020-12-20T16:52:22Z</cp:lastPrinted>
  <dcterms:modified xsi:type="dcterms:W3CDTF">2020-12-20T16:57:15Z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0x010100B5308A9776426D41840A8C2CCB15B3F3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