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de-DE"/>
        </w:rPr>
      </w:pPr>
      <w:r>
        <w:rPr>
          <w:lang w:val="de-DE"/>
        </w:rPr>
      </w:r>
    </w:p>
    <w:p>
      <w:pPr>
        <w:pStyle w:val="Textkrper"/>
        <w:spacing w:lineRule="auto" w:line="312" w:before="0" w:after="120"/>
        <w:jc w:val="both"/>
        <w:rPr/>
      </w:pPr>
      <w:r>
        <w:rPr>
          <w:rStyle w:val="Strong"/>
          <w:sz w:val="18"/>
          <w:lang w:val="de-DE"/>
        </w:rPr>
        <w:t xml:space="preserve">PRESSEMITTEILUNG </w:t>
      </w:r>
    </w:p>
    <w:p>
      <w:pPr>
        <w:pStyle w:val="Berschrift2"/>
        <w:spacing w:before="40" w:after="80"/>
        <w:jc w:val="both"/>
        <w:rPr>
          <w:lang w:val="de-DE"/>
        </w:rPr>
      </w:pPr>
      <w:r>
        <w:rPr>
          <w:rFonts w:eastAsia="Calibri" w:cs="Arial"/>
          <w:b/>
          <w:spacing w:val="20"/>
          <w:kern w:val="2"/>
          <w:sz w:val="30"/>
          <w:szCs w:val="30"/>
          <w:lang w:val="de-DE"/>
        </w:rPr>
        <w:t>BETTER FINANCE drängt darauf, die Mitarbeiterkapitalbeteiligung in den Mittelpunkt der Bemühungen zur Bewältigung der durch Corona verursachten Finanzkrise zu stellen</w:t>
      </w:r>
    </w:p>
    <w:p>
      <w:pPr>
        <w:pStyle w:val="Normal"/>
        <w:spacing w:before="0" w:after="120"/>
        <w:jc w:val="both"/>
        <w:rPr/>
      </w:pPr>
      <w:bookmarkStart w:id="0" w:name="_Hlk4143464"/>
      <w:r>
        <w:rPr>
          <w:rFonts w:eastAsia="Times New Roman" w:cs="Calibri Light" w:ascii="Calibri Light" w:hAnsi="Calibri Light"/>
          <w:b/>
          <w:bCs/>
          <w:lang w:val="de-DE"/>
        </w:rPr>
        <w:t>Brüssel, 22. Mai 2020</w:t>
      </w:r>
      <w:bookmarkEnd w:id="0"/>
      <w:r>
        <w:rPr>
          <w:rFonts w:eastAsia="Times New Roman" w:cs="Calibri Light" w:ascii="Calibri Light" w:hAnsi="Calibri Light"/>
          <w:b/>
          <w:bCs/>
          <w:lang w:val="de-DE"/>
        </w:rPr>
        <w:t xml:space="preserve"> </w:t>
      </w:r>
      <w:r>
        <w:rPr>
          <w:rFonts w:eastAsia="Times New Roman" w:cs="Calibri Light" w:ascii="Calibri Light" w:hAnsi="Calibri Light"/>
          <w:lang w:val="de-DE"/>
        </w:rPr>
        <w:t xml:space="preserve">- Angesichts der aktuellen Krise, in der sich Arbeitnehmer und Unternehmen, insbesondere KMU, gezwungen sehen, näher zusammenzurücken, hat die EFES, die Europäische Föderation für Mitarbeiterkapitalbeteiligung, eine Mitgliedsorganisation von BETTER FINANCE, einen </w:t>
      </w:r>
      <w:hyperlink r:id="rId2">
        <w:r>
          <w:rPr>
            <w:rStyle w:val="Internetverknpfung"/>
            <w:rFonts w:eastAsia="Times New Roman" w:cs="Calibri Light" w:ascii="Calibri Light" w:hAnsi="Calibri Light"/>
            <w:lang w:val="de-DE"/>
          </w:rPr>
          <w:t>konkreten Vorschlag</w:t>
        </w:r>
      </w:hyperlink>
      <w:r>
        <w:rPr>
          <w:rFonts w:eastAsia="Times New Roman" w:cs="Calibri Light" w:ascii="Calibri Light" w:hAnsi="Calibri Light"/>
          <w:lang w:val="de-DE"/>
        </w:rPr>
        <w:t xml:space="preserve"> zur Kooptierung der Mitarbeiterkapitalbeteiligung (MKB) vorgelegt, um Unternehmen, die durch die Pandemie in Konkurs zu geraten drohen, bei der Finanzierung unter die Arme zu greifen und die Regierungen in ihrem Kampf gegen die Folgen der Krise zusätzlich zu unterstützen. </w:t>
      </w:r>
    </w:p>
    <w:p>
      <w:pPr>
        <w:pStyle w:val="Normal"/>
        <w:spacing w:before="0" w:after="120"/>
        <w:jc w:val="both"/>
        <w:rPr>
          <w:lang w:val="de-DE"/>
        </w:rPr>
      </w:pPr>
      <w:r>
        <w:rPr>
          <w:rFonts w:eastAsia="Times New Roman" w:cs="Calibri Light" w:ascii="Calibri Light" w:hAnsi="Calibri Light"/>
          <w:lang w:val="de-DE"/>
        </w:rPr>
        <w:t xml:space="preserve">Mit enormen Kosten für die Steuerzahler werden überall in der EU in einem noch nie dagewesenen, aber dennoch notwendigen Umfang staatliche Beihilfen eingeführt, die Unternehmen helfen sollen, ihre Liquiditätsprobleme zu bewältigen und eine Insolvenz zu vermeiden. Was wäre aber, wenn diese gigantischen Summen besser und effizienter eingesetzt werden könnten, damit die Mitarbeiter zu Anteilseignern in den Unternehmen werden? </w:t>
      </w:r>
    </w:p>
    <w:p>
      <w:pPr>
        <w:pStyle w:val="Normal"/>
        <w:spacing w:before="0" w:after="120"/>
        <w:jc w:val="both"/>
        <w:rPr>
          <w:lang w:val="de-DE"/>
        </w:rPr>
      </w:pPr>
      <w:r>
        <w:rPr>
          <w:rFonts w:eastAsia="Times New Roman" w:cs="Calibri Light" w:ascii="Calibri Light" w:hAnsi="Calibri Light"/>
          <w:lang w:val="de-DE"/>
        </w:rPr>
        <w:t xml:space="preserve">Die europäische Wirtschaft ist dringend auf ein MKB-Modell angewiesen, das – wie in den Vereinigten Staaten –  umfassende und finanziell erschwingliche fremdfinanzierte Übernahmen von Teilen oder sogar des gesamten eigenen Unternehmens durch die Mitarbeiter ermöglicht. BETTER FINANCE unterstützt nachdrücklich den Vorschlag der EFES, das Modell des Mitarbeiterkapitalbeteiligungsprogramms (Employee Stock Ownership Plan, ESOP) anzuwenden, das mit Blick auf KMU entwickelt wurde und in den Vereinigten Staaten seit 1974 allgegenwärtig ist, während es in Europa weitgehend unbekannt bleibt. </w:t>
      </w:r>
    </w:p>
    <w:p>
      <w:pPr>
        <w:pStyle w:val="Normal"/>
        <w:spacing w:before="0" w:after="120"/>
        <w:jc w:val="both"/>
        <w:rPr>
          <w:lang w:val="de-DE"/>
        </w:rPr>
      </w:pPr>
      <w:r>
        <w:rPr>
          <w:rFonts w:eastAsia="Times New Roman" w:cs="Calibri Light" w:ascii="Calibri Light" w:hAnsi="Calibri Light"/>
          <w:lang w:val="de-DE"/>
        </w:rPr>
        <w:t>Der Vorschlag zielt darauf ab, ein echtes europäisches ESOP-Modell als Altersvorsorgeplan zu entwickeln, das bei seiner Einführung an die spezifischen rechtlichen und steuerlichen Besonderheiten der einzelnen EU-Mitgliedstaaten anzupassen wäre. Ein solches langfristiges Mitarbeiterbeteiligungsprogramm würde von einem cleveren Finanzierungsmodell profitieren, das auf einem originellen Besteuerungssystem basiert, bei dem das ESOP-Modell alle anderen bestehenden Mitarbeiterbeteiligungsformeln von KMU ersetzen könnte.</w:t>
      </w:r>
    </w:p>
    <w:p>
      <w:pPr>
        <w:pStyle w:val="Normal"/>
        <w:spacing w:before="0" w:after="120"/>
        <w:jc w:val="both"/>
        <w:rPr>
          <w:lang w:val="de-DE"/>
        </w:rPr>
      </w:pPr>
      <w:r>
        <w:rPr>
          <w:rFonts w:eastAsia="Times New Roman" w:cs="Calibri Light" w:ascii="Calibri Light" w:hAnsi="Calibri Light"/>
          <w:lang w:val="de-DE"/>
        </w:rPr>
        <w:t>Die MKB kann eine entscheidende Rolle dabei spielen, die Resilienz von Unternehmen zu stärken und die Beschäftigungsfluktuation in Zeiten der Wirtschaftskrise zu verringern. Es hat sich herausgestellt, dass Unternehmen mit Mitarbeiterbeteiligungsprogrammen in schwierigen Phasen seltener in Konkurs gehen.</w:t>
      </w:r>
      <w:r>
        <w:rPr>
          <w:rStyle w:val="Funotenanker"/>
          <w:rFonts w:eastAsia="Times New Roman" w:cs="Calibri Light" w:ascii="Calibri Light" w:hAnsi="Calibri Light"/>
          <w:lang w:val="de-DE"/>
        </w:rPr>
        <w:footnoteReference w:id="2"/>
      </w:r>
      <w:r>
        <w:rPr>
          <w:rFonts w:eastAsia="Times New Roman" w:cs="Calibri Light" w:ascii="Calibri Light" w:hAnsi="Calibri Light"/>
          <w:lang w:val="de-DE"/>
        </w:rPr>
        <w:t xml:space="preserve"> </w:t>
      </w:r>
    </w:p>
    <w:p>
      <w:pPr>
        <w:pStyle w:val="Normal"/>
        <w:spacing w:before="0" w:after="120"/>
        <w:jc w:val="both"/>
        <w:rPr>
          <w:lang w:val="de-DE"/>
        </w:rPr>
      </w:pPr>
      <w:r>
        <w:rPr>
          <w:rFonts w:eastAsia="Times New Roman" w:cs="Calibri Light" w:ascii="Calibri Light" w:hAnsi="Calibri Light"/>
          <w:lang w:val="de-DE"/>
        </w:rPr>
        <w:t>BETTER FINANCE ist der Ansicht, dass die Kapitalbeteiligung der Mitarbeiter zur Bewältigung der bevorstehenden Corona-Finanzkrise von entscheidender Bedeutung ist, aber auch den Schlüssel zum Erfolg der Kapitalmarktunion (Capital Markets Union, CMU) bildet, indem sie die EU-Bürger wieder mit Aktien als dem Finanzinstrument vertraut macht, das am ehesten geeignet ist, den realen Wert ihrer lebenslangen finanziellen Ersparnisse langfristig zu sichern. Schließlich besteht bei der MKB nachweislich ein unmittelbarer Zusammenhang mit einer erhöhten Finanzkompetenz und Kenntnis der Aktien- und Kapitalmärkte, da der Arbeitsplatz die einzige unabhängige Möglichkeit für Erwachsene ist, sich über Kapitalmärkte weiterzubilden.</w:t>
      </w:r>
    </w:p>
    <w:p>
      <w:pPr>
        <w:pStyle w:val="Normal"/>
        <w:spacing w:before="0" w:after="120"/>
        <w:jc w:val="both"/>
        <w:rPr>
          <w:lang w:val="de-DE"/>
        </w:rPr>
      </w:pPr>
      <w:r>
        <w:rPr>
          <w:rFonts w:eastAsia="Times New Roman" w:cs="Calibri Light" w:ascii="Calibri Light" w:hAnsi="Calibri Light"/>
          <w:lang w:val="de-DE"/>
        </w:rPr>
        <w:t>Von entscheidender Bedeutung ist, dass die MKB zu einem verstärkten langfristigen Engagement der Belegschaftsaktionäre mit einem stärkeren Fokus auf Nachhaltigkeit und Verbesserung der Corporate Governance der Unternehmen, in die sie investiert sind, führt, zumal mitarbeitergeführte Unternehmen zu mehr Verantwortung neigen und ihrem unmittelbaren Umfeld höheren Stellenwert beimessen, da sie die externen Faktoren internalisieren.</w:t>
      </w:r>
      <w:r>
        <w:rPr>
          <w:rStyle w:val="Funotenanker"/>
          <w:rFonts w:eastAsia="Times New Roman" w:cs="Calibri Light" w:ascii="Calibri Light" w:hAnsi="Calibri Light"/>
          <w:lang w:val="de-DE"/>
        </w:rPr>
        <w:footnoteReference w:id="3"/>
      </w:r>
      <w:r>
        <w:rPr>
          <w:rFonts w:eastAsia="Times New Roman" w:cs="Calibri Light" w:ascii="Calibri Light" w:hAnsi="Calibri Light"/>
          <w:lang w:val="de-DE"/>
        </w:rPr>
        <w:t xml:space="preserve"> </w:t>
      </w:r>
    </w:p>
    <w:p>
      <w:pPr>
        <w:pStyle w:val="Normal"/>
        <w:spacing w:before="0" w:after="120"/>
        <w:jc w:val="both"/>
        <w:rPr>
          <w:lang w:val="de-DE"/>
        </w:rPr>
      </w:pPr>
      <w:r>
        <w:rPr>
          <w:rFonts w:eastAsia="Times New Roman" w:cs="Calibri Light" w:ascii="Calibri Light" w:hAnsi="Calibri Light"/>
          <w:lang w:val="de-DE"/>
        </w:rPr>
        <w:t>Die MKB spielt zudem eine zentrale und positive Rolle in Fragen der Corporate Governance und sollte Teil eines jeden Vorstoßes der EU-Behörden sein, die Nachhaltigkeit „</w:t>
      </w:r>
      <w:r>
        <w:rPr>
          <w:rFonts w:eastAsia="Times New Roman" w:cs="Calibri Light" w:ascii="Calibri Light" w:hAnsi="Calibri Light"/>
          <w:i/>
          <w:iCs/>
          <w:lang w:val="de-DE"/>
        </w:rPr>
        <w:t>weiter</w:t>
      </w:r>
      <w:r>
        <w:rPr>
          <w:rFonts w:eastAsia="Times New Roman" w:cs="Calibri Light" w:ascii="Calibri Light" w:hAnsi="Calibri Light"/>
          <w:lang w:val="de-DE"/>
        </w:rPr>
        <w:t xml:space="preserve"> </w:t>
      </w:r>
      <w:r>
        <w:rPr>
          <w:rFonts w:eastAsia="Times New Roman" w:cs="Calibri Light" w:ascii="Calibri Light" w:hAnsi="Calibri Light"/>
          <w:i/>
          <w:iCs/>
          <w:lang w:val="de-DE"/>
        </w:rPr>
        <w:t>in den Corporate-Governance-Rahmen einzubetten, da viele Unternehmen sich im Vergleich zu ihren langfristigen Entwicklungs- und Nachhaltigkeitsaspekten immer noch zu stark auf die kurzfristige finanzielle Wertentwicklung konzentrieren.“</w:t>
      </w:r>
      <w:r>
        <w:rPr>
          <w:rStyle w:val="Funotenanker"/>
          <w:rFonts w:eastAsia="Times New Roman" w:cs="Calibri Light" w:ascii="Calibri Light" w:hAnsi="Calibri Light"/>
          <w:lang w:val="de-DE"/>
        </w:rPr>
        <w:footnoteReference w:id="4"/>
      </w:r>
    </w:p>
    <w:p>
      <w:pPr>
        <w:pStyle w:val="Normal"/>
        <w:spacing w:before="0" w:after="120"/>
        <w:jc w:val="both"/>
        <w:rPr>
          <w:lang w:val="de-DE"/>
        </w:rPr>
      </w:pPr>
      <w:r>
        <w:rPr>
          <w:rFonts w:eastAsia="Times New Roman" w:cs="Calibri Light" w:ascii="Calibri Light" w:hAnsi="Calibri Light"/>
          <w:i/>
          <w:iCs/>
          <w:lang w:val="de-DE"/>
        </w:rPr>
        <w:t>„</w:t>
      </w:r>
      <w:r>
        <w:rPr>
          <w:rFonts w:eastAsia="Times New Roman" w:cs="Calibri Light" w:ascii="Calibri Light" w:hAnsi="Calibri Light"/>
          <w:i/>
          <w:iCs/>
          <w:lang w:val="de-DE"/>
        </w:rPr>
        <w:t>Die Mitarbeiterkapitalbeteiligung in Form eines von der EU angepassten Mitarbeiterbeteiligungsprogramms (Employee Stock Ownership Plan, ESOP) würde sowohl bei der Förderung der CMU als auch bei der Bewältigung der großen finanziellen Schwierigkeiten, mit denen die EU-Bürger in der Zeit nach der Corona-Krise konfrontiert werden, eine entscheidende Veränderung bewirken“</w:t>
      </w:r>
      <w:r>
        <w:rPr>
          <w:rFonts w:eastAsia="Times New Roman" w:cs="Calibri Light" w:ascii="Calibri Light" w:hAnsi="Calibri Light"/>
          <w:lang w:val="de-DE"/>
        </w:rPr>
        <w:t>, betont Guillaume Prache, Geschäftsführer von BETTER FINANCE, „</w:t>
      </w:r>
      <w:r>
        <w:rPr>
          <w:rFonts w:eastAsia="Times New Roman" w:cs="Calibri Light" w:ascii="Calibri Light" w:hAnsi="Calibri Light"/>
          <w:i/>
          <w:iCs/>
          <w:lang w:val="de-DE"/>
        </w:rPr>
        <w:t>da sie es</w:t>
      </w:r>
      <w:r>
        <w:rPr>
          <w:rFonts w:eastAsia="Times New Roman" w:cs="Calibri Light" w:ascii="Calibri Light" w:hAnsi="Calibri Light"/>
          <w:lang w:val="de-DE"/>
        </w:rPr>
        <w:t xml:space="preserve"> </w:t>
      </w:r>
      <w:r>
        <w:rPr>
          <w:rFonts w:eastAsia="Times New Roman" w:cs="Calibri Light" w:ascii="Calibri Light" w:hAnsi="Calibri Light"/>
          <w:i/>
          <w:iCs/>
          <w:lang w:val="de-DE"/>
        </w:rPr>
        <w:t>insbesondere den EU-Behörden ermöglichen würde, ihre Flaggschiffprojekte, den Grünen Deal der EU und die Kapitalmarktunion, weiter voranzubringen und Nachhaltigkeit in den Mittelpunkt ihrer Strategie im Kampf gegen das Coronavirus zu stellen“.</w:t>
      </w:r>
    </w:p>
    <w:p>
      <w:pPr>
        <w:pStyle w:val="Normal"/>
        <w:spacing w:lineRule="auto" w:line="264" w:before="0" w:after="0"/>
        <w:jc w:val="center"/>
        <w:rPr>
          <w:lang w:val="de-DE"/>
        </w:rPr>
      </w:pPr>
      <w:r>
        <w:rPr>
          <w:rFonts w:cs="Calibri Light" w:ascii="Calibri Light" w:hAnsi="Calibri Light"/>
          <w:lang w:val="de-DE"/>
        </w:rPr>
        <w:t>***</w:t>
      </w:r>
    </w:p>
    <w:p>
      <w:pPr>
        <w:pStyle w:val="Textkrper"/>
        <w:spacing w:lineRule="atLeast" w:line="30" w:before="120" w:after="0"/>
        <w:jc w:val="center"/>
        <w:rPr/>
      </w:pPr>
      <w:r>
        <w:rPr>
          <w:rFonts w:cs="Calibri Light" w:ascii="Calibri Light" w:hAnsi="Calibri Light"/>
          <w:sz w:val="18"/>
          <w:szCs w:val="18"/>
          <w:u w:val="single"/>
          <w:lang w:val="de-DE"/>
        </w:rPr>
        <w:t>Kontakt</w:t>
      </w:r>
      <w:r>
        <w:rPr>
          <w:rFonts w:cs="Calibri Light" w:ascii="Calibri Light" w:hAnsi="Calibri Light"/>
          <w:sz w:val="18"/>
          <w:szCs w:val="18"/>
          <w:lang w:val="de-DE"/>
        </w:rPr>
        <w:t xml:space="preserve">: Leiter der Kommunikationsabteilung ǀ Arnaud Houdmont ǀ +32 (0)2 514 37 77 ǀ </w:t>
      </w:r>
      <w:hyperlink r:id="rId3">
        <w:r>
          <w:rPr>
            <w:rStyle w:val="Internetverknpfung"/>
            <w:rFonts w:cs="Calibri Light" w:ascii="Calibri Light" w:hAnsi="Calibri Light"/>
            <w:sz w:val="18"/>
            <w:szCs w:val="18"/>
            <w:lang w:val="de-DE"/>
          </w:rPr>
          <w:t>houdmont@betterfinance.eu</w:t>
        </w:r>
      </w:hyperlink>
    </w:p>
    <w:sectPr>
      <w:headerReference w:type="default" r:id="rId4"/>
      <w:footerReference w:type="default" r:id="rId5"/>
      <w:footnotePr>
        <w:numFmt w:val="decimal"/>
      </w:footnotePr>
      <w:type w:val="nextPage"/>
      <w:pgSz w:w="11906" w:h="16838"/>
      <w:pgMar w:left="1440" w:right="1440" w:header="708" w:top="1440" w:footer="708"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Cambria">
    <w:charset w:val="01"/>
    <w:family w:val="swiss"/>
    <w:pitch w:val="default"/>
  </w:font>
  <w:font w:name="Tahoma">
    <w:charset w:val="01"/>
    <w:family w:val="swiss"/>
    <w:pitch w:val="default"/>
  </w:font>
  <w:font w:name="Times New Roman">
    <w:charset w:val="01"/>
    <w:family w:val="swiss"/>
    <w:pitch w:val="default"/>
  </w:font>
  <w:font w:name="Arial">
    <w:charset w:val="01"/>
    <w:family w:val="swiss"/>
    <w:pitch w:val="default"/>
  </w:font>
  <w:font w:name="Calibri Light">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120" w:after="0"/>
      <w:ind w:left="-567" w:hanging="0"/>
      <w:jc w:val="center"/>
      <w:rPr>
        <w:lang w:val="de-DE"/>
      </w:rPr>
    </w:pPr>
    <w:r>
      <w:rPr>
        <w:b/>
        <w:color w:val="006FB4"/>
        <w:sz w:val="16"/>
        <w:szCs w:val="16"/>
        <w:lang w:val="de-DE"/>
      </w:rPr>
      <w:t>Europäischer Verband der Anleger und Nutzer von Finanzdienstleistungen</w:t>
    </w:r>
  </w:p>
  <w:p>
    <w:pPr>
      <w:pStyle w:val="Normal"/>
      <w:spacing w:lineRule="auto" w:line="240" w:before="0" w:after="0"/>
      <w:ind w:left="-567" w:hanging="0"/>
      <w:jc w:val="center"/>
      <w:rPr>
        <w:lang w:val="de-DE"/>
      </w:rPr>
    </w:pPr>
    <w:r>
      <w:rPr>
        <w:color w:val="006FB4"/>
        <w:sz w:val="16"/>
        <w:szCs w:val="16"/>
        <w:lang w:val="de-DE"/>
      </w:rPr>
      <w:t>44, Rue d'Arenberg, 1000 Brüssel - Belgien</w:t>
    </w:r>
  </w:p>
  <w:p>
    <w:pPr>
      <w:pStyle w:val="Normal"/>
      <w:spacing w:lineRule="auto" w:line="240" w:before="0" w:after="0"/>
      <w:ind w:left="-567" w:hanging="0"/>
      <w:jc w:val="center"/>
      <w:rPr>
        <w:lang w:val="de-DE"/>
      </w:rPr>
    </w:pPr>
    <w:r>
      <w:rPr>
        <w:color w:val="006FB4"/>
        <w:sz w:val="16"/>
        <w:szCs w:val="16"/>
        <w:lang w:val="de-DE"/>
      </w:rPr>
      <w:t>Tel. (+32) 02 514 37 77 - Fax. (+32) 02 514 36 66</w:t>
    </w:r>
  </w:p>
  <w:p>
    <w:pPr>
      <w:pStyle w:val="Normal"/>
      <w:spacing w:lineRule="auto" w:line="240" w:before="0" w:after="0"/>
      <w:ind w:left="-567" w:hanging="0"/>
      <w:jc w:val="center"/>
      <w:rPr/>
    </w:pPr>
    <w:r>
      <w:rPr>
        <w:color w:val="006FB4"/>
        <w:sz w:val="16"/>
        <w:szCs w:val="16"/>
        <w:lang w:val="de-DE"/>
      </w:rPr>
      <w:t>E-Mail: info@betterfinance.eu -</w:t>
    </w:r>
    <w:bookmarkStart w:id="1" w:name="_Hlk944867"/>
    <w:r>
      <w:rPr>
        <w:color w:val="006FB4"/>
        <w:sz w:val="16"/>
        <w:szCs w:val="16"/>
        <w:lang w:val="de-DE"/>
      </w:rPr>
      <w:t xml:space="preserve"> </w:t>
    </w:r>
    <w:hyperlink r:id="rId1">
      <w:r>
        <w:rPr>
          <w:color w:val="006FB4"/>
          <w:sz w:val="16"/>
          <w:szCs w:val="16"/>
          <w:u w:val="single"/>
          <w:lang w:val="de-DE"/>
        </w:rPr>
        <w:t xml:space="preserve">http://www.betterfinance.eu </w:t>
      </w:r>
    </w:hyperlink>
    <w:bookmarkEnd w:id="1"/>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Annotationtext"/>
        <w:spacing w:before="0" w:after="0"/>
        <w:rPr/>
      </w:pPr>
      <w:r>
        <w:rPr>
          <w:rStyle w:val="Funotenzeichen"/>
        </w:rPr>
        <w:footnoteRef/>
      </w:r>
      <w:hyperlink r:id="rId1">
        <w:r>
          <w:rPr>
            <w:rStyle w:val="Internetverknpfung"/>
            <w:lang w:val="de-DE"/>
          </w:rPr>
          <w:t xml:space="preserve"> </w:t>
        </w:r>
      </w:hyperlink>
      <w:r>
        <w:rPr>
          <w:lang w:val="de-DE"/>
        </w:rPr>
        <w:t>David P. Ellerman &amp; Tej Gonza, „</w:t>
      </w:r>
      <w:hyperlink r:id="rId2">
        <w:r>
          <w:rPr>
            <w:rStyle w:val="Internetverknpfung"/>
            <w:lang w:val="de-DE"/>
          </w:rPr>
          <w:t>COVID-19: Government Aid that also promotes Employee Ownership</w:t>
        </w:r>
      </w:hyperlink>
      <w:r>
        <w:rPr>
          <w:lang w:val="de-DE"/>
        </w:rPr>
        <w:t>“, Institute for Economic Democracy, Ljubljana, Slowenien</w:t>
      </w:r>
    </w:p>
  </w:footnote>
  <w:footnote w:id="3">
    <w:p>
      <w:pPr>
        <w:pStyle w:val="Funote"/>
        <w:rPr>
          <w:lang w:val="de-DE"/>
        </w:rPr>
      </w:pPr>
      <w:r>
        <w:rPr>
          <w:rStyle w:val="Funotenzeichen"/>
        </w:rPr>
        <w:footnoteRef/>
      </w:r>
      <w:r>
        <w:rPr>
          <w:lang w:val="de-DE"/>
        </w:rPr>
        <w:t xml:space="preserve"> </w:t>
      </w:r>
      <w:r>
        <w:rPr>
          <w:lang w:val="de-DE"/>
        </w:rPr>
        <w:t xml:space="preserve">Ebd. </w:t>
      </w:r>
    </w:p>
  </w:footnote>
  <w:footnote w:id="4">
    <w:p>
      <w:pPr>
        <w:pStyle w:val="Funote"/>
        <w:rPr/>
      </w:pPr>
      <w:r>
        <w:rPr>
          <w:rStyle w:val="Funotenzeichen"/>
        </w:rPr>
        <w:footnoteRef/>
      </w:r>
      <w:r>
        <w:rPr>
          <w:lang w:val="de-DE"/>
        </w:rPr>
        <w:t xml:space="preserve"> </w:t>
      </w:r>
      <w:hyperlink r:id="rId3">
        <w:r>
          <w:rPr>
            <w:rStyle w:val="Internetverknpfung"/>
            <w:lang w:val="de-DE"/>
          </w:rPr>
          <w:t>www.responsible-investor.com:</w:t>
        </w:r>
      </w:hyperlink>
      <w:r>
        <w:rPr>
          <w:lang w:val="de-DE"/>
        </w:rPr>
        <w:t xml:space="preserve"> "The European Commission has spoken: All EU policies must now fall in line with green ambitions" („Die Europäische Kommission hat Stellung bezogen: Alle EU-Politiken müssen jetzt mit Umweltzielen vereinbar sein“).</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lang w:val="de-DE"/>
      </w:rPr>
    </w:pPr>
    <w:r>
      <w:rPr>
        <w:lang w:val="de-DE"/>
      </w:rPr>
      <w:drawing>
        <wp:anchor behindDoc="1" distT="0" distB="0" distL="114300" distR="114300" simplePos="0" locked="0" layoutInCell="1" allowOverlap="1" relativeHeight="3">
          <wp:simplePos x="0" y="0"/>
          <wp:positionH relativeFrom="margin">
            <wp:posOffset>2564130</wp:posOffset>
          </wp:positionH>
          <wp:positionV relativeFrom="paragraph">
            <wp:posOffset>-265430</wp:posOffset>
          </wp:positionV>
          <wp:extent cx="3138170" cy="645160"/>
          <wp:effectExtent l="0" t="0" r="0" b="0"/>
          <wp:wrapSquare wrapText="bothSides"/>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3138170" cy="645160"/>
                  </a:xfrm>
                  <a:prstGeom prst="rect">
                    <a:avLst/>
                  </a:prstGeom>
                </pic:spPr>
              </pic:pic>
            </a:graphicData>
          </a:graphic>
        </wp:anchor>
      </w:drawing>
    </w:r>
  </w:p>
  <w:p>
    <w:pPr>
      <w:pStyle w:val="Kopfzeile"/>
      <w:rPr>
        <w:lang w:val="de-DE"/>
      </w:rPr>
    </w:pPr>
    <w:r>
      <w:rPr>
        <w:lang w:val="de-DE"/>
      </w:rPr>
    </w:r>
  </w:p>
  <w:p>
    <w:pPr>
      <w:pStyle w:val="Kopfzeile"/>
      <w:rPr>
        <w:sz w:val="12"/>
        <w:szCs w:val="12"/>
        <w:lang w:val="de-DE"/>
      </w:rPr>
    </w:pPr>
    <w:r>
      <w:rPr>
        <w:sz w:val="12"/>
        <w:szCs w:val="12"/>
        <w:lang w:val="de-DE"/>
      </w:rPr>
    </w:r>
  </w:p>
  <w:p>
    <w:pPr>
      <w:pStyle w:val="Kopfzeile"/>
      <w:rPr>
        <w:sz w:val="12"/>
        <w:szCs w:val="12"/>
        <w:lang w:val="de-DE"/>
      </w:rPr>
    </w:pPr>
    <w:r>
      <w:rPr>
        <w:sz w:val="12"/>
        <w:szCs w:val="12"/>
        <w:lang w:val="de-DE"/>
      </w:rPr>
    </w:r>
  </w:p>
</w:hdr>
</file>

<file path=word/settings.xml><?xml version="1.0" encoding="utf-8"?>
<w:settings xmlns:w="http://schemas.openxmlformats.org/wordprocessingml/2006/main">
  <w:zoom w:percent="110"/>
  <w:defaultTabStop w:val="720"/>
  <w:autoHyphenation w:val="true"/>
  <w:footnotePr>
    <w:numFmt w:val="decimal"/>
    <w:footnote w:id="0"/>
    <w:footnote w:id="1"/>
  </w:footnotePr>
  <w:compat>
    <w:compatSetting w:name="compatibilityMode" w:uri="http://schemas.microsoft.com/office/word" w:val="15"/>
    <w:compatSetting w:name="useWord2013TrackBottomHyphenation" w:uri="http://schemas.microsoft.com/office/word" w:val="1"/>
  </w:compat>
  <w:themeFontLang w:val="en-BE"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textAlignment w:val="baseline"/>
    </w:pPr>
    <w:rPr>
      <w:rFonts w:ascii="Calibri" w:hAnsi="Calibri" w:eastAsia="Calibri" w:cs="Arial"/>
      <w:color w:val="auto"/>
      <w:kern w:val="0"/>
      <w:sz w:val="22"/>
      <w:szCs w:val="22"/>
      <w:lang w:val="de-DE" w:eastAsia="en-US" w:bidi="ar-SA"/>
    </w:rPr>
  </w:style>
  <w:style w:type="paragraph" w:styleId="Berschrift1">
    <w:name w:val="Heading 1"/>
    <w:basedOn w:val="Normal"/>
    <w:next w:val="Normal"/>
    <w:uiPriority w:val="9"/>
    <w:qFormat/>
    <w:pPr>
      <w:keepNext w:val="true"/>
      <w:keepLines/>
      <w:spacing w:before="240" w:after="0"/>
      <w:outlineLvl w:val="0"/>
    </w:pPr>
    <w:rPr>
      <w:rFonts w:ascii="Cambria" w:hAnsi="Cambria" w:eastAsia="SimSun" w:cs="Times New Roman"/>
      <w:color w:val="365F91"/>
      <w:sz w:val="32"/>
      <w:szCs w:val="32"/>
    </w:rPr>
  </w:style>
  <w:style w:type="paragraph" w:styleId="Berschrift2">
    <w:name w:val="Heading 2"/>
    <w:basedOn w:val="Normal"/>
    <w:next w:val="Normal"/>
    <w:uiPriority w:val="9"/>
    <w:unhideWhenUsed/>
    <w:qFormat/>
    <w:pPr>
      <w:keepNext w:val="true"/>
      <w:keepLines/>
      <w:spacing w:before="40" w:after="0"/>
      <w:outlineLvl w:val="1"/>
    </w:pPr>
    <w:rPr>
      <w:rFonts w:ascii="Cambria" w:hAnsi="Cambria" w:eastAsia="SimSun" w:cs="Times New Roman"/>
      <w:color w:val="365F91"/>
      <w:sz w:val="26"/>
      <w:szCs w:val="26"/>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qFormat/>
    <w:rPr/>
  </w:style>
  <w:style w:type="character" w:styleId="FooterChar" w:customStyle="1">
    <w:name w:val="Footer Char"/>
    <w:basedOn w:val="DefaultParagraphFont"/>
    <w:qFormat/>
    <w:rPr/>
  </w:style>
  <w:style w:type="character" w:styleId="BodyTextChar" w:customStyle="1">
    <w:name w:val="Body Text Char"/>
    <w:basedOn w:val="DefaultParagraphFont"/>
    <w:qFormat/>
    <w:rPr>
      <w:rFonts w:ascii="Tahoma" w:hAnsi="Tahoma" w:eastAsia="Times New Roman" w:cs="Times New Roman"/>
      <w:spacing w:val="10"/>
      <w:sz w:val="17"/>
      <w:szCs w:val="20"/>
    </w:rPr>
  </w:style>
  <w:style w:type="character" w:styleId="TitleChar" w:customStyle="1">
    <w:name w:val="Title Char"/>
    <w:basedOn w:val="DefaultParagraphFont"/>
    <w:qFormat/>
    <w:rPr>
      <w:rFonts w:ascii="Cambria" w:hAnsi="Cambria" w:eastAsia="SimSun" w:cs="Times New Roman"/>
      <w:spacing w:val="-10"/>
      <w:kern w:val="2"/>
      <w:sz w:val="56"/>
      <w:szCs w:val="56"/>
    </w:rPr>
  </w:style>
  <w:style w:type="character" w:styleId="BalloonTextChar" w:customStyle="1">
    <w:name w:val="Balloon Text Char"/>
    <w:basedOn w:val="DefaultParagraphFont"/>
    <w:qFormat/>
    <w:rPr>
      <w:rFonts w:ascii="Times New Roman" w:hAnsi="Times New Roman" w:cs="Times New Roman"/>
      <w:sz w:val="18"/>
      <w:szCs w:val="18"/>
    </w:rPr>
  </w:style>
  <w:style w:type="character" w:styleId="Annotationreference">
    <w:name w:val="annotation reference"/>
    <w:basedOn w:val="DefaultParagraphFont"/>
    <w:qFormat/>
    <w:rPr>
      <w:sz w:val="16"/>
      <w:szCs w:val="16"/>
    </w:rPr>
  </w:style>
  <w:style w:type="character" w:styleId="CommentTextChar" w:customStyle="1">
    <w:name w:val="Comment Text Char"/>
    <w:basedOn w:val="DefaultParagraphFont"/>
    <w:qFormat/>
    <w:rPr>
      <w:sz w:val="20"/>
      <w:szCs w:val="20"/>
    </w:rPr>
  </w:style>
  <w:style w:type="character" w:styleId="CommentSubjectChar" w:customStyle="1">
    <w:name w:val="Comment Subject Char"/>
    <w:basedOn w:val="CommentTextChar"/>
    <w:qFormat/>
    <w:rPr>
      <w:b/>
      <w:bCs/>
      <w:sz w:val="20"/>
      <w:szCs w:val="20"/>
    </w:rPr>
  </w:style>
  <w:style w:type="character" w:styleId="FootnoteTextChar" w:customStyle="1">
    <w:name w:val="Footnote Text Char"/>
    <w:basedOn w:val="DefaultParagraphFont"/>
    <w:qFormat/>
    <w:rPr>
      <w:sz w:val="20"/>
      <w:szCs w:val="20"/>
    </w:rPr>
  </w:style>
  <w:style w:type="character" w:styleId="Funotenanker">
    <w:name w:val="Fußnotenanker"/>
    <w:rPr>
      <w:vertAlign w:val="superscript"/>
    </w:rPr>
  </w:style>
  <w:style w:type="character" w:styleId="FootnoteCharacters">
    <w:name w:val="Footnote Characters"/>
    <w:basedOn w:val="DefaultParagraphFont"/>
    <w:qFormat/>
    <w:rPr>
      <w:vertAlign w:val="superscript"/>
    </w:rPr>
  </w:style>
  <w:style w:type="character" w:styleId="Strong">
    <w:name w:val="Strong"/>
    <w:qFormat/>
    <w:rPr>
      <w:b/>
      <w:bCs/>
    </w:rPr>
  </w:style>
  <w:style w:type="character" w:styleId="Internetverknpfung">
    <w:name w:val="Internetverknüpfung"/>
    <w:basedOn w:val="DefaultParagraphFont"/>
    <w:rPr>
      <w:color w:val="0000FF"/>
      <w:u w:val="single"/>
    </w:rPr>
  </w:style>
  <w:style w:type="character" w:styleId="UnresolvedMention">
    <w:name w:val="Unresolved Mention"/>
    <w:basedOn w:val="DefaultParagraphFont"/>
    <w:qFormat/>
    <w:rPr>
      <w:color w:val="605E5C"/>
      <w:shd w:fill="E1DFDD" w:val="clear"/>
    </w:rPr>
  </w:style>
  <w:style w:type="character" w:styleId="BesuchteInternetverknpfung">
    <w:name w:val="Besuchte Internetverknüpfung"/>
    <w:basedOn w:val="DefaultParagraphFont"/>
    <w:rPr>
      <w:color w:val="800080"/>
      <w:u w:val="single"/>
    </w:rPr>
  </w:style>
  <w:style w:type="character" w:styleId="Heading2Char" w:customStyle="1">
    <w:name w:val="Heading 2 Char"/>
    <w:basedOn w:val="DefaultParagraphFont"/>
    <w:qFormat/>
    <w:rPr>
      <w:rFonts w:ascii="Cambria" w:hAnsi="Cambria" w:eastAsia="SimSun" w:cs="Times New Roman"/>
      <w:color w:val="365F91"/>
      <w:sz w:val="26"/>
      <w:szCs w:val="26"/>
    </w:rPr>
  </w:style>
  <w:style w:type="character" w:styleId="Heading1Char" w:customStyle="1">
    <w:name w:val="Heading 1 Char"/>
    <w:basedOn w:val="DefaultParagraphFont"/>
    <w:qFormat/>
    <w:rPr>
      <w:rFonts w:ascii="Cambria" w:hAnsi="Cambria" w:eastAsia="SimSun" w:cs="Times New Roman"/>
      <w:color w:val="365F91"/>
      <w:sz w:val="32"/>
      <w:szCs w:val="32"/>
    </w:rPr>
  </w:style>
  <w:style w:type="character" w:styleId="Funotenzeichen">
    <w:name w:val="Fußnotenzeichen"/>
    <w:qFormat/>
    <w:rPr/>
  </w:style>
  <w:style w:type="character" w:styleId="Endnotenanker">
    <w:name w:val="Endnotenanker"/>
    <w:rPr>
      <w:vertAlign w:val="superscript"/>
    </w:rPr>
  </w:style>
  <w:style w:type="character" w:styleId="Endnotenzeichen">
    <w:name w:val="Endnotenzeichen"/>
    <w:qFormat/>
    <w:rPr/>
  </w:style>
  <w:style w:type="paragraph" w:styleId="Berschrift">
    <w:name w:val="Überschrift"/>
    <w:basedOn w:val="Normal"/>
    <w:next w:val="Textkrper"/>
    <w:qFormat/>
    <w:pPr>
      <w:keepNext w:val="true"/>
      <w:spacing w:before="240" w:after="120"/>
    </w:pPr>
    <w:rPr>
      <w:rFonts w:ascii="Arial" w:hAnsi="Arial" w:eastAsia="Microsoft YaHei" w:cs="Arial"/>
      <w:sz w:val="28"/>
      <w:szCs w:val="28"/>
    </w:rPr>
  </w:style>
  <w:style w:type="paragraph" w:styleId="Textkrper">
    <w:name w:val="Body Text"/>
    <w:basedOn w:val="Normal"/>
    <w:pPr>
      <w:spacing w:lineRule="exact" w:line="240"/>
    </w:pPr>
    <w:rPr>
      <w:rFonts w:ascii="Tahoma" w:hAnsi="Tahoma" w:eastAsia="Times New Roman" w:cs="Times New Roman"/>
      <w:spacing w:val="10"/>
      <w:sz w:val="17"/>
      <w:szCs w:val="20"/>
    </w:rPr>
  </w:style>
  <w:style w:type="paragraph" w:styleId="Liste">
    <w:name w:val="List"/>
    <w:basedOn w:val="Textkrper"/>
    <w:pPr/>
    <w:rPr>
      <w:rFonts w:ascii="Arial" w:hAnsi="Arial" w:cs="Arial"/>
    </w:rPr>
  </w:style>
  <w:style w:type="paragraph" w:styleId="Beschriftung">
    <w:name w:val="Caption"/>
    <w:basedOn w:val="Normal"/>
    <w:qFormat/>
    <w:pPr>
      <w:suppressLineNumbers/>
      <w:spacing w:before="120" w:after="120"/>
    </w:pPr>
    <w:rPr>
      <w:rFonts w:ascii="Arial" w:hAnsi="Arial" w:cs="Arial"/>
      <w:i/>
      <w:iCs/>
      <w:sz w:val="24"/>
      <w:szCs w:val="24"/>
    </w:rPr>
  </w:style>
  <w:style w:type="paragraph" w:styleId="Verzeichnis">
    <w:name w:val="Verzeichnis"/>
    <w:basedOn w:val="Normal"/>
    <w:qFormat/>
    <w:pPr>
      <w:suppressLineNumbers/>
    </w:pPr>
    <w:rPr>
      <w:rFonts w:ascii="Arial" w:hAnsi="Arial" w:cs="Arial"/>
    </w:rPr>
  </w:style>
  <w:style w:type="paragraph" w:styleId="KopfundFuzeile">
    <w:name w:val="Kopf- und Fußzeile"/>
    <w:basedOn w:val="Normal"/>
    <w:qFormat/>
    <w:pPr/>
    <w:rPr/>
  </w:style>
  <w:style w:type="paragraph" w:styleId="Kopfzeile">
    <w:name w:val="Header"/>
    <w:basedOn w:val="Normal"/>
    <w:pPr>
      <w:tabs>
        <w:tab w:val="clear" w:pos="720"/>
        <w:tab w:val="center" w:pos="4536" w:leader="none"/>
        <w:tab w:val="right" w:pos="9072" w:leader="none"/>
      </w:tabs>
      <w:spacing w:lineRule="auto" w:line="240" w:before="0" w:after="0"/>
    </w:pPr>
    <w:rPr/>
  </w:style>
  <w:style w:type="paragraph" w:styleId="Fuzeile">
    <w:name w:val="Footer"/>
    <w:basedOn w:val="Normal"/>
    <w:pPr>
      <w:tabs>
        <w:tab w:val="clear" w:pos="720"/>
        <w:tab w:val="center" w:pos="4536" w:leader="none"/>
        <w:tab w:val="right" w:pos="9072" w:leader="none"/>
      </w:tabs>
      <w:spacing w:lineRule="auto" w:line="240" w:before="0" w:after="0"/>
    </w:pPr>
    <w:rPr/>
  </w:style>
  <w:style w:type="paragraph" w:styleId="Titel">
    <w:name w:val="Title"/>
    <w:basedOn w:val="Normal"/>
    <w:next w:val="Normal"/>
    <w:uiPriority w:val="10"/>
    <w:qFormat/>
    <w:pPr>
      <w:spacing w:lineRule="auto" w:line="240" w:before="0" w:after="0"/>
    </w:pPr>
    <w:rPr>
      <w:rFonts w:ascii="Cambria" w:hAnsi="Cambria" w:eastAsia="SimSun" w:cs="Times New Roman"/>
      <w:spacing w:val="-10"/>
      <w:kern w:val="2"/>
      <w:sz w:val="56"/>
      <w:szCs w:val="56"/>
    </w:rPr>
  </w:style>
  <w:style w:type="paragraph" w:styleId="BalloonText">
    <w:name w:val="Balloon Text"/>
    <w:basedOn w:val="Normal"/>
    <w:qFormat/>
    <w:pPr>
      <w:spacing w:lineRule="auto" w:line="240" w:before="0" w:after="0"/>
    </w:pPr>
    <w:rPr>
      <w:rFonts w:ascii="Times New Roman" w:hAnsi="Times New Roman" w:cs="Times New Roman"/>
      <w:sz w:val="18"/>
      <w:szCs w:val="18"/>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next w:val="Annotationtext"/>
    <w:qFormat/>
    <w:pPr/>
    <w:rPr>
      <w:b/>
      <w:bCs/>
    </w:rPr>
  </w:style>
  <w:style w:type="paragraph" w:styleId="Funote">
    <w:name w:val="Footnote Text"/>
    <w:basedOn w:val="Normal"/>
    <w:pPr>
      <w:spacing w:lineRule="auto" w:line="240" w:before="0" w:after="0"/>
    </w:pPr>
    <w:rPr>
      <w:sz w:val="20"/>
      <w:szCs w:val="20"/>
    </w:rPr>
  </w:style>
  <w:style w:type="paragraph" w:styleId="ListParagraph">
    <w:name w:val="List Paragraph"/>
    <w:basedOn w:val="Normal"/>
    <w:qFormat/>
    <w:pPr>
      <w:ind w:left="720"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fesonline.org/corona/EN.htm" TargetMode="External"/><Relationship Id="rId3" Type="http://schemas.openxmlformats.org/officeDocument/2006/relationships/hyperlink" Target="mailto:houdmont@betterfinance.eu"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
</Relationships>
</file>

<file path=word/_rels/footer1.xml.rels><?xml version="1.0" encoding="UTF-8"?>
<Relationships xmlns="http://schemas.openxmlformats.org/package/2006/relationships"><Relationship Id="rId1" Type="http://schemas.openxmlformats.org/officeDocument/2006/relationships/hyperlink" Target="http://www.eurofinuse.org/" TargetMode="External"/>
</Relationships>
</file>

<file path=word/_rels/footnotes.xml.rels><?xml version="1.0" encoding="UTF-8"?>
<Relationships xmlns="http://schemas.openxmlformats.org/package/2006/relationships"><Relationship Id="rId1" Type="http://schemas.openxmlformats.org/officeDocument/2006/relationships/hyperlink" Target="http://www.ellerman.org/wp-content/uploads/2020/04/COVID19-Gov-Aid-for-EO_working-paper_final_Intereconomics2.pdf" TargetMode="External"/><Relationship Id="rId2" Type="http://schemas.openxmlformats.org/officeDocument/2006/relationships/hyperlink" Target="http://www.ellerman.org/wp-content/uploads/2020/04/COVID19-Gov-Aid-for-EO_working-paper_final_Intereconomics2.pdf" TargetMode="External"/><Relationship Id="rId3" Type="http://schemas.openxmlformats.org/officeDocument/2006/relationships/hyperlink" Target="https://www.responsible-investor.com/articles/the-european-commission-has-spoken-all-eu-policies-must-now-fall-in-line-with-green-ambitions"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308A9776426D41840A8C2CCB15B3F3" ma:contentTypeVersion="12" ma:contentTypeDescription="Create a new document." ma:contentTypeScope="" ma:versionID="fad30e866c7e5bd87e01b4be7e13f445">
  <xsd:schema xmlns:xsd="http://www.w3.org/2001/XMLSchema" xmlns:xs="http://www.w3.org/2001/XMLSchema" xmlns:p="http://schemas.microsoft.com/office/2006/metadata/properties" xmlns:ns2="fd160c09-1844-45b0-b4f1-cf53e6c3c76a" xmlns:ns3="8e72f4a7-cae9-4e97-b541-2580a12d1989" targetNamespace="http://schemas.microsoft.com/office/2006/metadata/properties" ma:root="true" ma:fieldsID="3d251b770648fbf44b28e39a1ec2cbaa" ns2:_="" ns3:_="">
    <xsd:import namespace="fd160c09-1844-45b0-b4f1-cf53e6c3c76a"/>
    <xsd:import namespace="8e72f4a7-cae9-4e97-b541-2580a12d19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60c09-1844-45b0-b4f1-cf53e6c3c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2f4a7-cae9-4e97-b541-2580a12d19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825321-3600-46F5-803E-C239BC949F4B}"/>
</file>

<file path=customXml/itemProps2.xml><?xml version="1.0" encoding="utf-8"?>
<ds:datastoreItem xmlns:ds="http://schemas.openxmlformats.org/officeDocument/2006/customXml" ds:itemID="{0BD02D07-1C0B-4927-955F-B23C807AEB9F}"/>
</file>

<file path=customXml/itemProps3.xml><?xml version="1.0" encoding="utf-8"?>
<ds:datastoreItem xmlns:ds="http://schemas.openxmlformats.org/officeDocument/2006/customXml" ds:itemID="{A2AD50A3-4B90-43DE-8E47-E394C2A64D47}"/>
</file>

<file path=docProps/app.xml><?xml version="1.0" encoding="utf-8"?>
<Properties xmlns="http://schemas.openxmlformats.org/officeDocument/2006/extended-properties" xmlns:vt="http://schemas.openxmlformats.org/officeDocument/2006/docPropsVTypes">
  <Template>Normal</Template>
  <TotalTime>100</TotalTime>
  <Application>LibreOffice/6.4.6.2$Windows_X86_64 LibreOffice_project/0ce51a4fd21bff07a5c061082cc82c5ed232f115</Application>
  <Pages>2</Pages>
  <Words>709</Words>
  <Characters>4897</Characters>
  <CharactersWithSpaces>5600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2020-11-09T16:40:00Z</dcterms:created>
  <dc:creator>Arnaud Houdmont</dc:creator>
  <dc:description/>
  <dc:language>de-DE</dc:language>
  <cp:lastModifiedBy/>
  <cp:lastPrinted>2020-12-20T16:12:15Z</cp:lastPrinted>
  <dcterms:modified xsi:type="dcterms:W3CDTF">2020-12-20T16:38:37Z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0x010100B5308A9776426D41840A8C2CCB15B3F3</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