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5BE86" w14:textId="77777777" w:rsidR="003819B3" w:rsidRPr="00544A26" w:rsidRDefault="003819B3">
      <w:pPr>
        <w:rPr>
          <w:rFonts w:ascii="Verdana" w:hAnsi="Verdana"/>
          <w:sz w:val="20"/>
          <w:szCs w:val="20"/>
        </w:rPr>
      </w:pPr>
    </w:p>
    <w:tbl>
      <w:tblP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48"/>
        <w:gridCol w:w="1105"/>
        <w:gridCol w:w="2818"/>
        <w:gridCol w:w="6476"/>
        <w:gridCol w:w="3177"/>
      </w:tblGrid>
      <w:tr w:rsidR="00EA70B1" w:rsidRPr="00544A26" w14:paraId="10CC9364" w14:textId="77777777" w:rsidTr="00AD328A">
        <w:tc>
          <w:tcPr>
            <w:tcW w:w="1095" w:type="dxa"/>
            <w:gridSpan w:val="2"/>
            <w:tcBorders>
              <w:right w:val="nil"/>
            </w:tcBorders>
            <w:shd w:val="clear" w:color="auto" w:fill="95B3D7"/>
          </w:tcPr>
          <w:p w14:paraId="61EB17BC" w14:textId="77777777" w:rsidR="003D6081" w:rsidRPr="00544A26" w:rsidRDefault="003D6081" w:rsidP="00E37DEA">
            <w:pPr>
              <w:spacing w:before="120"/>
              <w:ind w:left="278"/>
              <w:jc w:val="center"/>
              <w:rPr>
                <w:rFonts w:ascii="Verdana" w:hAnsi="Verdana"/>
                <w:b/>
                <w:sz w:val="20"/>
                <w:szCs w:val="20"/>
              </w:rPr>
            </w:pPr>
          </w:p>
        </w:tc>
        <w:tc>
          <w:tcPr>
            <w:tcW w:w="9723" w:type="dxa"/>
            <w:gridSpan w:val="3"/>
            <w:tcBorders>
              <w:left w:val="nil"/>
              <w:right w:val="nil"/>
            </w:tcBorders>
            <w:shd w:val="clear" w:color="auto" w:fill="95B3D7"/>
          </w:tcPr>
          <w:p w14:paraId="12FA6748" w14:textId="32D8A379" w:rsidR="003D6081" w:rsidRPr="00544A26" w:rsidRDefault="00E360BA" w:rsidP="00E360BA">
            <w:pPr>
              <w:pStyle w:val="Heading1"/>
              <w:spacing w:before="120"/>
              <w:rPr>
                <w:rFonts w:ascii="Verdana" w:hAnsi="Verdana"/>
                <w:sz w:val="20"/>
                <w:szCs w:val="20"/>
              </w:rPr>
            </w:pPr>
            <w:r>
              <w:rPr>
                <w:rFonts w:ascii="Verdana" w:hAnsi="Verdana"/>
                <w:sz w:val="20"/>
                <w:szCs w:val="20"/>
              </w:rPr>
              <w:t xml:space="preserve">Comment template </w:t>
            </w:r>
            <w:r w:rsidR="00C71812">
              <w:rPr>
                <w:rFonts w:ascii="Verdana" w:hAnsi="Verdana"/>
                <w:sz w:val="20"/>
                <w:szCs w:val="20"/>
              </w:rPr>
              <w:t xml:space="preserve"> </w:t>
            </w:r>
            <w:r>
              <w:rPr>
                <w:rFonts w:ascii="Verdana" w:hAnsi="Verdana"/>
                <w:sz w:val="20"/>
                <w:szCs w:val="20"/>
              </w:rPr>
              <w:t xml:space="preserve">for EIOPA’s </w:t>
            </w:r>
            <w:r w:rsidRPr="00E360BA">
              <w:rPr>
                <w:rFonts w:ascii="Verdana" w:hAnsi="Verdana"/>
                <w:sz w:val="20"/>
                <w:szCs w:val="20"/>
              </w:rPr>
              <w:t>Consultation Paper on the proposed approaches and considerations for EIOPA’s Technical Advice, Implementing and Regulatory Technical Standards</w:t>
            </w:r>
            <w:r>
              <w:rPr>
                <w:rFonts w:ascii="Verdana" w:hAnsi="Verdana"/>
                <w:sz w:val="20"/>
                <w:szCs w:val="20"/>
              </w:rPr>
              <w:t xml:space="preserve"> </w:t>
            </w:r>
            <w:r w:rsidRPr="00E360BA">
              <w:rPr>
                <w:rFonts w:ascii="Verdana" w:hAnsi="Verdana"/>
                <w:sz w:val="20"/>
                <w:szCs w:val="20"/>
              </w:rPr>
              <w:t>under</w:t>
            </w:r>
            <w:r>
              <w:rPr>
                <w:rFonts w:ascii="Verdana" w:hAnsi="Verdana"/>
                <w:sz w:val="20"/>
                <w:szCs w:val="20"/>
              </w:rPr>
              <w:t xml:space="preserve"> </w:t>
            </w:r>
            <w:r w:rsidRPr="00E360BA">
              <w:rPr>
                <w:rFonts w:ascii="Verdana" w:hAnsi="Verdana"/>
                <w:sz w:val="20"/>
                <w:szCs w:val="20"/>
              </w:rPr>
              <w:t>Regulation (EU) 2019/1238 on a</w:t>
            </w:r>
            <w:r w:rsidRPr="00E360BA">
              <w:rPr>
                <w:rFonts w:ascii="Verdana" w:hAnsi="Verdana"/>
                <w:sz w:val="20"/>
                <w:szCs w:val="20"/>
              </w:rPr>
              <w:br/>
              <w:t>Pan-European Personal Pension Product (PEPP)</w:t>
            </w:r>
            <w:r w:rsidR="00244F67">
              <w:rPr>
                <w:rFonts w:ascii="Verdana" w:hAnsi="Verdana"/>
                <w:sz w:val="20"/>
                <w:szCs w:val="20"/>
              </w:rPr>
              <w:br/>
            </w:r>
          </w:p>
        </w:tc>
        <w:tc>
          <w:tcPr>
            <w:tcW w:w="3739" w:type="dxa"/>
            <w:tcBorders>
              <w:left w:val="nil"/>
            </w:tcBorders>
            <w:shd w:val="clear" w:color="auto" w:fill="95B3D7"/>
          </w:tcPr>
          <w:p w14:paraId="2B5902C9" w14:textId="1E701B6F" w:rsidR="0064733F" w:rsidRPr="00544A26" w:rsidRDefault="00E360BA" w:rsidP="00E360BA">
            <w:pPr>
              <w:spacing w:before="120"/>
              <w:ind w:left="278"/>
              <w:jc w:val="center"/>
              <w:rPr>
                <w:rFonts w:ascii="Verdana" w:hAnsi="Verdana"/>
                <w:b/>
                <w:sz w:val="20"/>
                <w:szCs w:val="20"/>
              </w:rPr>
            </w:pPr>
            <w:r>
              <w:rPr>
                <w:rFonts w:ascii="Verdana" w:hAnsi="Verdana"/>
                <w:b/>
                <w:sz w:val="20"/>
                <w:szCs w:val="20"/>
              </w:rPr>
              <w:t>EIOPA-19-628</w:t>
            </w:r>
            <w:r w:rsidR="00FA3F01" w:rsidRPr="00544A26">
              <w:rPr>
                <w:rFonts w:ascii="Verdana" w:hAnsi="Verdana"/>
                <w:b/>
                <w:sz w:val="20"/>
                <w:szCs w:val="20"/>
              </w:rPr>
              <w:br/>
            </w:r>
            <w:r w:rsidR="00E3304A">
              <w:rPr>
                <w:rFonts w:ascii="Verdana" w:hAnsi="Verdana"/>
                <w:b/>
                <w:sz w:val="20"/>
                <w:szCs w:val="20"/>
              </w:rPr>
              <w:t>2</w:t>
            </w:r>
            <w:r>
              <w:rPr>
                <w:rFonts w:ascii="Verdana" w:hAnsi="Verdana"/>
                <w:b/>
                <w:sz w:val="20"/>
                <w:szCs w:val="20"/>
              </w:rPr>
              <w:t>9</w:t>
            </w:r>
            <w:r w:rsidR="00974310">
              <w:rPr>
                <w:rFonts w:ascii="Verdana" w:hAnsi="Verdana"/>
                <w:b/>
                <w:sz w:val="20"/>
                <w:szCs w:val="20"/>
              </w:rPr>
              <w:t xml:space="preserve"> </w:t>
            </w:r>
            <w:r>
              <w:rPr>
                <w:rFonts w:ascii="Verdana" w:hAnsi="Verdana"/>
                <w:b/>
                <w:sz w:val="20"/>
                <w:szCs w:val="20"/>
              </w:rPr>
              <w:t>November</w:t>
            </w:r>
            <w:r w:rsidR="00A01A8D">
              <w:rPr>
                <w:rFonts w:ascii="Verdana" w:hAnsi="Verdana"/>
                <w:b/>
                <w:sz w:val="20"/>
                <w:szCs w:val="20"/>
              </w:rPr>
              <w:t xml:space="preserve"> 2019</w:t>
            </w:r>
          </w:p>
        </w:tc>
      </w:tr>
      <w:tr w:rsidR="003D6081" w:rsidRPr="00544A26" w14:paraId="0FC3DDB3" w14:textId="77777777" w:rsidTr="00336DBB">
        <w:tc>
          <w:tcPr>
            <w:tcW w:w="14557" w:type="dxa"/>
            <w:gridSpan w:val="6"/>
            <w:tcBorders>
              <w:bottom w:val="single" w:sz="4" w:space="0" w:color="auto"/>
            </w:tcBorders>
            <w:shd w:val="clear" w:color="auto" w:fill="auto"/>
          </w:tcPr>
          <w:p w14:paraId="2374E72E" w14:textId="4DD47300" w:rsidR="00DB5902" w:rsidRDefault="00DB5902" w:rsidP="00351538">
            <w:pPr>
              <w:spacing w:before="120"/>
              <w:rPr>
                <w:rFonts w:ascii="Verdana" w:hAnsi="Verdana"/>
                <w:b/>
                <w:bCs/>
                <w:color w:val="000000"/>
                <w:sz w:val="20"/>
                <w:szCs w:val="20"/>
                <w:u w:val="single"/>
              </w:rPr>
            </w:pPr>
            <w:r>
              <w:rPr>
                <w:rFonts w:ascii="Verdana" w:hAnsi="Verdana"/>
                <w:b/>
                <w:bCs/>
                <w:color w:val="000000"/>
                <w:sz w:val="20"/>
                <w:szCs w:val="20"/>
                <w:u w:val="single"/>
              </w:rPr>
              <w:t>Please indicate very clearly if you do not consent to the publication of your response.</w:t>
            </w:r>
          </w:p>
          <w:p w14:paraId="133F29EA" w14:textId="3E782D76" w:rsidR="001E1632" w:rsidRPr="00544A26" w:rsidRDefault="001E1632" w:rsidP="00351538">
            <w:pPr>
              <w:spacing w:before="120"/>
              <w:rPr>
                <w:rFonts w:ascii="Verdana" w:hAnsi="Verdana"/>
                <w:b/>
                <w:bCs/>
                <w:color w:val="000000"/>
                <w:sz w:val="20"/>
                <w:szCs w:val="20"/>
                <w:u w:val="single"/>
              </w:rPr>
            </w:pPr>
            <w:r w:rsidRPr="00544A26">
              <w:rPr>
                <w:rFonts w:ascii="Verdana" w:hAnsi="Verdana"/>
                <w:b/>
                <w:bCs/>
                <w:color w:val="000000"/>
                <w:sz w:val="20"/>
                <w:szCs w:val="20"/>
                <w:u w:val="single"/>
              </w:rPr>
              <w:t>Key</w:t>
            </w:r>
          </w:p>
          <w:p w14:paraId="7937AD87" w14:textId="1E946BB3" w:rsidR="001E1632" w:rsidRPr="00544A26" w:rsidRDefault="001E1632" w:rsidP="00351538">
            <w:pPr>
              <w:spacing w:before="120"/>
              <w:rPr>
                <w:rFonts w:ascii="Verdana" w:hAnsi="Verdana"/>
                <w:b/>
                <w:bCs/>
                <w:color w:val="000000"/>
                <w:sz w:val="20"/>
                <w:szCs w:val="20"/>
              </w:rPr>
            </w:pPr>
            <w:r w:rsidRPr="00544A26">
              <w:rPr>
                <w:rFonts w:ascii="Verdana" w:hAnsi="Verdana"/>
                <w:b/>
                <w:bCs/>
                <w:color w:val="000000"/>
                <w:sz w:val="20"/>
                <w:szCs w:val="20"/>
              </w:rPr>
              <w:t>The “No” column refers to the ordering of comments received by EIOPA</w:t>
            </w:r>
          </w:p>
          <w:p w14:paraId="680904BC" w14:textId="33AA47E8" w:rsidR="001E1632" w:rsidRPr="00544A26" w:rsidRDefault="001E1632" w:rsidP="00351538">
            <w:pPr>
              <w:spacing w:before="120"/>
              <w:rPr>
                <w:rFonts w:ascii="Verdana" w:hAnsi="Verdana"/>
                <w:b/>
                <w:bCs/>
                <w:color w:val="000000"/>
                <w:sz w:val="20"/>
                <w:szCs w:val="20"/>
              </w:rPr>
            </w:pPr>
            <w:r w:rsidRPr="00544A26">
              <w:rPr>
                <w:rFonts w:ascii="Verdana" w:hAnsi="Verdana"/>
                <w:b/>
                <w:bCs/>
                <w:color w:val="000000"/>
                <w:sz w:val="20"/>
                <w:szCs w:val="20"/>
              </w:rPr>
              <w:t>In the “</w:t>
            </w:r>
            <w:r w:rsidR="00DB5902">
              <w:rPr>
                <w:rFonts w:ascii="Verdana" w:hAnsi="Verdana"/>
                <w:b/>
                <w:bCs/>
                <w:color w:val="000000"/>
                <w:sz w:val="20"/>
                <w:szCs w:val="20"/>
              </w:rPr>
              <w:t>Name</w:t>
            </w:r>
            <w:r w:rsidRPr="00544A26">
              <w:rPr>
                <w:rFonts w:ascii="Verdana" w:hAnsi="Verdana"/>
                <w:b/>
                <w:bCs/>
                <w:color w:val="000000"/>
                <w:sz w:val="20"/>
                <w:szCs w:val="20"/>
              </w:rPr>
              <w:t xml:space="preserve">” column, </w:t>
            </w:r>
            <w:r w:rsidR="00E360BA">
              <w:rPr>
                <w:rFonts w:ascii="Verdana" w:hAnsi="Verdana"/>
                <w:b/>
                <w:bCs/>
                <w:color w:val="000000"/>
                <w:sz w:val="20"/>
                <w:szCs w:val="20"/>
              </w:rPr>
              <w:t>respondents</w:t>
            </w:r>
            <w:r w:rsidRPr="00544A26">
              <w:rPr>
                <w:rFonts w:ascii="Verdana" w:hAnsi="Verdana"/>
                <w:b/>
                <w:bCs/>
                <w:color w:val="000000"/>
                <w:sz w:val="20"/>
                <w:szCs w:val="20"/>
              </w:rPr>
              <w:t xml:space="preserve"> should </w:t>
            </w:r>
            <w:r w:rsidR="00A01A8D">
              <w:rPr>
                <w:rFonts w:ascii="Verdana" w:hAnsi="Verdana"/>
                <w:b/>
                <w:bCs/>
                <w:color w:val="000000"/>
                <w:sz w:val="20"/>
                <w:szCs w:val="20"/>
              </w:rPr>
              <w:t xml:space="preserve">indicate </w:t>
            </w:r>
            <w:r w:rsidR="00E360BA">
              <w:rPr>
                <w:rFonts w:ascii="Verdana" w:hAnsi="Verdana"/>
                <w:b/>
                <w:bCs/>
                <w:color w:val="000000"/>
                <w:sz w:val="20"/>
                <w:szCs w:val="20"/>
              </w:rPr>
              <w:t>their</w:t>
            </w:r>
            <w:r w:rsidR="00974310">
              <w:rPr>
                <w:rFonts w:ascii="Verdana" w:hAnsi="Verdana"/>
                <w:b/>
                <w:bCs/>
                <w:color w:val="000000"/>
                <w:sz w:val="20"/>
                <w:szCs w:val="20"/>
              </w:rPr>
              <w:t xml:space="preserve"> </w:t>
            </w:r>
            <w:r w:rsidR="00E360BA">
              <w:rPr>
                <w:rFonts w:ascii="Verdana" w:hAnsi="Verdana"/>
                <w:b/>
                <w:bCs/>
                <w:color w:val="000000"/>
                <w:sz w:val="20"/>
                <w:szCs w:val="20"/>
              </w:rPr>
              <w:t>affiliation</w:t>
            </w:r>
            <w:r w:rsidR="00974310">
              <w:rPr>
                <w:rFonts w:ascii="Verdana" w:hAnsi="Verdana"/>
                <w:b/>
                <w:bCs/>
                <w:color w:val="000000"/>
                <w:sz w:val="20"/>
                <w:szCs w:val="20"/>
              </w:rPr>
              <w:t xml:space="preserve"> </w:t>
            </w:r>
            <w:r w:rsidR="00E360BA">
              <w:rPr>
                <w:rFonts w:ascii="Verdana" w:hAnsi="Verdana"/>
                <w:b/>
                <w:bCs/>
                <w:color w:val="000000"/>
                <w:sz w:val="20"/>
                <w:szCs w:val="20"/>
              </w:rPr>
              <w:t>and Member State</w:t>
            </w:r>
            <w:r w:rsidR="006075EA">
              <w:rPr>
                <w:rFonts w:ascii="Verdana" w:hAnsi="Verdana"/>
                <w:b/>
                <w:bCs/>
                <w:color w:val="000000"/>
                <w:sz w:val="20"/>
                <w:szCs w:val="20"/>
              </w:rPr>
              <w:t>, where appropriate</w:t>
            </w:r>
            <w:r w:rsidR="007960F5" w:rsidRPr="00544A26">
              <w:rPr>
                <w:rFonts w:ascii="Verdana" w:hAnsi="Verdana"/>
                <w:b/>
                <w:bCs/>
                <w:color w:val="000000"/>
                <w:sz w:val="20"/>
                <w:szCs w:val="20"/>
              </w:rPr>
              <w:t>.</w:t>
            </w:r>
          </w:p>
          <w:p w14:paraId="3D078154" w14:textId="6869EA2C" w:rsidR="001E1632" w:rsidRPr="00544A26" w:rsidRDefault="001E1632" w:rsidP="00351538">
            <w:pPr>
              <w:spacing w:before="120"/>
              <w:rPr>
                <w:rFonts w:ascii="Verdana" w:hAnsi="Verdana"/>
                <w:b/>
                <w:bCs/>
                <w:color w:val="000000"/>
                <w:sz w:val="20"/>
                <w:szCs w:val="20"/>
              </w:rPr>
            </w:pPr>
            <w:r w:rsidRPr="00544A26">
              <w:rPr>
                <w:rFonts w:ascii="Verdana" w:hAnsi="Verdana"/>
                <w:b/>
                <w:bCs/>
                <w:color w:val="000000"/>
                <w:sz w:val="20"/>
                <w:szCs w:val="20"/>
              </w:rPr>
              <w:t xml:space="preserve">In the “Reference” column, the </w:t>
            </w:r>
            <w:r w:rsidR="00E360BA">
              <w:rPr>
                <w:rFonts w:ascii="Verdana" w:hAnsi="Verdana"/>
                <w:b/>
                <w:bCs/>
                <w:color w:val="000000"/>
                <w:sz w:val="20"/>
                <w:szCs w:val="20"/>
              </w:rPr>
              <w:t xml:space="preserve">topic, </w:t>
            </w:r>
            <w:r w:rsidR="00CF60D0" w:rsidRPr="00544A26">
              <w:rPr>
                <w:rFonts w:ascii="Verdana" w:hAnsi="Verdana"/>
                <w:b/>
                <w:bCs/>
                <w:color w:val="000000"/>
                <w:sz w:val="20"/>
                <w:szCs w:val="20"/>
              </w:rPr>
              <w:t>section</w:t>
            </w:r>
            <w:r w:rsidRPr="00544A26">
              <w:rPr>
                <w:rFonts w:ascii="Verdana" w:hAnsi="Verdana"/>
                <w:b/>
                <w:bCs/>
                <w:color w:val="000000"/>
                <w:sz w:val="20"/>
                <w:szCs w:val="20"/>
              </w:rPr>
              <w:t xml:space="preserve"> </w:t>
            </w:r>
            <w:r w:rsidR="00E360BA">
              <w:rPr>
                <w:rFonts w:ascii="Verdana" w:hAnsi="Verdana"/>
                <w:b/>
                <w:bCs/>
                <w:color w:val="000000"/>
                <w:sz w:val="20"/>
                <w:szCs w:val="20"/>
              </w:rPr>
              <w:t xml:space="preserve">and page </w:t>
            </w:r>
            <w:r w:rsidRPr="00544A26">
              <w:rPr>
                <w:rFonts w:ascii="Verdana" w:hAnsi="Verdana"/>
                <w:b/>
                <w:bCs/>
                <w:color w:val="000000"/>
                <w:sz w:val="20"/>
                <w:szCs w:val="20"/>
              </w:rPr>
              <w:t>number should be inserted.</w:t>
            </w:r>
          </w:p>
          <w:p w14:paraId="63F955F8" w14:textId="249DAAC8" w:rsidR="001E1632" w:rsidRPr="00544A26" w:rsidRDefault="001E1632" w:rsidP="00351538">
            <w:pPr>
              <w:spacing w:before="120"/>
              <w:rPr>
                <w:rFonts w:ascii="Verdana" w:hAnsi="Verdana"/>
                <w:b/>
                <w:bCs/>
                <w:color w:val="000000"/>
                <w:sz w:val="20"/>
                <w:szCs w:val="20"/>
              </w:rPr>
            </w:pPr>
            <w:r w:rsidRPr="00544A26">
              <w:rPr>
                <w:rFonts w:ascii="Verdana" w:hAnsi="Verdana"/>
                <w:b/>
                <w:bCs/>
                <w:color w:val="000000"/>
                <w:sz w:val="20"/>
                <w:szCs w:val="20"/>
              </w:rPr>
              <w:t xml:space="preserve">In the “Comment” column, </w:t>
            </w:r>
            <w:r w:rsidR="00E360BA">
              <w:rPr>
                <w:rFonts w:ascii="Verdana" w:hAnsi="Verdana"/>
                <w:b/>
                <w:bCs/>
                <w:color w:val="000000"/>
                <w:sz w:val="20"/>
                <w:szCs w:val="20"/>
              </w:rPr>
              <w:t>respondents should insert their comments.</w:t>
            </w:r>
          </w:p>
          <w:p w14:paraId="6F63FEDB" w14:textId="2E4123E6" w:rsidR="001E1632" w:rsidRPr="00544A26" w:rsidRDefault="001E1632" w:rsidP="00351538">
            <w:pPr>
              <w:spacing w:before="120"/>
              <w:rPr>
                <w:rFonts w:ascii="Verdana" w:hAnsi="Verdana"/>
                <w:b/>
                <w:bCs/>
                <w:color w:val="000000"/>
                <w:sz w:val="20"/>
                <w:szCs w:val="20"/>
              </w:rPr>
            </w:pPr>
            <w:r w:rsidRPr="00544A26">
              <w:rPr>
                <w:rFonts w:ascii="Verdana" w:hAnsi="Verdana"/>
                <w:b/>
                <w:bCs/>
                <w:color w:val="000000"/>
                <w:sz w:val="20"/>
                <w:szCs w:val="20"/>
              </w:rPr>
              <w:t xml:space="preserve">The “Processing” column </w:t>
            </w:r>
            <w:r w:rsidR="007960F5" w:rsidRPr="00544A26">
              <w:rPr>
                <w:rFonts w:ascii="Verdana" w:hAnsi="Verdana"/>
                <w:b/>
                <w:bCs/>
                <w:color w:val="000000"/>
                <w:sz w:val="20"/>
                <w:szCs w:val="20"/>
              </w:rPr>
              <w:t xml:space="preserve">i.e. the response to the </w:t>
            </w:r>
            <w:r w:rsidR="00E360BA">
              <w:rPr>
                <w:rFonts w:ascii="Verdana" w:hAnsi="Verdana"/>
                <w:b/>
                <w:bCs/>
                <w:color w:val="000000"/>
                <w:sz w:val="20"/>
                <w:szCs w:val="20"/>
              </w:rPr>
              <w:t>feedback</w:t>
            </w:r>
            <w:r w:rsidR="007960F5" w:rsidRPr="00544A26">
              <w:rPr>
                <w:rFonts w:ascii="Verdana" w:hAnsi="Verdana"/>
                <w:b/>
                <w:bCs/>
                <w:color w:val="000000"/>
                <w:sz w:val="20"/>
                <w:szCs w:val="20"/>
              </w:rPr>
              <w:t xml:space="preserve"> </w:t>
            </w:r>
            <w:r w:rsidRPr="00544A26">
              <w:rPr>
                <w:rFonts w:ascii="Verdana" w:hAnsi="Verdana"/>
                <w:b/>
                <w:bCs/>
                <w:color w:val="000000"/>
                <w:sz w:val="20"/>
                <w:szCs w:val="20"/>
              </w:rPr>
              <w:t>will be filled out by EIOPA</w:t>
            </w:r>
            <w:r w:rsidR="007960F5" w:rsidRPr="00544A26">
              <w:rPr>
                <w:rFonts w:ascii="Verdana" w:hAnsi="Verdana"/>
                <w:b/>
                <w:bCs/>
                <w:color w:val="000000"/>
                <w:sz w:val="20"/>
                <w:szCs w:val="20"/>
              </w:rPr>
              <w:t>.</w:t>
            </w:r>
          </w:p>
          <w:p w14:paraId="6A3509BF" w14:textId="77777777" w:rsidR="002C54E6" w:rsidRPr="00544A26" w:rsidRDefault="002C54E6" w:rsidP="001E1632">
            <w:pPr>
              <w:spacing w:before="120"/>
              <w:rPr>
                <w:rFonts w:ascii="Verdana" w:hAnsi="Verdana"/>
                <w:sz w:val="20"/>
                <w:szCs w:val="20"/>
              </w:rPr>
            </w:pPr>
          </w:p>
        </w:tc>
      </w:tr>
      <w:tr w:rsidR="006F244F" w:rsidRPr="00544A26" w14:paraId="07B3ABA2" w14:textId="77777777" w:rsidTr="00AD328A">
        <w:tc>
          <w:tcPr>
            <w:tcW w:w="947" w:type="dxa"/>
            <w:shd w:val="clear" w:color="auto" w:fill="F2F2F2"/>
          </w:tcPr>
          <w:p w14:paraId="681CD26C" w14:textId="77777777" w:rsidR="003D6081" w:rsidRPr="00544A26" w:rsidRDefault="00CF3B31" w:rsidP="0038370A">
            <w:pPr>
              <w:spacing w:beforeLines="60" w:before="144" w:after="12"/>
              <w:jc w:val="center"/>
              <w:rPr>
                <w:rFonts w:ascii="Verdana" w:hAnsi="Verdana"/>
                <w:b/>
                <w:bCs/>
                <w:color w:val="000000"/>
                <w:sz w:val="20"/>
                <w:szCs w:val="20"/>
              </w:rPr>
            </w:pPr>
            <w:r w:rsidRPr="00544A26">
              <w:rPr>
                <w:rFonts w:ascii="Verdana" w:hAnsi="Verdana"/>
                <w:b/>
                <w:bCs/>
                <w:color w:val="000000"/>
                <w:sz w:val="20"/>
                <w:szCs w:val="20"/>
              </w:rPr>
              <w:t>No</w:t>
            </w:r>
          </w:p>
        </w:tc>
        <w:tc>
          <w:tcPr>
            <w:tcW w:w="1302" w:type="dxa"/>
            <w:gridSpan w:val="2"/>
            <w:shd w:val="clear" w:color="auto" w:fill="F2F2F2"/>
          </w:tcPr>
          <w:p w14:paraId="34C1747E" w14:textId="0F356501" w:rsidR="003D6081" w:rsidRPr="00544A26" w:rsidRDefault="00DB5902" w:rsidP="0038370A">
            <w:pPr>
              <w:spacing w:beforeLines="60" w:before="144" w:after="12"/>
              <w:jc w:val="center"/>
              <w:rPr>
                <w:rFonts w:ascii="Verdana" w:hAnsi="Verdana"/>
                <w:b/>
                <w:bCs/>
                <w:color w:val="000000"/>
                <w:sz w:val="20"/>
                <w:szCs w:val="20"/>
              </w:rPr>
            </w:pPr>
            <w:r>
              <w:rPr>
                <w:rFonts w:ascii="Verdana" w:hAnsi="Verdana"/>
                <w:b/>
                <w:bCs/>
                <w:color w:val="000000"/>
                <w:sz w:val="20"/>
                <w:szCs w:val="20"/>
              </w:rPr>
              <w:t>Name</w:t>
            </w:r>
          </w:p>
        </w:tc>
        <w:tc>
          <w:tcPr>
            <w:tcW w:w="3275" w:type="dxa"/>
            <w:shd w:val="clear" w:color="auto" w:fill="F2F2F2"/>
          </w:tcPr>
          <w:p w14:paraId="7C9ED7E4" w14:textId="77777777" w:rsidR="003D6081" w:rsidRPr="00544A26" w:rsidRDefault="003D6081" w:rsidP="0038370A">
            <w:pPr>
              <w:spacing w:beforeLines="60" w:before="144" w:after="12"/>
              <w:jc w:val="center"/>
              <w:rPr>
                <w:rFonts w:ascii="Verdana" w:hAnsi="Verdana"/>
                <w:b/>
                <w:bCs/>
                <w:color w:val="000000"/>
                <w:sz w:val="20"/>
                <w:szCs w:val="20"/>
              </w:rPr>
            </w:pPr>
            <w:r w:rsidRPr="00544A26">
              <w:rPr>
                <w:rFonts w:ascii="Verdana" w:hAnsi="Verdana"/>
                <w:b/>
                <w:bCs/>
                <w:color w:val="000000"/>
                <w:sz w:val="20"/>
                <w:szCs w:val="20"/>
              </w:rPr>
              <w:t>Reference</w:t>
            </w:r>
          </w:p>
          <w:p w14:paraId="74CD4906" w14:textId="0AB3BD00" w:rsidR="003D6081" w:rsidRPr="00544A26" w:rsidRDefault="003D6081" w:rsidP="00CF60D0">
            <w:pPr>
              <w:spacing w:beforeLines="60" w:before="144" w:after="12"/>
              <w:jc w:val="center"/>
              <w:rPr>
                <w:rFonts w:ascii="Verdana" w:hAnsi="Verdana"/>
                <w:b/>
                <w:bCs/>
                <w:color w:val="000000"/>
                <w:sz w:val="20"/>
                <w:szCs w:val="20"/>
              </w:rPr>
            </w:pPr>
          </w:p>
        </w:tc>
        <w:tc>
          <w:tcPr>
            <w:tcW w:w="5294" w:type="dxa"/>
            <w:shd w:val="clear" w:color="auto" w:fill="F2F2F2"/>
          </w:tcPr>
          <w:p w14:paraId="02776D7C" w14:textId="77777777" w:rsidR="003D6081" w:rsidRPr="00544A26" w:rsidRDefault="003D6081" w:rsidP="0038370A">
            <w:pPr>
              <w:spacing w:beforeLines="60" w:before="144" w:after="12"/>
              <w:jc w:val="center"/>
              <w:rPr>
                <w:rFonts w:ascii="Verdana" w:hAnsi="Verdana"/>
                <w:b/>
                <w:bCs/>
                <w:color w:val="000000"/>
                <w:sz w:val="20"/>
                <w:szCs w:val="20"/>
              </w:rPr>
            </w:pPr>
            <w:r w:rsidRPr="00544A26">
              <w:rPr>
                <w:rFonts w:ascii="Verdana" w:hAnsi="Verdana"/>
                <w:b/>
                <w:bCs/>
                <w:color w:val="000000"/>
                <w:sz w:val="20"/>
                <w:szCs w:val="20"/>
              </w:rPr>
              <w:t>Comment</w:t>
            </w:r>
          </w:p>
        </w:tc>
        <w:tc>
          <w:tcPr>
            <w:tcW w:w="3739" w:type="dxa"/>
            <w:shd w:val="clear" w:color="auto" w:fill="F2F2F2"/>
          </w:tcPr>
          <w:p w14:paraId="3AAFDCBA" w14:textId="77777777" w:rsidR="003D6081" w:rsidRPr="00544A26" w:rsidRDefault="00CF3B31" w:rsidP="0038370A">
            <w:pPr>
              <w:spacing w:beforeLines="60" w:before="144" w:after="12"/>
              <w:jc w:val="center"/>
              <w:rPr>
                <w:rFonts w:ascii="Verdana" w:hAnsi="Verdana"/>
                <w:b/>
                <w:bCs/>
                <w:color w:val="000000"/>
                <w:sz w:val="20"/>
                <w:szCs w:val="20"/>
              </w:rPr>
            </w:pPr>
            <w:r w:rsidRPr="00544A26">
              <w:rPr>
                <w:rFonts w:ascii="Verdana" w:hAnsi="Verdana"/>
                <w:b/>
                <w:bCs/>
                <w:color w:val="000000"/>
                <w:sz w:val="20"/>
                <w:szCs w:val="20"/>
              </w:rPr>
              <w:t>Processing</w:t>
            </w:r>
          </w:p>
        </w:tc>
      </w:tr>
      <w:tr w:rsidR="00C26AE2" w:rsidRPr="00544A26" w14:paraId="3A514A5F" w14:textId="77777777" w:rsidTr="00AD328A">
        <w:tblPrEx>
          <w:tblLook w:val="00A0" w:firstRow="1" w:lastRow="0" w:firstColumn="1" w:lastColumn="0" w:noHBand="0" w:noVBand="0"/>
        </w:tblPrEx>
        <w:trPr>
          <w:trHeight w:val="432"/>
        </w:trPr>
        <w:tc>
          <w:tcPr>
            <w:tcW w:w="947" w:type="dxa"/>
          </w:tcPr>
          <w:p w14:paraId="6C40BA3A" w14:textId="77777777" w:rsidR="0087360F" w:rsidRPr="00E51970" w:rsidRDefault="0087360F" w:rsidP="00C03391">
            <w:pPr>
              <w:numPr>
                <w:ilvl w:val="0"/>
                <w:numId w:val="6"/>
              </w:numPr>
              <w:spacing w:before="120"/>
              <w:jc w:val="both"/>
              <w:rPr>
                <w:rFonts w:ascii="Verdana" w:hAnsi="Verdana"/>
                <w:b/>
                <w:bCs/>
                <w:sz w:val="20"/>
                <w:szCs w:val="20"/>
              </w:rPr>
            </w:pPr>
          </w:p>
        </w:tc>
        <w:tc>
          <w:tcPr>
            <w:tcW w:w="1302" w:type="dxa"/>
            <w:gridSpan w:val="2"/>
          </w:tcPr>
          <w:p w14:paraId="3B90AC9D" w14:textId="77777777" w:rsidR="0087360F" w:rsidRDefault="001478AA">
            <w:pPr>
              <w:spacing w:before="120"/>
              <w:rPr>
                <w:rFonts w:ascii="Verdana" w:hAnsi="Verdana"/>
                <w:bCs/>
                <w:sz w:val="20"/>
                <w:szCs w:val="20"/>
              </w:rPr>
            </w:pPr>
            <w:r>
              <w:rPr>
                <w:rFonts w:ascii="Verdana" w:hAnsi="Verdana"/>
                <w:bCs/>
                <w:sz w:val="20"/>
                <w:szCs w:val="20"/>
              </w:rPr>
              <w:t>BETTER FINANCE</w:t>
            </w:r>
          </w:p>
          <w:p w14:paraId="0A352FA5" w14:textId="1EB66EE1" w:rsidR="00BC71BB" w:rsidRPr="00E51970" w:rsidRDefault="00BC71BB">
            <w:pPr>
              <w:spacing w:before="120"/>
              <w:rPr>
                <w:rFonts w:ascii="Verdana" w:hAnsi="Verdana"/>
                <w:bCs/>
                <w:sz w:val="20"/>
                <w:szCs w:val="20"/>
              </w:rPr>
            </w:pPr>
            <w:r>
              <w:rPr>
                <w:rFonts w:ascii="Verdana" w:hAnsi="Verdana"/>
                <w:bCs/>
                <w:sz w:val="20"/>
                <w:szCs w:val="20"/>
              </w:rPr>
              <w:t>Belgium</w:t>
            </w:r>
          </w:p>
        </w:tc>
        <w:tc>
          <w:tcPr>
            <w:tcW w:w="3275" w:type="dxa"/>
          </w:tcPr>
          <w:p w14:paraId="35718810" w14:textId="000D30DF" w:rsidR="0087360F" w:rsidRPr="00E51970" w:rsidRDefault="00E360BA" w:rsidP="00613908">
            <w:pPr>
              <w:spacing w:before="120"/>
              <w:rPr>
                <w:rFonts w:ascii="Verdana" w:hAnsi="Verdana"/>
                <w:bCs/>
                <w:sz w:val="20"/>
                <w:szCs w:val="20"/>
              </w:rPr>
            </w:pPr>
            <w:r w:rsidRPr="00E360BA">
              <w:rPr>
                <w:rFonts w:ascii="Verdana" w:hAnsi="Verdana"/>
                <w:bCs/>
                <w:sz w:val="20"/>
                <w:szCs w:val="20"/>
              </w:rPr>
              <w:t xml:space="preserve">Q1. Do you have any comments on the presentation of the information documents? Do you find the preliminary, illustrative examples of the mock-up PEPP KID and PEPP Benefit Statements are </w:t>
            </w:r>
            <w:r w:rsidRPr="00E360BA">
              <w:rPr>
                <w:rFonts w:ascii="Verdana" w:hAnsi="Verdana"/>
                <w:bCs/>
                <w:sz w:val="20"/>
                <w:szCs w:val="20"/>
              </w:rPr>
              <w:lastRenderedPageBreak/>
              <w:t xml:space="preserve">translating well the outlined objectives? </w:t>
            </w:r>
          </w:p>
        </w:tc>
        <w:tc>
          <w:tcPr>
            <w:tcW w:w="5294" w:type="dxa"/>
          </w:tcPr>
          <w:p w14:paraId="0CBE4618" w14:textId="4E49C2AA" w:rsidR="00A0156F" w:rsidRPr="00A0156F" w:rsidRDefault="00A0156F" w:rsidP="00A0156F">
            <w:pPr>
              <w:spacing w:after="120" w:line="276" w:lineRule="auto"/>
              <w:jc w:val="both"/>
              <w:rPr>
                <w:rFonts w:ascii="Cambria" w:hAnsi="Cambria"/>
                <w:sz w:val="20"/>
                <w:szCs w:val="20"/>
                <w:lang w:eastAsia="en-US"/>
              </w:rPr>
            </w:pPr>
            <w:r w:rsidRPr="00A0156F">
              <w:rPr>
                <w:rFonts w:ascii="Cambria" w:hAnsi="Cambria"/>
                <w:sz w:val="20"/>
                <w:szCs w:val="20"/>
              </w:rPr>
              <w:lastRenderedPageBreak/>
              <w:t>To begin with, BETTER FINANCE affirms its strong support for the objectives and majority of proposals put forward by EIOPA for the PEPP information documents. We believe that the product offering, in general, has become overly complex and difficult to understand for the individual, non-professional investor.</w:t>
            </w:r>
            <w:r w:rsidRPr="00A0156F">
              <w:rPr>
                <w:rStyle w:val="FootnoteReference"/>
                <w:rFonts w:ascii="Cambria" w:hAnsi="Cambria"/>
                <w:sz w:val="20"/>
                <w:szCs w:val="20"/>
              </w:rPr>
              <w:footnoteReference w:id="1"/>
            </w:r>
            <w:r w:rsidRPr="00A0156F">
              <w:rPr>
                <w:rFonts w:ascii="Cambria" w:hAnsi="Cambria"/>
                <w:sz w:val="20"/>
                <w:szCs w:val="20"/>
              </w:rPr>
              <w:t xml:space="preserve"> The multiplication of products marketed to layman savers and the inherent “</w:t>
            </w:r>
            <w:proofErr w:type="spellStart"/>
            <w:r w:rsidRPr="00A0156F">
              <w:rPr>
                <w:rFonts w:ascii="Cambria" w:hAnsi="Cambria"/>
                <w:sz w:val="20"/>
                <w:szCs w:val="20"/>
              </w:rPr>
              <w:t>technicalisation</w:t>
            </w:r>
            <w:proofErr w:type="spellEnd"/>
            <w:r w:rsidRPr="00A0156F">
              <w:rPr>
                <w:rFonts w:ascii="Cambria" w:hAnsi="Cambria"/>
                <w:sz w:val="20"/>
                <w:szCs w:val="20"/>
              </w:rPr>
              <w:t xml:space="preserve">” leads to a situation where the investor will either be confused, potentially making poor investment decisions, or will actually be deterred from making the </w:t>
            </w:r>
            <w:r w:rsidRPr="00A0156F">
              <w:rPr>
                <w:rFonts w:ascii="Cambria" w:hAnsi="Cambria"/>
                <w:sz w:val="20"/>
                <w:szCs w:val="20"/>
              </w:rPr>
              <w:lastRenderedPageBreak/>
              <w:t xml:space="preserve">decision due to a lack of understanding. In turn, the detrimental nature of these outcomes speaks for itself, especially in the context of a CMU wishing to better use the available capital of EU citizens. </w:t>
            </w:r>
          </w:p>
          <w:p w14:paraId="7A93CCB3" w14:textId="77777777" w:rsidR="00A0156F" w:rsidRPr="00A0156F" w:rsidRDefault="00A0156F" w:rsidP="00A0156F">
            <w:pPr>
              <w:spacing w:after="120" w:line="276" w:lineRule="auto"/>
              <w:jc w:val="both"/>
              <w:rPr>
                <w:rFonts w:ascii="Cambria" w:hAnsi="Cambria"/>
                <w:sz w:val="20"/>
                <w:szCs w:val="20"/>
              </w:rPr>
            </w:pPr>
            <w:r w:rsidRPr="00A0156F">
              <w:rPr>
                <w:rFonts w:ascii="Cambria" w:hAnsi="Cambria"/>
                <w:sz w:val="20"/>
                <w:szCs w:val="20"/>
              </w:rPr>
              <w:t>Therefore, EIOPA correctly identified the overarching principle that must govern both the substance and the format of the PEPP KID and BS, to:</w:t>
            </w:r>
          </w:p>
          <w:p w14:paraId="1320E1E5" w14:textId="77777777" w:rsidR="00A0156F" w:rsidRPr="00A0156F" w:rsidRDefault="00A0156F" w:rsidP="00A0156F">
            <w:pPr>
              <w:spacing w:after="120" w:line="276" w:lineRule="auto"/>
              <w:ind w:left="567" w:right="567"/>
              <w:jc w:val="both"/>
              <w:rPr>
                <w:rFonts w:ascii="Cambria" w:hAnsi="Cambria"/>
                <w:sz w:val="20"/>
                <w:szCs w:val="20"/>
              </w:rPr>
            </w:pPr>
            <w:r w:rsidRPr="00A0156F">
              <w:rPr>
                <w:rFonts w:ascii="Cambria" w:hAnsi="Cambria"/>
                <w:sz w:val="20"/>
                <w:szCs w:val="20"/>
              </w:rPr>
              <w:t>“</w:t>
            </w:r>
            <w:r w:rsidRPr="00A0156F">
              <w:rPr>
                <w:rFonts w:asciiTheme="majorHAnsi" w:hAnsiTheme="majorHAnsi" w:cstheme="majorHAnsi"/>
                <w:b/>
                <w:bCs/>
                <w:i/>
                <w:iCs/>
                <w:sz w:val="20"/>
                <w:szCs w:val="20"/>
                <w:shd w:val="clear" w:color="auto" w:fill="D9D9D9" w:themeFill="background1" w:themeFillShade="D9"/>
              </w:rPr>
              <w:t>provide relevant, simple and understandable information that engage consumers to actively plan…</w:t>
            </w:r>
            <w:r w:rsidRPr="00A0156F">
              <w:rPr>
                <w:rFonts w:ascii="Cambria" w:hAnsi="Cambria"/>
                <w:sz w:val="20"/>
                <w:szCs w:val="20"/>
              </w:rPr>
              <w:t>”.</w:t>
            </w:r>
          </w:p>
          <w:p w14:paraId="6F86D333" w14:textId="2AB1307F" w:rsidR="00A0156F" w:rsidRPr="00A0156F" w:rsidRDefault="00A0156F" w:rsidP="00A0156F">
            <w:pPr>
              <w:spacing w:after="120" w:line="276" w:lineRule="auto"/>
              <w:jc w:val="both"/>
              <w:rPr>
                <w:rFonts w:ascii="Cambria" w:hAnsi="Cambria"/>
                <w:sz w:val="20"/>
                <w:szCs w:val="20"/>
              </w:rPr>
            </w:pPr>
            <w:r w:rsidRPr="00A0156F">
              <w:rPr>
                <w:rFonts w:ascii="Cambria" w:hAnsi="Cambria"/>
                <w:sz w:val="20"/>
                <w:szCs w:val="20"/>
              </w:rPr>
              <w:t xml:space="preserve">Disclosure for individual, non-professional investors </w:t>
            </w:r>
            <w:r w:rsidRPr="00A0156F">
              <w:rPr>
                <w:rFonts w:ascii="Cambria" w:hAnsi="Cambria"/>
                <w:b/>
                <w:bCs/>
                <w:color w:val="0070C0"/>
                <w:sz w:val="20"/>
                <w:szCs w:val="20"/>
                <w:u w:val="single"/>
              </w:rPr>
              <w:t>has increased, but has not improved its quality</w:t>
            </w:r>
            <w:r w:rsidRPr="00A0156F">
              <w:rPr>
                <w:rFonts w:ascii="Cambria" w:hAnsi="Cambria"/>
                <w:sz w:val="20"/>
                <w:szCs w:val="20"/>
              </w:rPr>
              <w:t xml:space="preserve">. What is more, in the context of sustainable finance, information will further </w:t>
            </w:r>
            <w:r w:rsidR="009C5336">
              <w:rPr>
                <w:rFonts w:ascii="Cambria" w:hAnsi="Cambria"/>
                <w:sz w:val="20"/>
                <w:szCs w:val="20"/>
              </w:rPr>
              <w:t>increase</w:t>
            </w:r>
            <w:r w:rsidRPr="00A0156F">
              <w:rPr>
                <w:rFonts w:ascii="Cambria" w:hAnsi="Cambria"/>
                <w:sz w:val="20"/>
                <w:szCs w:val="20"/>
              </w:rPr>
              <w:t>. This is why it’s paramount to simplify the manner in which information is communicated and attempt to streamline and reduce it so as to not disincentivise the non-professional investor to become active in investment decisions.</w:t>
            </w:r>
          </w:p>
          <w:p w14:paraId="22613088" w14:textId="77777777" w:rsidR="00A0156F" w:rsidRPr="00A0156F" w:rsidRDefault="00A0156F" w:rsidP="00A0156F">
            <w:pPr>
              <w:pStyle w:val="Heading2"/>
              <w:spacing w:before="0" w:after="120" w:line="276" w:lineRule="auto"/>
              <w:rPr>
                <w:rFonts w:ascii="Cambria" w:hAnsi="Cambria"/>
                <w:color w:val="0070C0"/>
                <w:sz w:val="20"/>
                <w:szCs w:val="20"/>
              </w:rPr>
            </w:pPr>
            <w:bookmarkStart w:id="0" w:name="_Toc33566143"/>
            <w:r w:rsidRPr="00A0156F">
              <w:rPr>
                <w:rFonts w:ascii="Cambria" w:hAnsi="Cambria"/>
                <w:i w:val="0"/>
                <w:iCs w:val="0"/>
                <w:color w:val="0070C0"/>
                <w:sz w:val="20"/>
                <w:szCs w:val="20"/>
              </w:rPr>
              <w:t>Behavioural and cognitive processes of consumers</w:t>
            </w:r>
            <w:bookmarkEnd w:id="0"/>
          </w:p>
          <w:p w14:paraId="058FA58E" w14:textId="52487B2F" w:rsidR="00A0156F" w:rsidRPr="00A0156F" w:rsidRDefault="00A0156F" w:rsidP="00A0156F">
            <w:pPr>
              <w:spacing w:after="120" w:line="276" w:lineRule="auto"/>
              <w:jc w:val="both"/>
              <w:rPr>
                <w:rFonts w:ascii="Cambria" w:hAnsi="Cambria"/>
                <w:sz w:val="20"/>
                <w:szCs w:val="20"/>
              </w:rPr>
            </w:pPr>
            <w:r w:rsidRPr="00A0156F">
              <w:rPr>
                <w:rFonts w:ascii="Cambria" w:hAnsi="Cambria"/>
                <w:sz w:val="20"/>
                <w:szCs w:val="20"/>
              </w:rPr>
              <w:t xml:space="preserve">The BETTER FINANCE </w:t>
            </w:r>
            <w:hyperlink r:id="rId11" w:history="1">
              <w:r w:rsidRPr="00886A06">
                <w:rPr>
                  <w:rStyle w:val="Hyperlink"/>
                  <w:rFonts w:ascii="Cambria" w:hAnsi="Cambria"/>
                  <w:sz w:val="20"/>
                  <w:szCs w:val="20"/>
                </w:rPr>
                <w:t>Technical Working Paper on PEPP</w:t>
              </w:r>
            </w:hyperlink>
            <w:r w:rsidRPr="00A0156F">
              <w:rPr>
                <w:rFonts w:ascii="Cambria" w:hAnsi="Cambria"/>
                <w:sz w:val="20"/>
                <w:szCs w:val="20"/>
              </w:rPr>
              <w:t xml:space="preserve"> argues why the current mandatory disclosure requirements provide savers with more than enough information, but which does not allow them to “process it and make an optimal” investment decision. This is due to a policy belief that </w:t>
            </w:r>
            <w:r w:rsidRPr="00183D3E">
              <w:rPr>
                <w:rFonts w:ascii="Cambria" w:hAnsi="Cambria"/>
                <w:i/>
                <w:iCs/>
                <w:sz w:val="20"/>
                <w:szCs w:val="20"/>
              </w:rPr>
              <w:t>savers will be able to make the right financial decisions</w:t>
            </w:r>
            <w:r w:rsidRPr="00A0156F">
              <w:rPr>
                <w:rFonts w:ascii="Cambria" w:hAnsi="Cambria"/>
                <w:sz w:val="20"/>
                <w:szCs w:val="20"/>
              </w:rPr>
              <w:t xml:space="preserve"> if providers disclose enough information.</w:t>
            </w:r>
          </w:p>
          <w:p w14:paraId="72CEEB62" w14:textId="77777777" w:rsidR="00A0156F" w:rsidRPr="00A0156F" w:rsidRDefault="00A0156F" w:rsidP="00A0156F">
            <w:pPr>
              <w:spacing w:after="120" w:line="276" w:lineRule="auto"/>
              <w:jc w:val="both"/>
              <w:rPr>
                <w:rFonts w:ascii="Cambria" w:hAnsi="Cambria"/>
                <w:sz w:val="20"/>
                <w:szCs w:val="20"/>
              </w:rPr>
            </w:pPr>
            <w:r w:rsidRPr="00A0156F">
              <w:rPr>
                <w:rFonts w:ascii="Cambria" w:hAnsi="Cambria"/>
                <w:sz w:val="20"/>
                <w:szCs w:val="20"/>
              </w:rPr>
              <w:t>The issue stems both from the inability to select important information and the demotivating effect information overload has on non-professional investors.</w:t>
            </w:r>
            <w:r w:rsidRPr="00A0156F">
              <w:rPr>
                <w:rStyle w:val="FootnoteReference"/>
                <w:rFonts w:ascii="Cambria" w:hAnsi="Cambria"/>
                <w:sz w:val="20"/>
                <w:szCs w:val="20"/>
              </w:rPr>
              <w:footnoteReference w:id="2"/>
            </w:r>
            <w:r w:rsidRPr="00A0156F">
              <w:rPr>
                <w:rFonts w:ascii="Cambria" w:hAnsi="Cambria"/>
                <w:sz w:val="20"/>
                <w:szCs w:val="20"/>
              </w:rPr>
              <w:t xml:space="preserve"> Moreover, most of the information comprised in these disclosure documents is either legal in nature or legal waivers and disclaimers, which are not only “difficult for an ordinary saver to </w:t>
            </w:r>
            <w:r w:rsidRPr="00A0156F">
              <w:rPr>
                <w:rFonts w:ascii="Cambria" w:hAnsi="Cambria"/>
                <w:sz w:val="20"/>
                <w:szCs w:val="20"/>
              </w:rPr>
              <w:lastRenderedPageBreak/>
              <w:t>understand and use”, but also lack added value for making a financial investment decision. In turn, the demotivating effect makes savers postpone or not take the decision at all. BETTER FINANCE received input from its national member associations suggesting that many savers would like to save more in pillar III products but have no sensible choice due to increased complexity of products.</w:t>
            </w:r>
          </w:p>
          <w:p w14:paraId="072914A7" w14:textId="77777777" w:rsidR="00A0156F" w:rsidRPr="00A0156F" w:rsidRDefault="00A0156F" w:rsidP="00A0156F">
            <w:pPr>
              <w:spacing w:line="276" w:lineRule="auto"/>
              <w:jc w:val="both"/>
              <w:rPr>
                <w:rFonts w:ascii="Cambria" w:hAnsi="Cambria"/>
                <w:color w:val="000000" w:themeColor="text1"/>
                <w:sz w:val="20"/>
                <w:szCs w:val="20"/>
              </w:rPr>
            </w:pPr>
            <w:r w:rsidRPr="00A0156F">
              <w:rPr>
                <w:rFonts w:ascii="Cambria" w:hAnsi="Cambria"/>
                <w:sz w:val="20"/>
                <w:szCs w:val="20"/>
              </w:rPr>
              <w:t>BETTER FINANCE also made the argument against information overload in the response to the PRIIPs Public Consultation,</w:t>
            </w:r>
            <w:r w:rsidRPr="00A0156F">
              <w:rPr>
                <w:rStyle w:val="FootnoteReference"/>
                <w:rFonts w:ascii="Cambria" w:hAnsi="Cambria"/>
                <w:sz w:val="20"/>
                <w:szCs w:val="20"/>
              </w:rPr>
              <w:footnoteReference w:id="3"/>
            </w:r>
            <w:r w:rsidRPr="00A0156F">
              <w:rPr>
                <w:rFonts w:ascii="Cambria" w:hAnsi="Cambria"/>
                <w:sz w:val="20"/>
                <w:szCs w:val="20"/>
              </w:rPr>
              <w:t xml:space="preserve"> highlighting </w:t>
            </w:r>
            <w:r w:rsidRPr="00A0156F">
              <w:rPr>
                <w:rFonts w:ascii="Cambria" w:hAnsi="Cambria"/>
                <w:color w:val="000000" w:themeColor="text1"/>
                <w:sz w:val="20"/>
                <w:szCs w:val="20"/>
              </w:rPr>
              <w:t>research showing that information overload:</w:t>
            </w:r>
          </w:p>
          <w:p w14:paraId="4E09FC7F" w14:textId="77777777" w:rsidR="00A0156F" w:rsidRPr="00A0156F" w:rsidRDefault="00A0156F" w:rsidP="007C358E">
            <w:pPr>
              <w:pStyle w:val="ListParagraph"/>
              <w:numPr>
                <w:ilvl w:val="0"/>
                <w:numId w:val="15"/>
              </w:numPr>
              <w:spacing w:after="120" w:line="276" w:lineRule="auto"/>
              <w:contextualSpacing/>
              <w:jc w:val="both"/>
              <w:rPr>
                <w:rFonts w:ascii="Cambria" w:hAnsi="Cambria"/>
                <w:color w:val="000000" w:themeColor="text1"/>
                <w:sz w:val="20"/>
                <w:szCs w:val="20"/>
              </w:rPr>
            </w:pPr>
            <w:r w:rsidRPr="00A0156F">
              <w:rPr>
                <w:rFonts w:ascii="Cambria" w:hAnsi="Cambria"/>
                <w:color w:val="000000" w:themeColor="text1"/>
                <w:sz w:val="20"/>
                <w:szCs w:val="20"/>
              </w:rPr>
              <w:t>reduces the attention and likelihood of investors to read the KID,</w:t>
            </w:r>
            <w:r w:rsidRPr="00A0156F">
              <w:rPr>
                <w:rStyle w:val="FootnoteReference"/>
                <w:rFonts w:ascii="Cambria" w:hAnsi="Cambria"/>
                <w:color w:val="000000" w:themeColor="text1"/>
                <w:sz w:val="20"/>
                <w:szCs w:val="20"/>
              </w:rPr>
              <w:footnoteReference w:id="4"/>
            </w:r>
            <w:r w:rsidRPr="00A0156F">
              <w:rPr>
                <w:rFonts w:ascii="Cambria" w:hAnsi="Cambria"/>
                <w:color w:val="000000" w:themeColor="text1"/>
                <w:sz w:val="20"/>
                <w:szCs w:val="20"/>
              </w:rPr>
              <w:t xml:space="preserve"> </w:t>
            </w:r>
          </w:p>
          <w:p w14:paraId="702865F5" w14:textId="77777777" w:rsidR="00A0156F" w:rsidRPr="00A0156F" w:rsidRDefault="00A0156F" w:rsidP="007C358E">
            <w:pPr>
              <w:pStyle w:val="ListParagraph"/>
              <w:numPr>
                <w:ilvl w:val="0"/>
                <w:numId w:val="15"/>
              </w:numPr>
              <w:spacing w:after="120" w:line="276" w:lineRule="auto"/>
              <w:contextualSpacing/>
              <w:jc w:val="both"/>
              <w:rPr>
                <w:rFonts w:ascii="Cambria" w:hAnsi="Cambria"/>
                <w:color w:val="000000" w:themeColor="text1"/>
                <w:sz w:val="20"/>
                <w:szCs w:val="20"/>
              </w:rPr>
            </w:pPr>
            <w:r w:rsidRPr="00A0156F">
              <w:rPr>
                <w:rFonts w:ascii="Cambria" w:hAnsi="Cambria"/>
                <w:color w:val="000000" w:themeColor="text1"/>
                <w:sz w:val="20"/>
                <w:szCs w:val="20"/>
              </w:rPr>
              <w:t>reduces their ability to understand the product,</w:t>
            </w:r>
            <w:r w:rsidRPr="00A0156F">
              <w:rPr>
                <w:rStyle w:val="FootnoteReference"/>
                <w:rFonts w:ascii="Cambria" w:hAnsi="Cambria"/>
                <w:color w:val="000000" w:themeColor="text1"/>
                <w:sz w:val="20"/>
                <w:szCs w:val="20"/>
              </w:rPr>
              <w:footnoteReference w:id="5"/>
            </w:r>
            <w:r w:rsidRPr="00A0156F">
              <w:rPr>
                <w:rFonts w:ascii="Cambria" w:hAnsi="Cambria"/>
                <w:color w:val="000000" w:themeColor="text1"/>
                <w:sz w:val="20"/>
                <w:szCs w:val="20"/>
              </w:rPr>
              <w:t xml:space="preserve"> and </w:t>
            </w:r>
          </w:p>
          <w:p w14:paraId="58DC4F54" w14:textId="77777777" w:rsidR="00A0156F" w:rsidRPr="00A0156F" w:rsidRDefault="00A0156F" w:rsidP="007C358E">
            <w:pPr>
              <w:pStyle w:val="ListParagraph"/>
              <w:numPr>
                <w:ilvl w:val="0"/>
                <w:numId w:val="15"/>
              </w:numPr>
              <w:spacing w:after="120" w:line="276" w:lineRule="auto"/>
              <w:contextualSpacing/>
              <w:jc w:val="both"/>
              <w:rPr>
                <w:rFonts w:ascii="Cambria" w:hAnsi="Cambria"/>
                <w:color w:val="000000" w:themeColor="text1"/>
                <w:sz w:val="20"/>
                <w:szCs w:val="20"/>
              </w:rPr>
            </w:pPr>
            <w:r w:rsidRPr="00A0156F">
              <w:rPr>
                <w:rFonts w:ascii="Cambria" w:hAnsi="Cambria"/>
                <w:color w:val="000000" w:themeColor="text1"/>
                <w:sz w:val="20"/>
                <w:szCs w:val="20"/>
              </w:rPr>
              <w:t>reduces the “</w:t>
            </w:r>
            <w:r w:rsidRPr="00A0156F">
              <w:rPr>
                <w:rFonts w:asciiTheme="majorHAnsi" w:hAnsiTheme="majorHAnsi" w:cstheme="majorHAnsi"/>
                <w:i/>
                <w:iCs/>
                <w:color w:val="000000" w:themeColor="text1"/>
                <w:sz w:val="20"/>
                <w:szCs w:val="20"/>
              </w:rPr>
              <w:t>perceived usefulness</w:t>
            </w:r>
            <w:r w:rsidRPr="00A0156F">
              <w:rPr>
                <w:rFonts w:ascii="Cambria" w:hAnsi="Cambria"/>
                <w:color w:val="000000" w:themeColor="text1"/>
                <w:sz w:val="20"/>
                <w:szCs w:val="20"/>
              </w:rPr>
              <w:t>” of the KID.</w:t>
            </w:r>
            <w:r w:rsidRPr="00A0156F">
              <w:rPr>
                <w:rStyle w:val="FootnoteReference"/>
                <w:rFonts w:ascii="Cambria" w:hAnsi="Cambria"/>
                <w:color w:val="000000" w:themeColor="text1"/>
                <w:sz w:val="20"/>
                <w:szCs w:val="20"/>
              </w:rPr>
              <w:footnoteReference w:id="6"/>
            </w:r>
          </w:p>
          <w:p w14:paraId="16DC35F1" w14:textId="24F75C58" w:rsidR="00A0156F" w:rsidRPr="00A0156F" w:rsidRDefault="00A0156F" w:rsidP="00A0156F">
            <w:pPr>
              <w:spacing w:after="120" w:line="276" w:lineRule="auto"/>
              <w:jc w:val="both"/>
              <w:rPr>
                <w:rFonts w:ascii="Cambria" w:hAnsi="Cambria"/>
                <w:color w:val="000000" w:themeColor="text1"/>
                <w:sz w:val="20"/>
                <w:szCs w:val="20"/>
              </w:rPr>
            </w:pPr>
            <w:r w:rsidRPr="00A0156F">
              <w:rPr>
                <w:rFonts w:ascii="Cambria" w:hAnsi="Cambria"/>
                <w:color w:val="000000" w:themeColor="text1"/>
                <w:sz w:val="20"/>
                <w:szCs w:val="20"/>
              </w:rPr>
              <w:t xml:space="preserve">These elements are pivotal in achieving the stated purpose of the KID, i.e. to enable the saver compare products and make an informed investment decision. </w:t>
            </w:r>
            <w:r w:rsidR="002332F9">
              <w:rPr>
                <w:rFonts w:ascii="Cambria" w:hAnsi="Cambria"/>
                <w:color w:val="000000" w:themeColor="text1"/>
                <w:sz w:val="20"/>
                <w:szCs w:val="20"/>
              </w:rPr>
              <w:t>A</w:t>
            </w:r>
            <w:r w:rsidRPr="00A0156F">
              <w:rPr>
                <w:rFonts w:ascii="Cambria" w:hAnsi="Cambria"/>
                <w:color w:val="000000" w:themeColor="text1"/>
                <w:sz w:val="20"/>
                <w:szCs w:val="20"/>
              </w:rPr>
              <w:t>s research has shown, non-professional or non-specialised consumers will address the information in the KID and form questions in one of two ways. On one side, consumers will subconsciously approach complex and large bodies of information, triggering cognitive tensions that “reduce the motivation to solve the problem and reach a decision”. On the other, consumers will be stimulated to adopt a logical and rational thinking, allowing them to thoroughly examine it, look for context and estimate impacts.</w:t>
            </w:r>
            <w:r w:rsidR="004C5F67">
              <w:rPr>
                <w:rStyle w:val="FootnoteReference"/>
                <w:rFonts w:ascii="Cambria" w:hAnsi="Cambria"/>
                <w:color w:val="000000" w:themeColor="text1"/>
                <w:sz w:val="20"/>
                <w:szCs w:val="20"/>
              </w:rPr>
              <w:footnoteReference w:id="7"/>
            </w:r>
          </w:p>
          <w:p w14:paraId="190E0BA9" w14:textId="04F2DBAD" w:rsidR="00A0156F" w:rsidRPr="00A0156F" w:rsidRDefault="00A0156F" w:rsidP="00A0156F">
            <w:pPr>
              <w:spacing w:after="120" w:line="276" w:lineRule="auto"/>
              <w:jc w:val="both"/>
              <w:rPr>
                <w:rFonts w:ascii="Cambria" w:hAnsi="Cambria"/>
                <w:color w:val="000000" w:themeColor="text1"/>
                <w:sz w:val="20"/>
                <w:szCs w:val="20"/>
              </w:rPr>
            </w:pPr>
            <w:r w:rsidRPr="00A0156F">
              <w:rPr>
                <w:rFonts w:ascii="Cambria" w:hAnsi="Cambria"/>
                <w:color w:val="000000" w:themeColor="text1"/>
                <w:sz w:val="20"/>
                <w:szCs w:val="20"/>
              </w:rPr>
              <w:lastRenderedPageBreak/>
              <w:t>Therefore, we argue that the PEPP KID must stimulate question-formation and create ease in looking for context and generating answers. In order to achieve this process, EIOPA must pay attention not only to the amount of information, but also to its clarity.</w:t>
            </w:r>
          </w:p>
          <w:p w14:paraId="4AE21335" w14:textId="77777777" w:rsidR="00A0156F" w:rsidRPr="00A0156F" w:rsidRDefault="00A0156F" w:rsidP="00A0156F">
            <w:pPr>
              <w:spacing w:after="120" w:line="276" w:lineRule="auto"/>
              <w:jc w:val="both"/>
              <w:rPr>
                <w:rFonts w:ascii="Cambria" w:hAnsi="Cambria"/>
                <w:color w:val="000000" w:themeColor="text1"/>
                <w:sz w:val="20"/>
                <w:szCs w:val="20"/>
              </w:rPr>
            </w:pPr>
            <w:r w:rsidRPr="00A0156F">
              <w:rPr>
                <w:rFonts w:ascii="Cambria" w:hAnsi="Cambria"/>
                <w:color w:val="000000" w:themeColor="text1"/>
                <w:sz w:val="20"/>
                <w:szCs w:val="20"/>
              </w:rPr>
              <w:t xml:space="preserve">Clarity is achieved by avoiding the use of jargon as much as possible and by avoiding ambiguity, which on most occasions derives from attempting to provide unnecessary explanations. EIOPA correctly identified in the CP that the </w:t>
            </w:r>
            <w:r w:rsidRPr="00A0156F">
              <w:rPr>
                <w:rFonts w:ascii="Cambria" w:hAnsi="Cambria"/>
                <w:b/>
                <w:bCs/>
                <w:color w:val="000000" w:themeColor="text1"/>
                <w:sz w:val="20"/>
                <w:szCs w:val="20"/>
              </w:rPr>
              <w:t>information documents must provide simple and understandable information to PEPP savers</w:t>
            </w:r>
            <w:r w:rsidRPr="00A0156F">
              <w:rPr>
                <w:rFonts w:ascii="Cambria" w:hAnsi="Cambria"/>
                <w:color w:val="000000" w:themeColor="text1"/>
                <w:sz w:val="20"/>
                <w:szCs w:val="20"/>
              </w:rPr>
              <w:t>, but analysing the mock KID proposals, some modifications might prove necessary.</w:t>
            </w:r>
          </w:p>
          <w:p w14:paraId="5E07B6A9" w14:textId="04916D5E" w:rsidR="00A0156F" w:rsidRPr="00A0156F" w:rsidRDefault="00A0156F" w:rsidP="00A0156F">
            <w:pPr>
              <w:spacing w:line="276" w:lineRule="auto"/>
              <w:jc w:val="both"/>
              <w:rPr>
                <w:rFonts w:ascii="Cambria" w:hAnsi="Cambria"/>
                <w:color w:val="000000" w:themeColor="text1"/>
                <w:sz w:val="20"/>
                <w:szCs w:val="20"/>
              </w:rPr>
            </w:pPr>
            <w:r w:rsidRPr="00A0156F">
              <w:rPr>
                <w:rFonts w:ascii="Cambria" w:hAnsi="Cambria"/>
                <w:color w:val="000000" w:themeColor="text1"/>
                <w:sz w:val="20"/>
                <w:szCs w:val="20"/>
              </w:rPr>
              <w:t>Again, on this occasion, the PEPP Regulation does not ease the process, as Art. 28(3)(d)(iii) requires disclosure of “</w:t>
            </w:r>
            <w:r w:rsidRPr="00A0156F">
              <w:rPr>
                <w:rFonts w:ascii="Cambria" w:hAnsi="Cambria"/>
                <w:i/>
                <w:iCs/>
                <w:color w:val="000000" w:themeColor="text1"/>
                <w:sz w:val="20"/>
                <w:szCs w:val="20"/>
                <w:highlight w:val="lightGray"/>
              </w:rPr>
              <w:t>appropriate performance scenarios and the assumptions on which they are based</w:t>
            </w:r>
            <w:r w:rsidRPr="00A0156F">
              <w:rPr>
                <w:rFonts w:ascii="Cambria" w:hAnsi="Cambria"/>
                <w:color w:val="000000" w:themeColor="text1"/>
                <w:sz w:val="20"/>
                <w:szCs w:val="20"/>
              </w:rPr>
              <w:t xml:space="preserve">”. Requiring disclosure of the assumptions used to model projections is a </w:t>
            </w:r>
            <w:r w:rsidR="0014257F">
              <w:rPr>
                <w:rFonts w:ascii="Cambria" w:hAnsi="Cambria"/>
                <w:color w:val="000000" w:themeColor="text1"/>
                <w:sz w:val="20"/>
                <w:szCs w:val="20"/>
              </w:rPr>
              <w:t>not the optimal policy choice</w:t>
            </w:r>
            <w:r w:rsidRPr="00A0156F">
              <w:rPr>
                <w:rFonts w:ascii="Cambria" w:hAnsi="Cambria"/>
                <w:color w:val="000000" w:themeColor="text1"/>
                <w:sz w:val="20"/>
                <w:szCs w:val="20"/>
              </w:rPr>
              <w:t xml:space="preserve"> since:</w:t>
            </w:r>
          </w:p>
          <w:p w14:paraId="68F76C80" w14:textId="77777777" w:rsidR="00A0156F" w:rsidRPr="00A0156F" w:rsidRDefault="00A0156F" w:rsidP="007C358E">
            <w:pPr>
              <w:pStyle w:val="ListParagraph"/>
              <w:numPr>
                <w:ilvl w:val="0"/>
                <w:numId w:val="16"/>
              </w:numPr>
              <w:spacing w:after="120" w:line="276" w:lineRule="auto"/>
              <w:contextualSpacing/>
              <w:jc w:val="both"/>
              <w:rPr>
                <w:rFonts w:ascii="Cambria" w:hAnsi="Cambria"/>
                <w:color w:val="000000" w:themeColor="text1"/>
                <w:sz w:val="20"/>
                <w:szCs w:val="20"/>
              </w:rPr>
            </w:pPr>
            <w:r w:rsidRPr="00A0156F">
              <w:rPr>
                <w:rFonts w:ascii="Cambria" w:hAnsi="Cambria"/>
                <w:color w:val="000000" w:themeColor="text1"/>
                <w:sz w:val="20"/>
                <w:szCs w:val="20"/>
              </w:rPr>
              <w:t xml:space="preserve">explaining the methodology behind both stochastic or deterministic models to estimate future returns will create a </w:t>
            </w:r>
            <w:r w:rsidRPr="00A2206B">
              <w:rPr>
                <w:rFonts w:ascii="Cambria" w:hAnsi="Cambria"/>
                <w:i/>
                <w:iCs/>
                <w:color w:val="000000" w:themeColor="text1"/>
                <w:sz w:val="20"/>
                <w:szCs w:val="20"/>
              </w:rPr>
              <w:t>Key Information Book</w:t>
            </w:r>
            <w:r w:rsidRPr="00A0156F">
              <w:rPr>
                <w:rFonts w:ascii="Cambria" w:hAnsi="Cambria"/>
                <w:color w:val="000000" w:themeColor="text1"/>
                <w:sz w:val="20"/>
                <w:szCs w:val="20"/>
              </w:rPr>
              <w:t>;</w:t>
            </w:r>
          </w:p>
          <w:p w14:paraId="770A550C" w14:textId="292E6F5C" w:rsidR="00A0156F" w:rsidRPr="00A0156F" w:rsidRDefault="00A0156F" w:rsidP="007C358E">
            <w:pPr>
              <w:pStyle w:val="ListParagraph"/>
              <w:numPr>
                <w:ilvl w:val="0"/>
                <w:numId w:val="16"/>
              </w:numPr>
              <w:spacing w:after="120" w:line="276" w:lineRule="auto"/>
              <w:contextualSpacing/>
              <w:jc w:val="both"/>
              <w:rPr>
                <w:rFonts w:ascii="Cambria" w:hAnsi="Cambria"/>
                <w:color w:val="000000" w:themeColor="text1"/>
                <w:sz w:val="20"/>
                <w:szCs w:val="20"/>
              </w:rPr>
            </w:pPr>
            <w:r w:rsidRPr="00A0156F">
              <w:rPr>
                <w:rFonts w:ascii="Cambria" w:hAnsi="Cambria"/>
                <w:color w:val="000000" w:themeColor="text1"/>
                <w:sz w:val="20"/>
                <w:szCs w:val="20"/>
              </w:rPr>
              <w:t>only disclosing concepts, such as “these estimations are based on one million Monte-Carlo bootstrap simulations” do nothing more than confus</w:t>
            </w:r>
            <w:r w:rsidR="006D431E">
              <w:rPr>
                <w:rFonts w:ascii="Cambria" w:hAnsi="Cambria"/>
                <w:color w:val="000000" w:themeColor="text1"/>
                <w:sz w:val="20"/>
                <w:szCs w:val="20"/>
              </w:rPr>
              <w:t>e</w:t>
            </w:r>
            <w:r w:rsidRPr="00A0156F">
              <w:rPr>
                <w:rFonts w:ascii="Cambria" w:hAnsi="Cambria"/>
                <w:color w:val="000000" w:themeColor="text1"/>
                <w:sz w:val="20"/>
                <w:szCs w:val="20"/>
              </w:rPr>
              <w:t xml:space="preserve"> the saver or demotivat</w:t>
            </w:r>
            <w:r w:rsidR="006D431E">
              <w:rPr>
                <w:rFonts w:ascii="Cambria" w:hAnsi="Cambria"/>
                <w:color w:val="000000" w:themeColor="text1"/>
                <w:sz w:val="20"/>
                <w:szCs w:val="20"/>
              </w:rPr>
              <w:t>e</w:t>
            </w:r>
            <w:r w:rsidRPr="00A0156F">
              <w:rPr>
                <w:rFonts w:ascii="Cambria" w:hAnsi="Cambria"/>
                <w:color w:val="000000" w:themeColor="text1"/>
                <w:sz w:val="20"/>
                <w:szCs w:val="20"/>
              </w:rPr>
              <w:t xml:space="preserve"> him to further search for answers.</w:t>
            </w:r>
          </w:p>
          <w:p w14:paraId="626D9270" w14:textId="77777777" w:rsidR="00A0156F" w:rsidRPr="00A0156F" w:rsidRDefault="00A0156F" w:rsidP="00A0156F">
            <w:pPr>
              <w:spacing w:after="120" w:line="276" w:lineRule="auto"/>
              <w:jc w:val="both"/>
              <w:rPr>
                <w:rFonts w:ascii="Cambria" w:hAnsi="Cambria"/>
                <w:color w:val="000000" w:themeColor="text1"/>
                <w:sz w:val="20"/>
                <w:szCs w:val="20"/>
              </w:rPr>
            </w:pPr>
            <w:r w:rsidRPr="00A0156F">
              <w:rPr>
                <w:rFonts w:ascii="Cambria" w:hAnsi="Cambria"/>
                <w:color w:val="000000" w:themeColor="text1"/>
                <w:sz w:val="20"/>
                <w:szCs w:val="20"/>
              </w:rPr>
              <w:t xml:space="preserve">On the other hand, EIOPA included half a page of explanations on the performance estimation graphs for the PEPP KID illustrative example B (below an excerpt from the </w:t>
            </w:r>
          </w:p>
          <w:p w14:paraId="2097ADE1" w14:textId="51E61DFF" w:rsidR="00A0156F" w:rsidRPr="00A0156F" w:rsidRDefault="00A0156F" w:rsidP="00A0156F">
            <w:pPr>
              <w:spacing w:line="276" w:lineRule="auto"/>
              <w:jc w:val="center"/>
              <w:rPr>
                <w:rFonts w:ascii="Cambria" w:hAnsi="Cambria"/>
                <w:color w:val="000000" w:themeColor="text1"/>
                <w:sz w:val="20"/>
                <w:szCs w:val="20"/>
              </w:rPr>
            </w:pPr>
            <w:r w:rsidRPr="00A0156F">
              <w:rPr>
                <w:rFonts w:ascii="Cambria" w:hAnsi="Cambria"/>
                <w:noProof/>
                <w:color w:val="000000" w:themeColor="text1"/>
                <w:sz w:val="20"/>
                <w:szCs w:val="20"/>
              </w:rPr>
              <w:lastRenderedPageBreak/>
              <w:drawing>
                <wp:inline distT="0" distB="0" distL="0" distR="0" wp14:anchorId="4F8BFACD" wp14:editId="55381107">
                  <wp:extent cx="3554879" cy="19494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1845" cy="1953270"/>
                          </a:xfrm>
                          <a:prstGeom prst="rect">
                            <a:avLst/>
                          </a:prstGeom>
                          <a:noFill/>
                          <a:ln>
                            <a:noFill/>
                          </a:ln>
                        </pic:spPr>
                      </pic:pic>
                    </a:graphicData>
                  </a:graphic>
                </wp:inline>
              </w:drawing>
            </w:r>
          </w:p>
          <w:p w14:paraId="75F64662" w14:textId="77777777" w:rsidR="00A0156F" w:rsidRPr="001F179C" w:rsidRDefault="00A0156F" w:rsidP="00A0156F">
            <w:pPr>
              <w:spacing w:after="120" w:line="276" w:lineRule="auto"/>
              <w:ind w:left="720" w:firstLine="720"/>
              <w:jc w:val="both"/>
              <w:rPr>
                <w:rFonts w:ascii="Cambria" w:hAnsi="Cambria"/>
                <w:sz w:val="16"/>
                <w:szCs w:val="16"/>
              </w:rPr>
            </w:pPr>
            <w:r w:rsidRPr="001F179C">
              <w:rPr>
                <w:rFonts w:ascii="Cambria" w:hAnsi="Cambria"/>
                <w:i/>
                <w:iCs/>
                <w:sz w:val="16"/>
                <w:szCs w:val="16"/>
                <w:u w:val="single"/>
              </w:rPr>
              <w:t>Source</w:t>
            </w:r>
            <w:r w:rsidRPr="001F179C">
              <w:rPr>
                <w:rFonts w:ascii="Cambria" w:hAnsi="Cambria"/>
                <w:sz w:val="16"/>
                <w:szCs w:val="16"/>
              </w:rPr>
              <w:t>: EIOPA PEPP KID illustrative example B, p. 3</w:t>
            </w:r>
          </w:p>
          <w:p w14:paraId="03F71FE8" w14:textId="77777777" w:rsidR="00A0156F" w:rsidRPr="00A0156F" w:rsidRDefault="00A0156F" w:rsidP="00A0156F">
            <w:pPr>
              <w:spacing w:after="120" w:line="276" w:lineRule="auto"/>
              <w:jc w:val="both"/>
              <w:rPr>
                <w:rFonts w:ascii="Cambria" w:hAnsi="Cambria"/>
                <w:sz w:val="20"/>
                <w:szCs w:val="20"/>
              </w:rPr>
            </w:pPr>
            <w:r w:rsidRPr="00A0156F">
              <w:rPr>
                <w:rFonts w:ascii="Cambria" w:hAnsi="Cambria"/>
                <w:sz w:val="20"/>
                <w:szCs w:val="20"/>
              </w:rPr>
              <w:t>While we clearly observe the regulatory requirement, we believe that the text proposed by EIOPA neither fulfils it, nor does it make it easier for PEPP savers to take away the clear, simple message: the figures are estimated and we are unsure about their accuracy or reliability. Further below we give an example on how this type of disclosure can be enhanced.</w:t>
            </w:r>
          </w:p>
          <w:p w14:paraId="3A8FB5F6" w14:textId="773926FC" w:rsidR="00A0156F" w:rsidRPr="00A0156F" w:rsidRDefault="00A0156F" w:rsidP="00A0156F">
            <w:pPr>
              <w:spacing w:line="276" w:lineRule="auto"/>
              <w:jc w:val="both"/>
              <w:rPr>
                <w:rFonts w:ascii="Cambria" w:hAnsi="Cambria"/>
                <w:sz w:val="20"/>
                <w:szCs w:val="20"/>
              </w:rPr>
            </w:pPr>
            <w:r w:rsidRPr="00A0156F">
              <w:rPr>
                <w:rFonts w:ascii="Cambria" w:hAnsi="Cambria"/>
                <w:sz w:val="20"/>
                <w:szCs w:val="20"/>
              </w:rPr>
              <w:t xml:space="preserve">The first step is for EIOPA to ensure that the PEPP KID and BS is not overloaded with information, including unnecessary legal waivers or disclaimers. The primary purpose of a key pre-contractual disclosure document is to provide informational reliability for the consumer and reduce reliance on third parties to comprehend and </w:t>
            </w:r>
            <w:r w:rsidR="005D4B6C">
              <w:rPr>
                <w:rFonts w:ascii="Cambria" w:hAnsi="Cambria"/>
                <w:sz w:val="20"/>
                <w:szCs w:val="20"/>
              </w:rPr>
              <w:t xml:space="preserve">take an investment </w:t>
            </w:r>
            <w:r w:rsidRPr="00A0156F">
              <w:rPr>
                <w:rFonts w:ascii="Cambria" w:hAnsi="Cambria"/>
                <w:sz w:val="20"/>
                <w:szCs w:val="20"/>
              </w:rPr>
              <w:t>decision.</w:t>
            </w:r>
            <w:r w:rsidRPr="00A0156F">
              <w:rPr>
                <w:rStyle w:val="FootnoteReference"/>
                <w:rFonts w:ascii="Cambria" w:hAnsi="Cambria"/>
                <w:sz w:val="20"/>
                <w:szCs w:val="20"/>
              </w:rPr>
              <w:footnoteReference w:id="8"/>
            </w:r>
            <w:r w:rsidRPr="00A0156F">
              <w:rPr>
                <w:rFonts w:ascii="Cambria" w:hAnsi="Cambria"/>
                <w:sz w:val="20"/>
                <w:szCs w:val="20"/>
              </w:rPr>
              <w:t xml:space="preserve"> If EIOPA allows inclusion of information that, by essence, requires caveats or warnings, this would:</w:t>
            </w:r>
          </w:p>
          <w:p w14:paraId="36447E6D" w14:textId="77777777" w:rsidR="00A0156F" w:rsidRPr="00A0156F" w:rsidRDefault="00A0156F" w:rsidP="007C358E">
            <w:pPr>
              <w:pStyle w:val="ListParagraph"/>
              <w:numPr>
                <w:ilvl w:val="0"/>
                <w:numId w:val="17"/>
              </w:numPr>
              <w:spacing w:after="160" w:line="276" w:lineRule="auto"/>
              <w:contextualSpacing/>
              <w:jc w:val="both"/>
              <w:rPr>
                <w:rFonts w:ascii="Cambria" w:hAnsi="Cambria"/>
                <w:sz w:val="20"/>
                <w:szCs w:val="20"/>
              </w:rPr>
            </w:pPr>
            <w:r w:rsidRPr="00A0156F">
              <w:rPr>
                <w:rFonts w:ascii="Cambria" w:hAnsi="Cambria"/>
                <w:sz w:val="20"/>
                <w:szCs w:val="20"/>
              </w:rPr>
              <w:t>reduce the added value of the document;</w:t>
            </w:r>
          </w:p>
          <w:p w14:paraId="7CB2F030" w14:textId="77777777" w:rsidR="00A0156F" w:rsidRPr="00A0156F" w:rsidRDefault="00A0156F" w:rsidP="007C358E">
            <w:pPr>
              <w:pStyle w:val="ListParagraph"/>
              <w:numPr>
                <w:ilvl w:val="0"/>
                <w:numId w:val="17"/>
              </w:numPr>
              <w:spacing w:after="120" w:line="276" w:lineRule="auto"/>
              <w:contextualSpacing/>
              <w:jc w:val="both"/>
              <w:rPr>
                <w:rFonts w:ascii="Cambria" w:hAnsi="Cambria"/>
                <w:sz w:val="20"/>
                <w:szCs w:val="20"/>
              </w:rPr>
            </w:pPr>
            <w:r w:rsidRPr="00A0156F">
              <w:rPr>
                <w:rFonts w:ascii="Cambria" w:hAnsi="Cambria"/>
                <w:sz w:val="20"/>
                <w:szCs w:val="20"/>
              </w:rPr>
              <w:t>make it unattractive or deterring for the consumer to read.</w:t>
            </w:r>
          </w:p>
          <w:p w14:paraId="77B56469" w14:textId="77777777" w:rsidR="00A0156F" w:rsidRPr="00A0156F" w:rsidRDefault="00A0156F" w:rsidP="00A0156F">
            <w:pPr>
              <w:spacing w:after="120" w:line="276" w:lineRule="auto"/>
              <w:jc w:val="both"/>
              <w:rPr>
                <w:rFonts w:ascii="Cambria" w:hAnsi="Cambria"/>
                <w:sz w:val="20"/>
                <w:szCs w:val="20"/>
              </w:rPr>
            </w:pPr>
            <w:r w:rsidRPr="00A0156F">
              <w:rPr>
                <w:rFonts w:ascii="Cambria" w:hAnsi="Cambria"/>
                <w:sz w:val="20"/>
                <w:szCs w:val="20"/>
              </w:rPr>
              <w:lastRenderedPageBreak/>
              <w:t>What is more, according to the founding regulation, EIOPA has the obligation to promote simplicity. Unfortunately, regulation does not ease this task, as Art. 28 of the PEPP Regulation has already created – on paper – the longest so far key disclosure document for retail investment products.</w:t>
            </w:r>
          </w:p>
          <w:p w14:paraId="04D9FD78" w14:textId="77777777" w:rsidR="00A0156F" w:rsidRPr="00A0156F" w:rsidRDefault="00A0156F" w:rsidP="00A0156F">
            <w:pPr>
              <w:spacing w:after="120" w:line="276" w:lineRule="auto"/>
              <w:jc w:val="both"/>
              <w:rPr>
                <w:rFonts w:ascii="Cambria" w:hAnsi="Cambria"/>
                <w:sz w:val="20"/>
                <w:szCs w:val="20"/>
              </w:rPr>
            </w:pPr>
            <w:r w:rsidRPr="00A0156F">
              <w:rPr>
                <w:rFonts w:ascii="Cambria" w:hAnsi="Cambria"/>
                <w:sz w:val="20"/>
                <w:szCs w:val="20"/>
              </w:rPr>
              <w:t>Both EIOPA’s mock PEPP KIDs</w:t>
            </w:r>
            <w:r w:rsidRPr="00A0156F">
              <w:rPr>
                <w:rStyle w:val="FootnoteReference"/>
                <w:rFonts w:ascii="Cambria" w:hAnsi="Cambria"/>
                <w:sz w:val="20"/>
                <w:szCs w:val="20"/>
              </w:rPr>
              <w:footnoteReference w:id="9"/>
            </w:r>
            <w:r w:rsidRPr="00A0156F">
              <w:rPr>
                <w:rFonts w:ascii="Cambria" w:hAnsi="Cambria"/>
                <w:sz w:val="20"/>
                <w:szCs w:val="20"/>
              </w:rPr>
              <w:t xml:space="preserve"> and BETTER FINANCE’s mock PEPP KID</w:t>
            </w:r>
            <w:r w:rsidRPr="00A0156F">
              <w:rPr>
                <w:rStyle w:val="FootnoteReference"/>
                <w:rFonts w:ascii="Cambria" w:hAnsi="Cambria"/>
                <w:sz w:val="20"/>
                <w:szCs w:val="20"/>
              </w:rPr>
              <w:footnoteReference w:id="10"/>
            </w:r>
            <w:r w:rsidRPr="00A0156F">
              <w:rPr>
                <w:rFonts w:ascii="Cambria" w:hAnsi="Cambria"/>
                <w:sz w:val="20"/>
                <w:szCs w:val="20"/>
              </w:rPr>
              <w:t xml:space="preserve"> are 5-pages long documents, almost twice than the PRIIPs KID and threefold than the UCITS KIID. Information such as applicable law (pt. xiii), consequences for early withdrawal (pt. vii), applicable tax regime (pt. d-v), consequences for stopping contributions (pt. viii), cooling off periods (pt. xiv) or conditions for the modification of the chosen investment options (pt. xi) should not be detailed in a </w:t>
            </w:r>
            <w:r w:rsidRPr="00A0156F">
              <w:rPr>
                <w:rFonts w:ascii="Cambria" w:hAnsi="Cambria"/>
                <w:b/>
                <w:bCs/>
                <w:i/>
                <w:iCs/>
                <w:sz w:val="20"/>
                <w:szCs w:val="20"/>
                <w:u w:val="single"/>
              </w:rPr>
              <w:t>key information</w:t>
            </w:r>
            <w:r w:rsidRPr="00A0156F">
              <w:rPr>
                <w:rFonts w:ascii="Cambria" w:hAnsi="Cambria"/>
                <w:b/>
                <w:bCs/>
                <w:sz w:val="20"/>
                <w:szCs w:val="20"/>
                <w:u w:val="single"/>
              </w:rPr>
              <w:t xml:space="preserve"> </w:t>
            </w:r>
            <w:r w:rsidRPr="00A0156F">
              <w:rPr>
                <w:rFonts w:ascii="Cambria" w:hAnsi="Cambria"/>
                <w:b/>
                <w:bCs/>
                <w:i/>
                <w:iCs/>
                <w:sz w:val="20"/>
                <w:szCs w:val="20"/>
                <w:u w:val="single"/>
              </w:rPr>
              <w:t>document</w:t>
            </w:r>
            <w:r w:rsidRPr="00A0156F">
              <w:rPr>
                <w:rFonts w:ascii="Cambria" w:hAnsi="Cambria"/>
                <w:sz w:val="20"/>
                <w:szCs w:val="20"/>
              </w:rPr>
              <w:t xml:space="preserve">. </w:t>
            </w:r>
          </w:p>
          <w:p w14:paraId="39DD98AB" w14:textId="34D699CA" w:rsidR="00A0156F" w:rsidRPr="00A0156F" w:rsidRDefault="00A0156F" w:rsidP="00A0156F">
            <w:pPr>
              <w:spacing w:after="120" w:line="276" w:lineRule="auto"/>
              <w:jc w:val="both"/>
              <w:rPr>
                <w:rFonts w:ascii="Cambria" w:hAnsi="Cambria"/>
                <w:sz w:val="20"/>
                <w:szCs w:val="20"/>
              </w:rPr>
            </w:pPr>
            <w:r w:rsidRPr="00A0156F">
              <w:rPr>
                <w:rFonts w:ascii="Cambria" w:hAnsi="Cambria"/>
                <w:sz w:val="20"/>
                <w:szCs w:val="20"/>
              </w:rPr>
              <w:t xml:space="preserve">This is not to be understood that the aforementioned are not important for the saver, </w:t>
            </w:r>
            <w:r w:rsidR="00E476D0">
              <w:rPr>
                <w:rFonts w:ascii="Cambria" w:hAnsi="Cambria"/>
                <w:sz w:val="20"/>
                <w:szCs w:val="20"/>
              </w:rPr>
              <w:t>but we wish to</w:t>
            </w:r>
            <w:r w:rsidRPr="00A0156F">
              <w:rPr>
                <w:rFonts w:ascii="Cambria" w:hAnsi="Cambria"/>
                <w:sz w:val="20"/>
                <w:szCs w:val="20"/>
              </w:rPr>
              <w:t xml:space="preserve"> highlight that they are very specific contractual characteristics – that should be found in the contract or in the Prospectus - and a simple </w:t>
            </w:r>
            <w:r w:rsidR="00115357">
              <w:rPr>
                <w:rFonts w:ascii="Cambria" w:hAnsi="Cambria"/>
                <w:sz w:val="20"/>
                <w:szCs w:val="20"/>
              </w:rPr>
              <w:t>reference</w:t>
            </w:r>
            <w:r w:rsidRPr="00A0156F">
              <w:rPr>
                <w:rFonts w:ascii="Cambria" w:hAnsi="Cambria"/>
                <w:sz w:val="20"/>
                <w:szCs w:val="20"/>
              </w:rPr>
              <w:t xml:space="preserve"> would have sufficed, potentially coupled with a </w:t>
            </w:r>
            <w:r w:rsidR="00115357">
              <w:rPr>
                <w:rFonts w:ascii="Cambria" w:hAnsi="Cambria"/>
                <w:sz w:val="20"/>
                <w:szCs w:val="20"/>
              </w:rPr>
              <w:t>mention</w:t>
            </w:r>
            <w:r w:rsidRPr="00A0156F">
              <w:rPr>
                <w:rFonts w:ascii="Cambria" w:hAnsi="Cambria"/>
                <w:sz w:val="20"/>
                <w:szCs w:val="20"/>
              </w:rPr>
              <w:t xml:space="preserve"> where to find more information.</w:t>
            </w:r>
          </w:p>
          <w:p w14:paraId="0536BB2E" w14:textId="6D5BF5C6" w:rsidR="00A0156F" w:rsidRPr="00A0156F" w:rsidRDefault="00A0156F" w:rsidP="00A0156F">
            <w:pPr>
              <w:spacing w:after="120" w:line="276" w:lineRule="auto"/>
              <w:jc w:val="both"/>
              <w:rPr>
                <w:rFonts w:ascii="Cambria" w:hAnsi="Cambria"/>
                <w:sz w:val="20"/>
                <w:szCs w:val="20"/>
              </w:rPr>
            </w:pPr>
            <w:r w:rsidRPr="00A0156F">
              <w:rPr>
                <w:rFonts w:ascii="Cambria" w:hAnsi="Cambria"/>
                <w:sz w:val="20"/>
                <w:szCs w:val="20"/>
              </w:rPr>
              <w:t>On the contrary, space and</w:t>
            </w:r>
            <w:r w:rsidR="000B5881">
              <w:rPr>
                <w:rFonts w:ascii="Cambria" w:hAnsi="Cambria"/>
                <w:sz w:val="20"/>
                <w:szCs w:val="20"/>
              </w:rPr>
              <w:t xml:space="preserve"> the</w:t>
            </w:r>
            <w:r w:rsidRPr="00A0156F">
              <w:rPr>
                <w:rFonts w:ascii="Cambria" w:hAnsi="Cambria"/>
                <w:sz w:val="20"/>
                <w:szCs w:val="20"/>
              </w:rPr>
              <w:t xml:space="preserve"> attention span of the consumer could have been better used to highlight more information on ESG-factoring, target clients, investment strategy and capital protection, or past performance. In this sense, we welcome any suggestion of EIOPA to reduce the presentation and enhance the format o</w:t>
            </w:r>
            <w:r w:rsidR="000D63A3">
              <w:rPr>
                <w:rFonts w:ascii="Cambria" w:hAnsi="Cambria"/>
                <w:sz w:val="20"/>
                <w:szCs w:val="20"/>
              </w:rPr>
              <w:t>r</w:t>
            </w:r>
            <w:r w:rsidRPr="00A0156F">
              <w:rPr>
                <w:rFonts w:ascii="Cambria" w:hAnsi="Cambria"/>
                <w:sz w:val="20"/>
                <w:szCs w:val="20"/>
              </w:rPr>
              <w:t xml:space="preserve"> the amount of unnecessary details included in the PEPP KID, which is starting to look rather like a summary prospectus.</w:t>
            </w:r>
          </w:p>
          <w:p w14:paraId="1FB78C22" w14:textId="77777777" w:rsidR="00A0156F" w:rsidRPr="00A0156F" w:rsidRDefault="00A0156F" w:rsidP="00A0156F">
            <w:pPr>
              <w:spacing w:after="120" w:line="276" w:lineRule="auto"/>
              <w:jc w:val="both"/>
              <w:rPr>
                <w:rFonts w:ascii="Cambria" w:hAnsi="Cambria"/>
                <w:sz w:val="20"/>
                <w:szCs w:val="20"/>
              </w:rPr>
            </w:pPr>
            <w:r w:rsidRPr="00A0156F">
              <w:rPr>
                <w:rFonts w:ascii="Cambria" w:hAnsi="Cambria"/>
                <w:sz w:val="20"/>
                <w:szCs w:val="20"/>
              </w:rPr>
              <w:lastRenderedPageBreak/>
              <w:t xml:space="preserve">For instance, illustrative example B contains at the top of the first page a </w:t>
            </w:r>
            <w:r w:rsidRPr="00C441DC">
              <w:rPr>
                <w:rFonts w:ascii="Cambria" w:hAnsi="Cambria"/>
                <w:b/>
                <w:bCs/>
                <w:color w:val="0070C0"/>
                <w:sz w:val="20"/>
                <w:szCs w:val="20"/>
                <w:u w:val="single"/>
              </w:rPr>
              <w:t>product dashboard</w:t>
            </w:r>
            <w:r w:rsidRPr="00A0156F">
              <w:rPr>
                <w:rFonts w:ascii="Cambria" w:hAnsi="Cambria"/>
                <w:sz w:val="20"/>
                <w:szCs w:val="20"/>
              </w:rPr>
              <w:t xml:space="preserve">, which we believe to cumulate all the above mentioned characteristics that enable the optimal cognitive process for the PEPP saver and facilitate digital interaction (QR-code that can be scanned by the majority of smartphones or tablets and directs to the online version). </w:t>
            </w:r>
          </w:p>
          <w:p w14:paraId="5F87C592" w14:textId="7ACA2019" w:rsidR="00A0156F" w:rsidRPr="00A0156F" w:rsidRDefault="00A0156F" w:rsidP="00A0156F">
            <w:pPr>
              <w:spacing w:line="276" w:lineRule="auto"/>
              <w:jc w:val="center"/>
              <w:rPr>
                <w:rFonts w:ascii="Cambria" w:hAnsi="Cambria"/>
                <w:sz w:val="20"/>
                <w:szCs w:val="20"/>
              </w:rPr>
            </w:pPr>
            <w:r w:rsidRPr="00A0156F">
              <w:rPr>
                <w:rFonts w:ascii="Cambria" w:hAnsi="Cambria"/>
                <w:noProof/>
                <w:sz w:val="20"/>
                <w:szCs w:val="20"/>
              </w:rPr>
              <w:drawing>
                <wp:inline distT="0" distB="0" distL="0" distR="0" wp14:anchorId="482162AA" wp14:editId="6D469A47">
                  <wp:extent cx="3674217" cy="222250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7451" cy="2236554"/>
                          </a:xfrm>
                          <a:prstGeom prst="rect">
                            <a:avLst/>
                          </a:prstGeom>
                          <a:noFill/>
                          <a:ln>
                            <a:noFill/>
                          </a:ln>
                        </pic:spPr>
                      </pic:pic>
                    </a:graphicData>
                  </a:graphic>
                </wp:inline>
              </w:drawing>
            </w:r>
          </w:p>
          <w:p w14:paraId="76B36E58" w14:textId="77777777" w:rsidR="00A0156F" w:rsidRPr="001F179C" w:rsidRDefault="00A0156F" w:rsidP="00A0156F">
            <w:pPr>
              <w:spacing w:after="120" w:line="276" w:lineRule="auto"/>
              <w:jc w:val="both"/>
              <w:rPr>
                <w:rFonts w:ascii="Cambria" w:hAnsi="Cambria"/>
                <w:sz w:val="16"/>
                <w:szCs w:val="16"/>
              </w:rPr>
            </w:pPr>
            <w:r w:rsidRPr="001F179C">
              <w:rPr>
                <w:rFonts w:ascii="Cambria" w:hAnsi="Cambria"/>
                <w:i/>
                <w:iCs/>
                <w:sz w:val="16"/>
                <w:szCs w:val="16"/>
                <w:u w:val="single"/>
              </w:rPr>
              <w:t>Source</w:t>
            </w:r>
            <w:r w:rsidRPr="001F179C">
              <w:rPr>
                <w:rFonts w:ascii="Cambria" w:hAnsi="Cambria"/>
                <w:sz w:val="16"/>
                <w:szCs w:val="16"/>
              </w:rPr>
              <w:t>: EIOPA PEPP KID illustrative example B, p. 1</w:t>
            </w:r>
          </w:p>
          <w:p w14:paraId="5C9D0CEB" w14:textId="05924CF2" w:rsidR="00A0156F" w:rsidRPr="00A0156F" w:rsidRDefault="00A0156F" w:rsidP="00A0156F">
            <w:pPr>
              <w:spacing w:after="120" w:line="276" w:lineRule="auto"/>
              <w:jc w:val="both"/>
              <w:rPr>
                <w:rFonts w:ascii="Cambria" w:hAnsi="Cambria"/>
                <w:sz w:val="20"/>
                <w:szCs w:val="20"/>
              </w:rPr>
            </w:pPr>
            <w:r w:rsidRPr="00DB23C3">
              <w:rPr>
                <w:rFonts w:ascii="Cambria" w:hAnsi="Cambria"/>
                <w:b/>
                <w:bCs/>
                <w:color w:val="0070C0"/>
                <w:sz w:val="20"/>
                <w:szCs w:val="20"/>
              </w:rPr>
              <w:t xml:space="preserve">BETTER FINANCE strongly supports this innovative approach of EIOPA </w:t>
            </w:r>
            <w:r w:rsidR="00577CE3" w:rsidRPr="00DB23C3">
              <w:rPr>
                <w:rFonts w:ascii="Cambria" w:hAnsi="Cambria"/>
                <w:b/>
                <w:bCs/>
                <w:color w:val="0070C0"/>
                <w:sz w:val="20"/>
                <w:szCs w:val="20"/>
              </w:rPr>
              <w:t>to include the dashboard</w:t>
            </w:r>
            <w:r w:rsidR="00577CE3">
              <w:rPr>
                <w:rFonts w:ascii="Cambria" w:hAnsi="Cambria"/>
                <w:sz w:val="20"/>
                <w:szCs w:val="20"/>
              </w:rPr>
              <w:t xml:space="preserve"> </w:t>
            </w:r>
            <w:r w:rsidRPr="00A0156F">
              <w:rPr>
                <w:rFonts w:ascii="Cambria" w:hAnsi="Cambria"/>
                <w:sz w:val="20"/>
                <w:szCs w:val="20"/>
              </w:rPr>
              <w:t xml:space="preserve">and considers the two elements to be essential for reaching the objectives pursued through the PEPP KID. However, a strict reading of the PEPP Regulation (Art. 28) would lead to the conclusion that such an addition would not be possible. </w:t>
            </w:r>
            <w:r w:rsidRPr="00A0156F">
              <w:rPr>
                <w:rFonts w:ascii="Cambria" w:hAnsi="Cambria"/>
                <w:b/>
                <w:bCs/>
                <w:sz w:val="20"/>
                <w:szCs w:val="20"/>
                <w:u w:val="single"/>
              </w:rPr>
              <w:t>Therefore, we firmly advise policy makers and the European Commission to allow this derogation – by tacit endorsement or explicitly – in the Level 2 provisions.</w:t>
            </w:r>
          </w:p>
          <w:p w14:paraId="10058364" w14:textId="77777777" w:rsidR="00A0156F" w:rsidRPr="00A0156F" w:rsidRDefault="00A0156F" w:rsidP="00A0156F">
            <w:pPr>
              <w:spacing w:after="120" w:line="276" w:lineRule="auto"/>
              <w:jc w:val="both"/>
              <w:rPr>
                <w:rFonts w:ascii="Cambria" w:hAnsi="Cambria"/>
                <w:sz w:val="20"/>
                <w:szCs w:val="20"/>
              </w:rPr>
            </w:pPr>
            <w:r w:rsidRPr="00A0156F">
              <w:rPr>
                <w:rFonts w:ascii="Cambria" w:hAnsi="Cambria"/>
                <w:sz w:val="20"/>
                <w:szCs w:val="20"/>
              </w:rPr>
              <w:lastRenderedPageBreak/>
              <w:t>Another potential solution is to require product manufacturers to compress categories of information in the same bulk of text. For example, the illustrative example A of the PEPP KID provides in section 2:</w:t>
            </w:r>
          </w:p>
          <w:p w14:paraId="3E8E5C02" w14:textId="779EFA56" w:rsidR="00A0156F" w:rsidRPr="00A0156F" w:rsidRDefault="00A0156F" w:rsidP="00A0156F">
            <w:pPr>
              <w:spacing w:line="276" w:lineRule="auto"/>
              <w:jc w:val="center"/>
              <w:rPr>
                <w:rFonts w:ascii="Cambria" w:hAnsi="Cambria"/>
                <w:sz w:val="20"/>
                <w:szCs w:val="20"/>
              </w:rPr>
            </w:pPr>
            <w:r w:rsidRPr="00A0156F">
              <w:rPr>
                <w:rFonts w:ascii="Cambria" w:hAnsi="Cambria"/>
                <w:noProof/>
                <w:sz w:val="20"/>
                <w:szCs w:val="20"/>
              </w:rPr>
              <w:drawing>
                <wp:inline distT="0" distB="0" distL="0" distR="0" wp14:anchorId="43D2E594" wp14:editId="6363E898">
                  <wp:extent cx="3423920" cy="21399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436" cy="2143398"/>
                          </a:xfrm>
                          <a:prstGeom prst="rect">
                            <a:avLst/>
                          </a:prstGeom>
                          <a:noFill/>
                          <a:ln>
                            <a:noFill/>
                          </a:ln>
                        </pic:spPr>
                      </pic:pic>
                    </a:graphicData>
                  </a:graphic>
                </wp:inline>
              </w:drawing>
            </w:r>
          </w:p>
          <w:p w14:paraId="766C99E8" w14:textId="77777777" w:rsidR="00A0156F" w:rsidRPr="001F179C" w:rsidRDefault="00A0156F" w:rsidP="00A0156F">
            <w:pPr>
              <w:spacing w:line="276" w:lineRule="auto"/>
              <w:jc w:val="both"/>
              <w:rPr>
                <w:rFonts w:ascii="Cambria" w:hAnsi="Cambria"/>
                <w:sz w:val="16"/>
                <w:szCs w:val="16"/>
              </w:rPr>
            </w:pPr>
            <w:r w:rsidRPr="00A0156F">
              <w:rPr>
                <w:rFonts w:ascii="Cambria" w:hAnsi="Cambria"/>
                <w:sz w:val="20"/>
                <w:szCs w:val="20"/>
              </w:rPr>
              <w:tab/>
            </w:r>
            <w:r w:rsidRPr="001F179C">
              <w:rPr>
                <w:rFonts w:ascii="Cambria" w:hAnsi="Cambria"/>
                <w:i/>
                <w:iCs/>
                <w:sz w:val="16"/>
                <w:szCs w:val="16"/>
                <w:u w:val="single"/>
              </w:rPr>
              <w:t>Source</w:t>
            </w:r>
            <w:r w:rsidRPr="001F179C">
              <w:rPr>
                <w:rFonts w:ascii="Cambria" w:hAnsi="Cambria"/>
                <w:sz w:val="16"/>
                <w:szCs w:val="16"/>
              </w:rPr>
              <w:t>: EIOPA PEPP KID illustrative example A, page 3</w:t>
            </w:r>
          </w:p>
          <w:p w14:paraId="3F5949AD" w14:textId="77777777" w:rsidR="00A0156F" w:rsidRPr="00A0156F" w:rsidRDefault="00A0156F" w:rsidP="00A0156F">
            <w:pPr>
              <w:spacing w:line="276" w:lineRule="auto"/>
              <w:jc w:val="both"/>
              <w:rPr>
                <w:rFonts w:ascii="Cambria" w:hAnsi="Cambria"/>
                <w:sz w:val="20"/>
                <w:szCs w:val="20"/>
              </w:rPr>
            </w:pPr>
            <w:r w:rsidRPr="00A0156F">
              <w:rPr>
                <w:rFonts w:ascii="Cambria" w:hAnsi="Cambria"/>
                <w:sz w:val="20"/>
                <w:szCs w:val="20"/>
              </w:rPr>
              <w:t>Instead, BETTER FINANCE proposes a simplification of the narrative as follows:</w:t>
            </w:r>
          </w:p>
          <w:p w14:paraId="5F6C3701" w14:textId="77777777" w:rsidR="00A0156F" w:rsidRPr="001F179C" w:rsidRDefault="00A0156F" w:rsidP="001F179C">
            <w:pPr>
              <w:pBdr>
                <w:top w:val="single" w:sz="6" w:space="1" w:color="auto"/>
                <w:left w:val="single" w:sz="6" w:space="4" w:color="auto"/>
                <w:bottom w:val="single" w:sz="6" w:space="1" w:color="auto"/>
                <w:right w:val="single" w:sz="4" w:space="4" w:color="auto"/>
              </w:pBdr>
              <w:spacing w:line="276" w:lineRule="auto"/>
              <w:jc w:val="both"/>
              <w:rPr>
                <w:rFonts w:asciiTheme="majorHAnsi" w:hAnsiTheme="majorHAnsi"/>
                <w:i/>
                <w:iCs/>
                <w:sz w:val="20"/>
                <w:szCs w:val="20"/>
              </w:rPr>
            </w:pPr>
            <w:r w:rsidRPr="001F179C">
              <w:rPr>
                <w:rFonts w:asciiTheme="majorHAnsi" w:hAnsiTheme="majorHAnsi"/>
                <w:i/>
                <w:iCs/>
                <w:sz w:val="20"/>
                <w:szCs w:val="20"/>
              </w:rPr>
              <w:t xml:space="preserve">This table shows </w:t>
            </w:r>
            <w:r w:rsidRPr="00DB23C3">
              <w:rPr>
                <w:rFonts w:asciiTheme="majorHAnsi" w:hAnsiTheme="majorHAnsi"/>
                <w:i/>
                <w:iCs/>
                <w:color w:val="0070C0"/>
                <w:sz w:val="20"/>
                <w:szCs w:val="20"/>
              </w:rPr>
              <w:t xml:space="preserve">estimates of </w:t>
            </w:r>
            <w:r w:rsidRPr="001F179C">
              <w:rPr>
                <w:rFonts w:asciiTheme="majorHAnsi" w:hAnsiTheme="majorHAnsi"/>
                <w:i/>
                <w:iCs/>
                <w:sz w:val="20"/>
                <w:szCs w:val="20"/>
              </w:rPr>
              <w:t xml:space="preserve">the money you could get back at retirement under different scenarios and depending on your respective age, assuming </w:t>
            </w:r>
            <w:r w:rsidRPr="00DB23C3">
              <w:rPr>
                <w:rFonts w:asciiTheme="majorHAnsi" w:hAnsiTheme="majorHAnsi"/>
                <w:i/>
                <w:iCs/>
                <w:color w:val="0070C0"/>
                <w:sz w:val="20"/>
                <w:szCs w:val="20"/>
              </w:rPr>
              <w:t xml:space="preserve">you contribute monthly €100 until retirement. </w:t>
            </w:r>
            <w:r w:rsidRPr="001F179C">
              <w:rPr>
                <w:rFonts w:asciiTheme="majorHAnsi" w:hAnsiTheme="majorHAnsi"/>
                <w:i/>
                <w:iCs/>
                <w:strike/>
                <w:color w:val="FF0000"/>
                <w:sz w:val="20"/>
                <w:szCs w:val="20"/>
              </w:rPr>
              <w:t>a monthly contribution of 100 until retirement.</w:t>
            </w:r>
            <w:r w:rsidRPr="001F179C">
              <w:rPr>
                <w:rFonts w:asciiTheme="majorHAnsi" w:hAnsiTheme="majorHAnsi"/>
                <w:i/>
                <w:iCs/>
                <w:sz w:val="20"/>
                <w:szCs w:val="20"/>
              </w:rPr>
              <w:t xml:space="preserve"> </w:t>
            </w:r>
            <w:r w:rsidRPr="00DB23C3">
              <w:rPr>
                <w:rFonts w:asciiTheme="majorHAnsi" w:hAnsiTheme="majorHAnsi"/>
                <w:i/>
                <w:iCs/>
                <w:color w:val="0070C0"/>
                <w:sz w:val="20"/>
                <w:szCs w:val="20"/>
              </w:rPr>
              <w:t>These estimations are not exact and may differ from the actual outcome.</w:t>
            </w:r>
          </w:p>
          <w:p w14:paraId="5587144D" w14:textId="77777777" w:rsidR="00A0156F" w:rsidRPr="001F179C" w:rsidRDefault="00A0156F" w:rsidP="001F179C">
            <w:pPr>
              <w:pBdr>
                <w:top w:val="single" w:sz="6" w:space="1" w:color="auto"/>
                <w:left w:val="single" w:sz="6" w:space="4" w:color="auto"/>
                <w:bottom w:val="single" w:sz="6" w:space="1" w:color="auto"/>
                <w:right w:val="single" w:sz="4" w:space="4" w:color="auto"/>
              </w:pBdr>
              <w:spacing w:line="276" w:lineRule="auto"/>
              <w:jc w:val="both"/>
              <w:rPr>
                <w:rFonts w:asciiTheme="majorHAnsi" w:hAnsiTheme="majorHAnsi"/>
                <w:i/>
                <w:iCs/>
                <w:strike/>
                <w:color w:val="FF0000"/>
                <w:sz w:val="20"/>
                <w:szCs w:val="20"/>
              </w:rPr>
            </w:pPr>
            <w:r w:rsidRPr="001F179C">
              <w:rPr>
                <w:rFonts w:asciiTheme="majorHAnsi" w:hAnsiTheme="majorHAnsi"/>
                <w:i/>
                <w:iCs/>
                <w:strike/>
                <w:color w:val="FF0000"/>
                <w:sz w:val="20"/>
                <w:szCs w:val="20"/>
              </w:rPr>
              <w:t xml:space="preserve">The scenarios shown illustrate how your outcome at retirement could look like. You can compare them with the scenarios of other PEPP products. </w:t>
            </w:r>
          </w:p>
          <w:p w14:paraId="3A22C03D" w14:textId="77777777" w:rsidR="00A0156F" w:rsidRPr="001F179C" w:rsidRDefault="00A0156F" w:rsidP="001F179C">
            <w:pPr>
              <w:pBdr>
                <w:top w:val="single" w:sz="6" w:space="1" w:color="auto"/>
                <w:left w:val="single" w:sz="6" w:space="4" w:color="auto"/>
                <w:bottom w:val="single" w:sz="6" w:space="1" w:color="auto"/>
                <w:right w:val="single" w:sz="4" w:space="4" w:color="auto"/>
              </w:pBdr>
              <w:spacing w:line="276" w:lineRule="auto"/>
              <w:jc w:val="both"/>
              <w:rPr>
                <w:rFonts w:asciiTheme="majorHAnsi" w:hAnsiTheme="majorHAnsi"/>
                <w:i/>
                <w:iCs/>
                <w:sz w:val="20"/>
                <w:szCs w:val="20"/>
              </w:rPr>
            </w:pPr>
            <w:r w:rsidRPr="001F179C">
              <w:rPr>
                <w:rFonts w:asciiTheme="majorHAnsi" w:hAnsiTheme="majorHAnsi"/>
                <w:i/>
                <w:iCs/>
                <w:strike/>
                <w:color w:val="FF0000"/>
                <w:sz w:val="20"/>
                <w:szCs w:val="20"/>
              </w:rPr>
              <w:t xml:space="preserve">The scenarios presented are an estimate of future performance based on evidence from the past on how the value of your retirement income varies, and are not an exact indicator. What you will get will vary depending on how the market performs and how long you keep the product (i.e. whether you </w:t>
            </w:r>
            <w:r w:rsidRPr="001F179C">
              <w:rPr>
                <w:rFonts w:asciiTheme="majorHAnsi" w:hAnsiTheme="majorHAnsi"/>
                <w:i/>
                <w:iCs/>
                <w:strike/>
                <w:color w:val="FF0000"/>
                <w:sz w:val="20"/>
                <w:szCs w:val="20"/>
              </w:rPr>
              <w:lastRenderedPageBreak/>
              <w:t>will hold it until you have reached retirement age).</w:t>
            </w:r>
            <w:r w:rsidRPr="001F179C">
              <w:rPr>
                <w:rFonts w:asciiTheme="majorHAnsi" w:hAnsiTheme="majorHAnsi"/>
                <w:i/>
                <w:iCs/>
                <w:color w:val="FF0000"/>
                <w:sz w:val="20"/>
                <w:szCs w:val="20"/>
              </w:rPr>
              <w:t xml:space="preserve"> </w:t>
            </w:r>
            <w:r w:rsidRPr="001F179C">
              <w:rPr>
                <w:rFonts w:asciiTheme="majorHAnsi" w:hAnsiTheme="majorHAnsi"/>
                <w:i/>
                <w:iCs/>
                <w:sz w:val="20"/>
                <w:szCs w:val="20"/>
              </w:rPr>
              <w:t xml:space="preserve">The bad weather scenario </w:t>
            </w:r>
            <w:r w:rsidRPr="001F179C">
              <w:rPr>
                <w:rFonts w:asciiTheme="majorHAnsi" w:hAnsiTheme="majorHAnsi"/>
                <w:i/>
                <w:iCs/>
                <w:strike/>
                <w:color w:val="FF0000"/>
                <w:sz w:val="20"/>
                <w:szCs w:val="20"/>
              </w:rPr>
              <w:t xml:space="preserve">shows what you might get back in extreme market circumstances, and it </w:t>
            </w:r>
            <w:r w:rsidRPr="001F179C">
              <w:rPr>
                <w:rFonts w:asciiTheme="majorHAnsi" w:hAnsiTheme="majorHAnsi"/>
                <w:i/>
                <w:iCs/>
                <w:sz w:val="20"/>
                <w:szCs w:val="20"/>
              </w:rPr>
              <w:t>does not take into account the situation where we are not able to pay you.</w:t>
            </w:r>
          </w:p>
          <w:p w14:paraId="6235BE13" w14:textId="77777777" w:rsidR="00A0156F" w:rsidRPr="00A0156F" w:rsidRDefault="00A0156F" w:rsidP="00A0156F">
            <w:pPr>
              <w:spacing w:after="120" w:line="276" w:lineRule="auto"/>
              <w:jc w:val="both"/>
              <w:rPr>
                <w:rFonts w:ascii="Cambria" w:hAnsi="Cambria"/>
                <w:sz w:val="20"/>
                <w:szCs w:val="20"/>
              </w:rPr>
            </w:pPr>
            <w:r w:rsidRPr="00A0156F">
              <w:rPr>
                <w:rFonts w:ascii="Cambria" w:hAnsi="Cambria"/>
                <w:sz w:val="20"/>
                <w:szCs w:val="20"/>
              </w:rPr>
              <w:t xml:space="preserve">As indicated above, for reasons of simplicity, EIOPA should not sacrifice warnings that are truly necessary, i.e. the prominent warning that </w:t>
            </w:r>
            <w:r w:rsidRPr="00A0156F">
              <w:rPr>
                <w:rFonts w:ascii="Cambria" w:hAnsi="Cambria"/>
                <w:i/>
                <w:iCs/>
                <w:sz w:val="20"/>
                <w:szCs w:val="20"/>
              </w:rPr>
              <w:t>past performance is not a reliable indicator of future results</w:t>
            </w:r>
            <w:r w:rsidRPr="00A0156F">
              <w:rPr>
                <w:rFonts w:ascii="Cambria" w:hAnsi="Cambria"/>
                <w:sz w:val="20"/>
                <w:szCs w:val="20"/>
              </w:rPr>
              <w:t>.</w:t>
            </w:r>
          </w:p>
          <w:p w14:paraId="42C9B78B" w14:textId="77777777" w:rsidR="00A0156F" w:rsidRPr="00A0156F" w:rsidRDefault="00A0156F" w:rsidP="00A0156F">
            <w:pPr>
              <w:pStyle w:val="Heading2"/>
              <w:spacing w:before="0" w:after="120" w:line="276" w:lineRule="auto"/>
              <w:rPr>
                <w:rFonts w:ascii="Cambria" w:hAnsi="Cambria"/>
                <w:color w:val="0070C0"/>
                <w:sz w:val="20"/>
                <w:szCs w:val="20"/>
              </w:rPr>
            </w:pPr>
            <w:bookmarkStart w:id="1" w:name="_Toc33566144"/>
            <w:r w:rsidRPr="00A0156F">
              <w:rPr>
                <w:rFonts w:ascii="Cambria" w:hAnsi="Cambria"/>
                <w:i w:val="0"/>
                <w:iCs w:val="0"/>
                <w:color w:val="0070C0"/>
                <w:sz w:val="20"/>
                <w:szCs w:val="20"/>
              </w:rPr>
              <w:t>ESG considerations</w:t>
            </w:r>
            <w:bookmarkEnd w:id="1"/>
          </w:p>
          <w:p w14:paraId="4F9324C4" w14:textId="77777777" w:rsidR="00A0156F" w:rsidRPr="00A0156F" w:rsidRDefault="00A0156F" w:rsidP="00A0156F">
            <w:pPr>
              <w:spacing w:after="120" w:line="276" w:lineRule="auto"/>
              <w:jc w:val="both"/>
              <w:rPr>
                <w:rFonts w:ascii="Cambria" w:hAnsi="Cambria"/>
                <w:sz w:val="20"/>
                <w:szCs w:val="20"/>
              </w:rPr>
            </w:pPr>
            <w:r w:rsidRPr="00A0156F">
              <w:rPr>
                <w:rFonts w:ascii="Cambria" w:hAnsi="Cambria"/>
                <w:sz w:val="20"/>
                <w:szCs w:val="20"/>
              </w:rPr>
              <w:t>BETTER FINANCE welcomes the inclusion of obligations concerning ESG-factoring in the PEPP Regulation. This constitutes a large step ahead as it would be – save other legislative developments – the first pan-EU product which will be explicitly required to take into account and consider risks and long-term implications on ESG factors.</w:t>
            </w:r>
          </w:p>
          <w:p w14:paraId="5AF641CD" w14:textId="77777777" w:rsidR="00A0156F" w:rsidRPr="00A0156F" w:rsidRDefault="00A0156F" w:rsidP="00A0156F">
            <w:pPr>
              <w:spacing w:after="120" w:line="276" w:lineRule="auto"/>
              <w:jc w:val="both"/>
              <w:rPr>
                <w:rFonts w:ascii="Cambria" w:hAnsi="Cambria"/>
                <w:sz w:val="20"/>
                <w:szCs w:val="20"/>
              </w:rPr>
            </w:pPr>
            <w:r w:rsidRPr="00A0156F">
              <w:rPr>
                <w:rFonts w:ascii="Cambria" w:hAnsi="Cambria"/>
                <w:sz w:val="20"/>
                <w:szCs w:val="20"/>
              </w:rPr>
              <w:t>However, the PEPP Regulation’s provisions regarding ESG-factoring in the investment process and the disclosure thereof are not well aligned and may lead to confusion among product manufacturers and consumers. EIOPA has the opportunity to temporarily clarify this topic through a proper reading of the Level 1 legislation.</w:t>
            </w:r>
          </w:p>
          <w:p w14:paraId="34474411" w14:textId="77777777" w:rsidR="00A0156F" w:rsidRPr="00A0156F" w:rsidRDefault="00A0156F" w:rsidP="00A0156F">
            <w:pPr>
              <w:spacing w:after="120" w:line="276" w:lineRule="auto"/>
              <w:jc w:val="both"/>
              <w:rPr>
                <w:rFonts w:ascii="Cambria" w:hAnsi="Cambria"/>
                <w:sz w:val="20"/>
                <w:szCs w:val="20"/>
              </w:rPr>
            </w:pPr>
            <w:r w:rsidRPr="00A0156F">
              <w:rPr>
                <w:rFonts w:ascii="Cambria" w:hAnsi="Cambria"/>
                <w:sz w:val="20"/>
                <w:szCs w:val="20"/>
              </w:rPr>
              <w:t>Whereas recital (51) states:</w:t>
            </w:r>
          </w:p>
          <w:p w14:paraId="2D0B1DEA" w14:textId="77777777" w:rsidR="00A0156F" w:rsidRPr="00A0156F" w:rsidRDefault="00A0156F" w:rsidP="00A0156F">
            <w:pPr>
              <w:spacing w:after="120" w:line="276" w:lineRule="auto"/>
              <w:ind w:left="567" w:right="567"/>
              <w:jc w:val="both"/>
              <w:rPr>
                <w:rFonts w:ascii="Cambria" w:hAnsi="Cambria"/>
                <w:sz w:val="20"/>
                <w:szCs w:val="20"/>
              </w:rPr>
            </w:pPr>
            <w:r w:rsidRPr="00A0156F">
              <w:rPr>
                <w:rFonts w:ascii="Cambria" w:hAnsi="Cambria"/>
                <w:sz w:val="20"/>
                <w:szCs w:val="20"/>
              </w:rPr>
              <w:t>“</w:t>
            </w:r>
            <w:r w:rsidRPr="00A0156F">
              <w:rPr>
                <w:rFonts w:ascii="Cambria" w:hAnsi="Cambria"/>
                <w:i/>
                <w:iCs/>
                <w:sz w:val="20"/>
                <w:szCs w:val="20"/>
                <w:shd w:val="clear" w:color="auto" w:fill="D9D9D9" w:themeFill="background1" w:themeFillShade="D9"/>
              </w:rPr>
              <w:t>ESG factors should be taken into account. PEPP savings should be invested taking into account ESG factors such as those set out in the Union’s climate and sustainability objectives</w:t>
            </w:r>
            <w:r w:rsidRPr="00A0156F">
              <w:rPr>
                <w:rFonts w:ascii="Cambria" w:hAnsi="Cambria"/>
                <w:sz w:val="20"/>
                <w:szCs w:val="20"/>
              </w:rPr>
              <w:t>”</w:t>
            </w:r>
          </w:p>
          <w:p w14:paraId="1E875667" w14:textId="77777777" w:rsidR="00A0156F" w:rsidRPr="00A0156F" w:rsidRDefault="00A0156F" w:rsidP="00A0156F">
            <w:pPr>
              <w:spacing w:after="120" w:line="276" w:lineRule="auto"/>
              <w:jc w:val="both"/>
              <w:rPr>
                <w:rFonts w:ascii="Cambria" w:hAnsi="Cambria"/>
                <w:sz w:val="20"/>
                <w:szCs w:val="20"/>
              </w:rPr>
            </w:pPr>
            <w:r w:rsidRPr="00A0156F">
              <w:rPr>
                <w:rFonts w:ascii="Cambria" w:hAnsi="Cambria"/>
                <w:sz w:val="20"/>
                <w:szCs w:val="20"/>
              </w:rPr>
              <w:t>Article 41(1)(b) on investment rules for PEPP providers imposes the prudent person rule, which incorporates the obligation to</w:t>
            </w:r>
          </w:p>
          <w:p w14:paraId="490A7054" w14:textId="77777777" w:rsidR="00A0156F" w:rsidRPr="00A0156F" w:rsidRDefault="00A0156F" w:rsidP="00A0156F">
            <w:pPr>
              <w:spacing w:after="120" w:line="276" w:lineRule="auto"/>
              <w:ind w:left="567" w:right="567"/>
              <w:jc w:val="both"/>
              <w:rPr>
                <w:rFonts w:ascii="Cambria" w:hAnsi="Cambria"/>
                <w:sz w:val="20"/>
                <w:szCs w:val="20"/>
              </w:rPr>
            </w:pPr>
            <w:r w:rsidRPr="00A0156F">
              <w:rPr>
                <w:rFonts w:ascii="Cambria" w:hAnsi="Cambria"/>
                <w:sz w:val="20"/>
                <w:szCs w:val="20"/>
              </w:rPr>
              <w:lastRenderedPageBreak/>
              <w:t>“</w:t>
            </w:r>
            <w:r w:rsidRPr="00A0156F">
              <w:rPr>
                <w:rFonts w:ascii="Cambria" w:hAnsi="Cambria"/>
                <w:i/>
                <w:iCs/>
                <w:sz w:val="20"/>
                <w:szCs w:val="20"/>
                <w:shd w:val="clear" w:color="auto" w:fill="D9D9D9" w:themeFill="background1" w:themeFillShade="D9"/>
              </w:rPr>
              <w:t>take into account risks related to and the potential impact of investment decisions on ESG factors</w:t>
            </w:r>
            <w:r w:rsidRPr="00A0156F">
              <w:rPr>
                <w:rFonts w:ascii="Cambria" w:hAnsi="Cambria"/>
                <w:sz w:val="20"/>
                <w:szCs w:val="20"/>
              </w:rPr>
              <w:t>”,</w:t>
            </w:r>
          </w:p>
          <w:p w14:paraId="30842839" w14:textId="77777777" w:rsidR="00A0156F" w:rsidRPr="00A0156F" w:rsidRDefault="00A0156F" w:rsidP="00A0156F">
            <w:pPr>
              <w:spacing w:after="120" w:line="276" w:lineRule="auto"/>
              <w:jc w:val="both"/>
              <w:rPr>
                <w:rFonts w:ascii="Cambria" w:hAnsi="Cambria"/>
                <w:sz w:val="20"/>
                <w:szCs w:val="20"/>
              </w:rPr>
            </w:pPr>
            <w:r w:rsidRPr="00A0156F">
              <w:rPr>
                <w:rFonts w:ascii="Cambria" w:hAnsi="Cambria"/>
                <w:sz w:val="20"/>
                <w:szCs w:val="20"/>
              </w:rPr>
              <w:t>which is further circumstantiated through recital (47) explaining that PEPP providers</w:t>
            </w:r>
          </w:p>
          <w:p w14:paraId="5907E726" w14:textId="77777777" w:rsidR="00A0156F" w:rsidRPr="00A0156F" w:rsidRDefault="00A0156F" w:rsidP="00A0156F">
            <w:pPr>
              <w:spacing w:line="276" w:lineRule="auto"/>
              <w:ind w:left="567" w:right="567"/>
              <w:jc w:val="both"/>
              <w:rPr>
                <w:rFonts w:ascii="Cambria" w:hAnsi="Cambria"/>
                <w:sz w:val="20"/>
                <w:szCs w:val="20"/>
              </w:rPr>
            </w:pPr>
            <w:r w:rsidRPr="00A0156F">
              <w:rPr>
                <w:rFonts w:ascii="Cambria" w:hAnsi="Cambria"/>
                <w:sz w:val="20"/>
                <w:szCs w:val="20"/>
              </w:rPr>
              <w:t>“</w:t>
            </w:r>
            <w:r w:rsidRPr="00A0156F">
              <w:rPr>
                <w:rFonts w:ascii="Cambria" w:hAnsi="Cambria"/>
                <w:i/>
                <w:iCs/>
                <w:sz w:val="20"/>
                <w:szCs w:val="20"/>
                <w:shd w:val="clear" w:color="auto" w:fill="D9D9D9" w:themeFill="background1" w:themeFillShade="D9"/>
              </w:rPr>
              <w:t>should take into explicit consideration the role played by ESG factors in the investment process</w:t>
            </w:r>
            <w:r w:rsidRPr="00A0156F">
              <w:rPr>
                <w:rFonts w:ascii="Cambria" w:hAnsi="Cambria"/>
                <w:sz w:val="20"/>
                <w:szCs w:val="20"/>
              </w:rPr>
              <w:t>”.</w:t>
            </w:r>
          </w:p>
          <w:p w14:paraId="1F3B91D8" w14:textId="77777777" w:rsidR="00A0156F" w:rsidRPr="00A0156F" w:rsidRDefault="00A0156F" w:rsidP="00A0156F">
            <w:pPr>
              <w:spacing w:line="276" w:lineRule="auto"/>
              <w:jc w:val="both"/>
              <w:rPr>
                <w:rFonts w:ascii="Cambria" w:hAnsi="Cambria"/>
                <w:sz w:val="20"/>
                <w:szCs w:val="20"/>
              </w:rPr>
            </w:pPr>
            <w:r w:rsidRPr="00A0156F">
              <w:rPr>
                <w:rFonts w:ascii="Cambria" w:hAnsi="Cambria"/>
                <w:sz w:val="20"/>
                <w:szCs w:val="20"/>
              </w:rPr>
              <w:t xml:space="preserve">In our view, there is no doubt as to the fact that PEPPs will necessarily be sustainable long-term retirement provision products since Art. 41 demands compliance with ESG factors, rather than merely the </w:t>
            </w:r>
            <w:r w:rsidRPr="00A0156F">
              <w:rPr>
                <w:rFonts w:ascii="Cambria" w:hAnsi="Cambria"/>
                <w:i/>
                <w:iCs/>
                <w:sz w:val="20"/>
                <w:szCs w:val="20"/>
              </w:rPr>
              <w:t xml:space="preserve">comply or explain </w:t>
            </w:r>
            <w:r w:rsidRPr="00A0156F">
              <w:rPr>
                <w:rFonts w:ascii="Cambria" w:hAnsi="Cambria"/>
                <w:sz w:val="20"/>
                <w:szCs w:val="20"/>
              </w:rPr>
              <w:t>rule.</w:t>
            </w:r>
          </w:p>
          <w:p w14:paraId="4B56DAAB" w14:textId="77777777" w:rsidR="00A0156F" w:rsidRPr="00A0156F" w:rsidRDefault="00A0156F" w:rsidP="00A0156F">
            <w:pPr>
              <w:spacing w:line="276" w:lineRule="auto"/>
              <w:jc w:val="both"/>
              <w:rPr>
                <w:rFonts w:ascii="Cambria" w:hAnsi="Cambria"/>
                <w:sz w:val="20"/>
                <w:szCs w:val="20"/>
              </w:rPr>
            </w:pPr>
            <w:r w:rsidRPr="00A0156F">
              <w:rPr>
                <w:rFonts w:ascii="Cambria" w:hAnsi="Cambria"/>
                <w:sz w:val="20"/>
                <w:szCs w:val="20"/>
              </w:rPr>
              <w:t>However, Article 2(33) neither contains an organic, nor a functional definition of ESG, but only makes references as to what may be considered ESG. In the current context where a taxonomy or a definition in EU law does not exist, market participants (product manufacturers, issuers, rating agencies) have widely divergent understandings and screening processes of ESG or sustainability factoring.</w:t>
            </w:r>
            <w:r w:rsidRPr="00A0156F">
              <w:rPr>
                <w:rStyle w:val="FootnoteReference"/>
                <w:rFonts w:ascii="Cambria" w:hAnsi="Cambria"/>
                <w:sz w:val="20"/>
                <w:szCs w:val="20"/>
              </w:rPr>
              <w:footnoteReference w:id="11"/>
            </w:r>
            <w:r w:rsidRPr="00A0156F">
              <w:rPr>
                <w:rFonts w:ascii="Cambria" w:hAnsi="Cambria"/>
                <w:sz w:val="20"/>
                <w:szCs w:val="20"/>
              </w:rPr>
              <w:t xml:space="preserve"> What is worse, on certain occasions many products are green washed.</w:t>
            </w:r>
            <w:r w:rsidRPr="00A0156F">
              <w:rPr>
                <w:rStyle w:val="FootnoteReference"/>
                <w:rFonts w:ascii="Cambria" w:hAnsi="Cambria"/>
                <w:sz w:val="20"/>
                <w:szCs w:val="20"/>
              </w:rPr>
              <w:footnoteReference w:id="12"/>
            </w:r>
            <w:r w:rsidRPr="00A0156F">
              <w:rPr>
                <w:rFonts w:ascii="Cambria" w:hAnsi="Cambria"/>
                <w:sz w:val="20"/>
                <w:szCs w:val="20"/>
              </w:rPr>
              <w:t xml:space="preserve"> </w:t>
            </w:r>
          </w:p>
          <w:p w14:paraId="5E0FABBC" w14:textId="7B010370" w:rsidR="00A0156F" w:rsidRDefault="00A0156F" w:rsidP="00A0156F">
            <w:pPr>
              <w:spacing w:line="276" w:lineRule="auto"/>
              <w:jc w:val="both"/>
              <w:rPr>
                <w:rFonts w:ascii="Cambria" w:hAnsi="Cambria"/>
                <w:sz w:val="20"/>
                <w:szCs w:val="20"/>
              </w:rPr>
            </w:pPr>
            <w:r w:rsidRPr="00A0156F">
              <w:rPr>
                <w:rFonts w:ascii="Cambria" w:hAnsi="Cambria"/>
                <w:sz w:val="20"/>
                <w:szCs w:val="20"/>
              </w:rPr>
              <w:t>Therefore, EIOPA should take the opportunity to at least harmonise – for the moment – an ESG definition by establishing one of the existing charters as a benchmark. This prescription, or other more ambitious, could be covered by a sunset clause effectively replacing it with any other taxonomy or definition adopted at EU level. In this sense, divergent labelling and risk considerations would be avoided and consumer understanding would be enhanced.</w:t>
            </w:r>
          </w:p>
          <w:p w14:paraId="33CF3A3C" w14:textId="77777777" w:rsidR="005407CA" w:rsidRPr="005407CA" w:rsidRDefault="005407CA" w:rsidP="005407CA">
            <w:pPr>
              <w:spacing w:line="276" w:lineRule="auto"/>
              <w:jc w:val="both"/>
              <w:rPr>
                <w:rFonts w:ascii="Cambria" w:hAnsi="Cambria"/>
                <w:sz w:val="20"/>
                <w:szCs w:val="20"/>
              </w:rPr>
            </w:pPr>
            <w:r w:rsidRPr="005407CA">
              <w:rPr>
                <w:rFonts w:ascii="Cambria" w:hAnsi="Cambria"/>
                <w:sz w:val="20"/>
                <w:szCs w:val="20"/>
              </w:rPr>
              <w:t xml:space="preserve">However, if a choice were to be made, we prefer illustrative example A. </w:t>
            </w:r>
          </w:p>
          <w:p w14:paraId="70EDE967" w14:textId="2FF9D076" w:rsidR="005407CA" w:rsidRPr="00A0156F" w:rsidRDefault="005407CA" w:rsidP="005407CA">
            <w:pPr>
              <w:spacing w:line="276" w:lineRule="auto"/>
              <w:jc w:val="both"/>
              <w:rPr>
                <w:rFonts w:ascii="Cambria" w:hAnsi="Cambria"/>
                <w:sz w:val="20"/>
                <w:szCs w:val="20"/>
              </w:rPr>
            </w:pPr>
            <w:r w:rsidRPr="005407CA">
              <w:rPr>
                <w:rFonts w:ascii="Cambria" w:hAnsi="Cambria"/>
                <w:sz w:val="20"/>
                <w:szCs w:val="20"/>
              </w:rPr>
              <w:t>We agree with EIOPA’s approach to the costs section to outline absolute figures and to the use of the accumulated capital as a reference point.</w:t>
            </w:r>
          </w:p>
          <w:p w14:paraId="1A3C2E6E" w14:textId="77777777" w:rsidR="00A0156F" w:rsidRPr="00A0156F" w:rsidRDefault="00A0156F" w:rsidP="00A0156F">
            <w:pPr>
              <w:pStyle w:val="Heading2"/>
              <w:spacing w:before="0" w:after="120" w:line="276" w:lineRule="auto"/>
              <w:rPr>
                <w:rFonts w:ascii="Cambria" w:hAnsi="Cambria"/>
                <w:color w:val="0070C0"/>
                <w:sz w:val="20"/>
                <w:szCs w:val="20"/>
              </w:rPr>
            </w:pPr>
            <w:bookmarkStart w:id="2" w:name="_Toc33566145"/>
            <w:r w:rsidRPr="00A0156F">
              <w:rPr>
                <w:rFonts w:ascii="Cambria" w:hAnsi="Cambria"/>
                <w:i w:val="0"/>
                <w:iCs w:val="0"/>
                <w:color w:val="0070C0"/>
                <w:sz w:val="20"/>
                <w:szCs w:val="20"/>
              </w:rPr>
              <w:lastRenderedPageBreak/>
              <w:t>PEPP Benefit Statement</w:t>
            </w:r>
            <w:bookmarkEnd w:id="2"/>
          </w:p>
          <w:p w14:paraId="11CDF15A" w14:textId="77777777" w:rsidR="00A0156F" w:rsidRPr="00A0156F" w:rsidRDefault="00A0156F" w:rsidP="00A0156F">
            <w:pPr>
              <w:spacing w:line="276" w:lineRule="auto"/>
              <w:jc w:val="both"/>
              <w:rPr>
                <w:rFonts w:ascii="Cambria" w:hAnsi="Cambria"/>
                <w:sz w:val="20"/>
                <w:szCs w:val="20"/>
              </w:rPr>
            </w:pPr>
            <w:r w:rsidRPr="00A0156F">
              <w:rPr>
                <w:rFonts w:ascii="Cambria" w:hAnsi="Cambria"/>
                <w:sz w:val="20"/>
                <w:szCs w:val="20"/>
              </w:rPr>
              <w:t>An additional comment dedicated to the PEPP BS is laid down below. Without further going into detail, EIOPA should focus in drafting the RTS on generating a benefit statement that is as similar as possible to the IORP PBS, in order to ensure comparability.</w:t>
            </w:r>
          </w:p>
          <w:p w14:paraId="5F7D8D5A" w14:textId="024FD931" w:rsidR="00DF23D9" w:rsidRPr="001F179C" w:rsidRDefault="00A0156F" w:rsidP="001F179C">
            <w:pPr>
              <w:rPr>
                <w:sz w:val="20"/>
                <w:szCs w:val="20"/>
                <w:lang w:eastAsia="en-GB"/>
              </w:rPr>
            </w:pPr>
            <w:r w:rsidRPr="00A0156F">
              <w:rPr>
                <w:rFonts w:ascii="Cambria" w:hAnsi="Cambria"/>
                <w:sz w:val="20"/>
                <w:szCs w:val="20"/>
              </w:rPr>
              <w:t>Whereas additional elements, as explained above, may organically differentiate the two, we believe that the quality features of the PEPP should be clearly visible for the PEPP saver, in contrast to those of an IORP.</w:t>
            </w:r>
            <w:r w:rsidRPr="00A0156F">
              <w:rPr>
                <w:sz w:val="20"/>
                <w:szCs w:val="20"/>
                <w:lang w:eastAsia="en-GB"/>
              </w:rPr>
              <w:t xml:space="preserve"> </w:t>
            </w:r>
            <w:r w:rsidR="0081187D" w:rsidRPr="00B35847">
              <w:rPr>
                <w:rFonts w:asciiTheme="majorHAnsi" w:hAnsiTheme="majorHAnsi"/>
                <w:sz w:val="20"/>
                <w:szCs w:val="20"/>
                <w:lang w:eastAsia="en-GB"/>
              </w:rPr>
              <w:t xml:space="preserve">We </w:t>
            </w:r>
            <w:r w:rsidR="00B35847" w:rsidRPr="00B35847">
              <w:rPr>
                <w:rFonts w:asciiTheme="majorHAnsi" w:hAnsiTheme="majorHAnsi"/>
                <w:sz w:val="20"/>
                <w:szCs w:val="20"/>
                <w:lang w:eastAsia="en-GB"/>
              </w:rPr>
              <w:t xml:space="preserve">refer EIOPA to our </w:t>
            </w:r>
            <w:hyperlink r:id="rId15" w:history="1">
              <w:r w:rsidR="00B35847" w:rsidRPr="00B35847">
                <w:rPr>
                  <w:rStyle w:val="Hyperlink"/>
                  <w:rFonts w:asciiTheme="majorHAnsi" w:hAnsiTheme="majorHAnsi"/>
                  <w:sz w:val="20"/>
                  <w:szCs w:val="20"/>
                  <w:lang w:eastAsia="en-GB"/>
                </w:rPr>
                <w:t>Technical Working Paper on PEPP 1/2020</w:t>
              </w:r>
            </w:hyperlink>
            <w:r w:rsidR="00B35847" w:rsidRPr="00B35847">
              <w:rPr>
                <w:rFonts w:asciiTheme="majorHAnsi" w:hAnsiTheme="majorHAnsi"/>
                <w:sz w:val="20"/>
                <w:szCs w:val="20"/>
                <w:lang w:eastAsia="en-GB"/>
              </w:rPr>
              <w:t xml:space="preserve"> where we have suggestions on how the PEPP BS could look like.</w:t>
            </w:r>
          </w:p>
        </w:tc>
        <w:tc>
          <w:tcPr>
            <w:tcW w:w="3739" w:type="dxa"/>
          </w:tcPr>
          <w:p w14:paraId="719D4A40" w14:textId="77777777" w:rsidR="0087360F" w:rsidRDefault="0087360F" w:rsidP="00C8577A">
            <w:pPr>
              <w:spacing w:before="120"/>
              <w:rPr>
                <w:rFonts w:ascii="Verdana" w:hAnsi="Verdana"/>
                <w:bCs/>
                <w:sz w:val="20"/>
                <w:szCs w:val="20"/>
              </w:rPr>
            </w:pPr>
          </w:p>
          <w:p w14:paraId="6EA490BB" w14:textId="04CE18E2" w:rsidR="00734788" w:rsidRPr="00E51970" w:rsidRDefault="00734788" w:rsidP="00C8577A">
            <w:pPr>
              <w:spacing w:before="120"/>
              <w:rPr>
                <w:rFonts w:ascii="Verdana" w:hAnsi="Verdana"/>
                <w:bCs/>
                <w:sz w:val="20"/>
                <w:szCs w:val="20"/>
              </w:rPr>
            </w:pPr>
          </w:p>
        </w:tc>
      </w:tr>
      <w:tr w:rsidR="00C26AE2" w:rsidRPr="00544A26" w14:paraId="3385BB9D" w14:textId="77777777" w:rsidTr="00AD328A">
        <w:tblPrEx>
          <w:tblLook w:val="00A0" w:firstRow="1" w:lastRow="0" w:firstColumn="1" w:lastColumn="0" w:noHBand="0" w:noVBand="0"/>
        </w:tblPrEx>
        <w:trPr>
          <w:trHeight w:val="432"/>
        </w:trPr>
        <w:tc>
          <w:tcPr>
            <w:tcW w:w="947" w:type="dxa"/>
          </w:tcPr>
          <w:p w14:paraId="45C7CE41" w14:textId="77777777" w:rsidR="00141A4E" w:rsidRPr="00E51970" w:rsidRDefault="00141A4E" w:rsidP="00141A4E">
            <w:pPr>
              <w:numPr>
                <w:ilvl w:val="0"/>
                <w:numId w:val="6"/>
              </w:numPr>
              <w:spacing w:before="120"/>
              <w:jc w:val="both"/>
              <w:rPr>
                <w:rFonts w:ascii="Verdana" w:hAnsi="Verdana"/>
                <w:b/>
                <w:bCs/>
                <w:sz w:val="20"/>
                <w:szCs w:val="20"/>
              </w:rPr>
            </w:pPr>
          </w:p>
        </w:tc>
        <w:tc>
          <w:tcPr>
            <w:tcW w:w="1302" w:type="dxa"/>
            <w:gridSpan w:val="2"/>
            <w:tcBorders>
              <w:top w:val="single" w:sz="4" w:space="0" w:color="auto"/>
              <w:left w:val="single" w:sz="4" w:space="0" w:color="auto"/>
              <w:bottom w:val="single" w:sz="4" w:space="0" w:color="auto"/>
              <w:right w:val="single" w:sz="4" w:space="0" w:color="auto"/>
            </w:tcBorders>
          </w:tcPr>
          <w:p w14:paraId="04DEB52D" w14:textId="77777777" w:rsidR="00BC71BB" w:rsidRDefault="00BC71BB" w:rsidP="00BC71BB">
            <w:pPr>
              <w:spacing w:before="120"/>
              <w:rPr>
                <w:rFonts w:ascii="Verdana" w:hAnsi="Verdana"/>
                <w:bCs/>
                <w:sz w:val="20"/>
                <w:szCs w:val="20"/>
              </w:rPr>
            </w:pPr>
            <w:r>
              <w:rPr>
                <w:rFonts w:ascii="Verdana" w:hAnsi="Verdana"/>
                <w:bCs/>
                <w:sz w:val="20"/>
                <w:szCs w:val="20"/>
              </w:rPr>
              <w:t>BETTER FINANCE</w:t>
            </w:r>
          </w:p>
          <w:p w14:paraId="1D406630" w14:textId="6ED9360B" w:rsidR="00141A4E" w:rsidRDefault="00BC71BB" w:rsidP="00BC71BB">
            <w:pPr>
              <w:spacing w:before="120"/>
              <w:rPr>
                <w:rFonts w:ascii="Verdana" w:hAnsi="Verdana"/>
                <w:bCs/>
                <w:sz w:val="20"/>
                <w:szCs w:val="20"/>
              </w:rPr>
            </w:pPr>
            <w:r>
              <w:rPr>
                <w:rFonts w:ascii="Verdana" w:hAnsi="Verdana"/>
                <w:bCs/>
                <w:sz w:val="20"/>
                <w:szCs w:val="20"/>
              </w:rPr>
              <w:t>Belgium</w:t>
            </w:r>
          </w:p>
        </w:tc>
        <w:tc>
          <w:tcPr>
            <w:tcW w:w="3275" w:type="dxa"/>
            <w:tcBorders>
              <w:top w:val="single" w:sz="4" w:space="0" w:color="auto"/>
              <w:left w:val="single" w:sz="4" w:space="0" w:color="auto"/>
              <w:bottom w:val="single" w:sz="4" w:space="0" w:color="auto"/>
              <w:right w:val="single" w:sz="4" w:space="0" w:color="auto"/>
            </w:tcBorders>
          </w:tcPr>
          <w:p w14:paraId="4A9CF95B" w14:textId="11E4AA70" w:rsidR="00141A4E" w:rsidRDefault="00E360BA" w:rsidP="00E360BA">
            <w:pPr>
              <w:spacing w:before="120"/>
              <w:rPr>
                <w:rFonts w:ascii="Verdana" w:hAnsi="Verdana"/>
                <w:bCs/>
                <w:sz w:val="20"/>
                <w:szCs w:val="20"/>
              </w:rPr>
            </w:pPr>
            <w:r w:rsidRPr="00E360BA">
              <w:rPr>
                <w:rFonts w:ascii="Verdana" w:hAnsi="Verdana"/>
                <w:bCs/>
                <w:sz w:val="20"/>
                <w:szCs w:val="20"/>
              </w:rPr>
              <w:t>Q2. Do you agree to approach the areas of risk/ rewards, performance and risk mitigation for the PEPP in a holistic manner?</w:t>
            </w:r>
          </w:p>
        </w:tc>
        <w:tc>
          <w:tcPr>
            <w:tcW w:w="5294" w:type="dxa"/>
            <w:tcBorders>
              <w:top w:val="single" w:sz="4" w:space="0" w:color="auto"/>
              <w:left w:val="single" w:sz="4" w:space="0" w:color="auto"/>
              <w:bottom w:val="single" w:sz="4" w:space="0" w:color="auto"/>
              <w:right w:val="single" w:sz="4" w:space="0" w:color="auto"/>
            </w:tcBorders>
          </w:tcPr>
          <w:p w14:paraId="03170190" w14:textId="1FAC89F3" w:rsidR="00141A4E" w:rsidRPr="00797140" w:rsidRDefault="00797140" w:rsidP="00797140">
            <w:pPr>
              <w:spacing w:line="276" w:lineRule="auto"/>
              <w:jc w:val="both"/>
              <w:rPr>
                <w:rFonts w:ascii="Cambria" w:hAnsi="Cambria" w:cstheme="majorHAnsi"/>
                <w:sz w:val="22"/>
                <w:szCs w:val="22"/>
                <w:lang w:eastAsia="en-US"/>
              </w:rPr>
            </w:pPr>
            <w:r w:rsidRPr="00797140">
              <w:rPr>
                <w:rFonts w:ascii="Cambria" w:hAnsi="Cambria" w:cstheme="majorHAnsi"/>
                <w:sz w:val="20"/>
                <w:szCs w:val="20"/>
              </w:rPr>
              <w:t>Yes, we also believe that the three product indicators – risk, performance and risk-mitigation – should be consistent with one another, reason for which we welcome the EIOPA holistic approach. In addition, we believe that EIOPA also correctly identified the objectives and long-term nature of the PEPP, which are pivotal for designing the three parameters. Further comments on the holistic approach are provided below (Question 3).</w:t>
            </w:r>
          </w:p>
        </w:tc>
        <w:tc>
          <w:tcPr>
            <w:tcW w:w="3739" w:type="dxa"/>
          </w:tcPr>
          <w:p w14:paraId="24A39B33" w14:textId="58F1DE85" w:rsidR="00141A4E" w:rsidRDefault="00141A4E" w:rsidP="00141A4E">
            <w:pPr>
              <w:spacing w:before="120"/>
              <w:rPr>
                <w:rFonts w:ascii="Verdana" w:hAnsi="Verdana"/>
                <w:bCs/>
                <w:sz w:val="20"/>
                <w:szCs w:val="20"/>
              </w:rPr>
            </w:pPr>
          </w:p>
        </w:tc>
      </w:tr>
      <w:tr w:rsidR="00C26AE2" w:rsidRPr="00544A26" w14:paraId="1F7B21D0" w14:textId="77777777" w:rsidTr="00AD328A">
        <w:tblPrEx>
          <w:tblLook w:val="00A0" w:firstRow="1" w:lastRow="0" w:firstColumn="1" w:lastColumn="0" w:noHBand="0" w:noVBand="0"/>
        </w:tblPrEx>
        <w:trPr>
          <w:trHeight w:val="432"/>
        </w:trPr>
        <w:tc>
          <w:tcPr>
            <w:tcW w:w="947" w:type="dxa"/>
          </w:tcPr>
          <w:p w14:paraId="793E9E29" w14:textId="77777777" w:rsidR="00141A4E" w:rsidRPr="00E51970" w:rsidRDefault="00141A4E" w:rsidP="00141A4E">
            <w:pPr>
              <w:numPr>
                <w:ilvl w:val="0"/>
                <w:numId w:val="6"/>
              </w:numPr>
              <w:spacing w:before="120"/>
              <w:jc w:val="both"/>
              <w:rPr>
                <w:rFonts w:ascii="Verdana" w:hAnsi="Verdana"/>
                <w:b/>
                <w:bCs/>
                <w:sz w:val="20"/>
                <w:szCs w:val="20"/>
              </w:rPr>
            </w:pPr>
          </w:p>
        </w:tc>
        <w:tc>
          <w:tcPr>
            <w:tcW w:w="1302" w:type="dxa"/>
            <w:gridSpan w:val="2"/>
            <w:tcBorders>
              <w:top w:val="single" w:sz="4" w:space="0" w:color="auto"/>
              <w:left w:val="single" w:sz="4" w:space="0" w:color="auto"/>
              <w:bottom w:val="single" w:sz="4" w:space="0" w:color="auto"/>
              <w:right w:val="single" w:sz="4" w:space="0" w:color="auto"/>
            </w:tcBorders>
          </w:tcPr>
          <w:p w14:paraId="1DFB34C4" w14:textId="77777777" w:rsidR="00BC71BB" w:rsidRDefault="00BC71BB" w:rsidP="00BC71BB">
            <w:pPr>
              <w:spacing w:before="120"/>
              <w:rPr>
                <w:rFonts w:ascii="Verdana" w:hAnsi="Verdana"/>
                <w:bCs/>
                <w:sz w:val="20"/>
                <w:szCs w:val="20"/>
              </w:rPr>
            </w:pPr>
            <w:r>
              <w:rPr>
                <w:rFonts w:ascii="Verdana" w:hAnsi="Verdana"/>
                <w:bCs/>
                <w:sz w:val="20"/>
                <w:szCs w:val="20"/>
              </w:rPr>
              <w:t>BETTER FINANCE</w:t>
            </w:r>
          </w:p>
          <w:p w14:paraId="72468147" w14:textId="492404EA" w:rsidR="00141A4E" w:rsidRDefault="00BC71BB" w:rsidP="00BC71BB">
            <w:pPr>
              <w:spacing w:before="120"/>
              <w:rPr>
                <w:rFonts w:ascii="Verdana" w:hAnsi="Verdana"/>
                <w:bCs/>
                <w:sz w:val="20"/>
                <w:szCs w:val="20"/>
              </w:rPr>
            </w:pPr>
            <w:r>
              <w:rPr>
                <w:rFonts w:ascii="Verdana" w:hAnsi="Verdana"/>
                <w:bCs/>
                <w:sz w:val="20"/>
                <w:szCs w:val="20"/>
              </w:rPr>
              <w:t>Belgium</w:t>
            </w:r>
          </w:p>
        </w:tc>
        <w:tc>
          <w:tcPr>
            <w:tcW w:w="3275" w:type="dxa"/>
            <w:tcBorders>
              <w:top w:val="single" w:sz="4" w:space="0" w:color="auto"/>
              <w:left w:val="single" w:sz="4" w:space="0" w:color="auto"/>
              <w:bottom w:val="single" w:sz="4" w:space="0" w:color="auto"/>
              <w:right w:val="single" w:sz="4" w:space="0" w:color="auto"/>
            </w:tcBorders>
          </w:tcPr>
          <w:p w14:paraId="03FCE64D" w14:textId="77777777" w:rsidR="00E360BA" w:rsidRPr="00E360BA" w:rsidRDefault="00E360BA" w:rsidP="00E360BA">
            <w:pPr>
              <w:spacing w:before="120"/>
              <w:rPr>
                <w:rFonts w:ascii="Verdana" w:hAnsi="Verdana"/>
                <w:bCs/>
                <w:sz w:val="20"/>
                <w:szCs w:val="20"/>
              </w:rPr>
            </w:pPr>
            <w:r w:rsidRPr="00E360BA">
              <w:rPr>
                <w:rFonts w:ascii="Verdana" w:hAnsi="Verdana"/>
                <w:bCs/>
                <w:sz w:val="20"/>
                <w:szCs w:val="20"/>
              </w:rPr>
              <w:t>Q3. Do you agree to measure the risk inherent in PEPP as the dispersion of pension outcomes and to link it to objective of reaching at least the long-term risk-free interest rate?</w:t>
            </w:r>
          </w:p>
          <w:p w14:paraId="15DA80B3" w14:textId="344023A6" w:rsidR="00141A4E" w:rsidRDefault="00141A4E" w:rsidP="00E360BA">
            <w:pPr>
              <w:spacing w:before="120"/>
              <w:rPr>
                <w:rFonts w:ascii="Verdana" w:hAnsi="Verdana"/>
                <w:bCs/>
                <w:sz w:val="20"/>
                <w:szCs w:val="20"/>
              </w:rPr>
            </w:pPr>
          </w:p>
        </w:tc>
        <w:tc>
          <w:tcPr>
            <w:tcW w:w="5294" w:type="dxa"/>
            <w:tcBorders>
              <w:top w:val="single" w:sz="4" w:space="0" w:color="auto"/>
              <w:left w:val="single" w:sz="4" w:space="0" w:color="auto"/>
              <w:bottom w:val="single" w:sz="4" w:space="0" w:color="auto"/>
              <w:right w:val="single" w:sz="4" w:space="0" w:color="auto"/>
            </w:tcBorders>
          </w:tcPr>
          <w:p w14:paraId="1E974624" w14:textId="77777777" w:rsidR="00032CCE" w:rsidRPr="00032CCE" w:rsidRDefault="00032CCE" w:rsidP="00032CCE">
            <w:pPr>
              <w:spacing w:line="276" w:lineRule="auto"/>
              <w:jc w:val="both"/>
              <w:rPr>
                <w:rFonts w:ascii="Cambria" w:hAnsi="Cambria"/>
                <w:sz w:val="20"/>
                <w:szCs w:val="20"/>
                <w:lang w:eastAsia="en-US"/>
              </w:rPr>
            </w:pPr>
            <w:r w:rsidRPr="00032CCE">
              <w:rPr>
                <w:rFonts w:ascii="Cambria" w:hAnsi="Cambria"/>
                <w:sz w:val="20"/>
                <w:szCs w:val="20"/>
              </w:rPr>
              <w:t>We agree with EIOPA’s assessment that “</w:t>
            </w:r>
            <w:r w:rsidRPr="00032CCE">
              <w:rPr>
                <w:rFonts w:ascii="Cambria" w:hAnsi="Cambria"/>
                <w:i/>
                <w:iCs/>
                <w:sz w:val="20"/>
                <w:szCs w:val="20"/>
              </w:rPr>
              <w:t>the main risk of a pension product is not reaching the individual’s retirement objective</w:t>
            </w:r>
            <w:r w:rsidRPr="00032CCE">
              <w:rPr>
                <w:rFonts w:ascii="Cambria" w:hAnsi="Cambria"/>
                <w:sz w:val="20"/>
                <w:szCs w:val="20"/>
              </w:rPr>
              <w:t>”, with a single note that the “</w:t>
            </w:r>
            <w:r w:rsidRPr="00032CCE">
              <w:rPr>
                <w:rFonts w:ascii="Cambria" w:hAnsi="Cambria"/>
                <w:i/>
                <w:iCs/>
                <w:sz w:val="20"/>
                <w:szCs w:val="20"/>
              </w:rPr>
              <w:t>potential inability to outperform inflation</w:t>
            </w:r>
            <w:r w:rsidRPr="00032CCE">
              <w:rPr>
                <w:rFonts w:ascii="Cambria" w:hAnsi="Cambria"/>
                <w:sz w:val="20"/>
                <w:szCs w:val="20"/>
              </w:rPr>
              <w:t>” is, in our view, inherent to the main risk indicated above. BETTER FINANCE made this point under Question 4 below as well: the retirement income objective must be considered in real terms, i.e. maintaining the purchasing power of the potential pension.</w:t>
            </w:r>
          </w:p>
          <w:p w14:paraId="2C6AA4D4" w14:textId="77777777" w:rsidR="00032CCE" w:rsidRPr="00032CCE" w:rsidRDefault="00032CCE" w:rsidP="00032CCE">
            <w:pPr>
              <w:spacing w:line="276" w:lineRule="auto"/>
              <w:jc w:val="both"/>
              <w:rPr>
                <w:rFonts w:ascii="Cambria" w:hAnsi="Cambria"/>
                <w:sz w:val="20"/>
                <w:szCs w:val="20"/>
              </w:rPr>
            </w:pPr>
            <w:r w:rsidRPr="00032CCE">
              <w:rPr>
                <w:rFonts w:ascii="Cambria" w:hAnsi="Cambria"/>
                <w:sz w:val="20"/>
                <w:szCs w:val="20"/>
              </w:rPr>
              <w:t>However, while we believe it’s just a manner of expression, we slightly disagree with the statement that the riskiness of a pension product can also be measured by it “</w:t>
            </w:r>
            <w:r w:rsidRPr="00032CCE">
              <w:rPr>
                <w:rFonts w:ascii="Cambria" w:hAnsi="Cambria"/>
                <w:i/>
                <w:iCs/>
                <w:sz w:val="20"/>
                <w:szCs w:val="20"/>
              </w:rPr>
              <w:t>not being sufficiently aggressive</w:t>
            </w:r>
            <w:r w:rsidRPr="00032CCE">
              <w:rPr>
                <w:rFonts w:ascii="Cambria" w:hAnsi="Cambria"/>
                <w:sz w:val="20"/>
                <w:szCs w:val="20"/>
              </w:rPr>
              <w:t xml:space="preserve">” in order to compensate for a lower level of contributions or to reward a higher risk tolerance. Conceptually, those two aforementioned are not a risk </w:t>
            </w:r>
            <w:r w:rsidRPr="00032CCE">
              <w:rPr>
                <w:rFonts w:ascii="Cambria" w:hAnsi="Cambria"/>
                <w:i/>
                <w:iCs/>
                <w:sz w:val="20"/>
                <w:szCs w:val="20"/>
              </w:rPr>
              <w:t>per se</w:t>
            </w:r>
            <w:r w:rsidRPr="00032CCE">
              <w:rPr>
                <w:rFonts w:ascii="Cambria" w:hAnsi="Cambria"/>
                <w:sz w:val="20"/>
                <w:szCs w:val="20"/>
              </w:rPr>
              <w:t xml:space="preserve">, but potentially a mis-categorisation or mis-assessment of the product’s risk/reward profile in comparison with that of the PEPP saver. Put simply, </w:t>
            </w:r>
            <w:r w:rsidRPr="00032CCE">
              <w:rPr>
                <w:rFonts w:ascii="Cambria" w:hAnsi="Cambria"/>
                <w:sz w:val="20"/>
                <w:szCs w:val="20"/>
              </w:rPr>
              <w:lastRenderedPageBreak/>
              <w:t>if the product is not “</w:t>
            </w:r>
            <w:r w:rsidRPr="00032CCE">
              <w:rPr>
                <w:rFonts w:ascii="Cambria" w:hAnsi="Cambria"/>
                <w:i/>
                <w:iCs/>
                <w:sz w:val="20"/>
                <w:szCs w:val="20"/>
              </w:rPr>
              <w:t>aggressive enough</w:t>
            </w:r>
            <w:r w:rsidRPr="00032CCE">
              <w:rPr>
                <w:rFonts w:ascii="Cambria" w:hAnsi="Cambria"/>
                <w:sz w:val="20"/>
                <w:szCs w:val="20"/>
              </w:rPr>
              <w:t>” it means that the PEPP saver needs a more aggressive product.</w:t>
            </w:r>
          </w:p>
          <w:p w14:paraId="12421303" w14:textId="77777777" w:rsidR="00032CCE" w:rsidRPr="00032CCE" w:rsidRDefault="00032CCE" w:rsidP="00032CCE">
            <w:pPr>
              <w:spacing w:line="276" w:lineRule="auto"/>
              <w:jc w:val="both"/>
              <w:rPr>
                <w:rFonts w:ascii="Cambria" w:hAnsi="Cambria"/>
                <w:sz w:val="20"/>
                <w:szCs w:val="20"/>
              </w:rPr>
            </w:pPr>
            <w:r w:rsidRPr="00032CCE">
              <w:rPr>
                <w:rFonts w:ascii="Cambria" w:hAnsi="Cambria"/>
                <w:sz w:val="20"/>
                <w:szCs w:val="20"/>
              </w:rPr>
              <w:t>We are also aware of criticism brough to EIOPA’s formulation that the PEPP’s riskiness resides in a potential inability to reach “</w:t>
            </w:r>
            <w:r w:rsidRPr="00032CCE">
              <w:rPr>
                <w:rFonts w:ascii="Cambria" w:hAnsi="Cambria"/>
                <w:i/>
                <w:iCs/>
                <w:sz w:val="20"/>
                <w:szCs w:val="20"/>
              </w:rPr>
              <w:t>an individual’s</w:t>
            </w:r>
            <w:r w:rsidRPr="00032CCE">
              <w:rPr>
                <w:rFonts w:ascii="Cambria" w:hAnsi="Cambria"/>
                <w:sz w:val="20"/>
                <w:szCs w:val="20"/>
              </w:rPr>
              <w:t xml:space="preserve">” pension objective, as it was held by stakeholders that the PEPP is more generalist, whereas individual pension targets are very specific. First, we believe the statement to be accurate as a PEPP may be tailor-made for one individual in particular. Second, pension products generally follow fairly general retirement objectives, under which the individual targets of savers are incorporated. Therefore, if the PEPP does not reach </w:t>
            </w:r>
            <w:proofErr w:type="spellStart"/>
            <w:r w:rsidRPr="00032CCE">
              <w:rPr>
                <w:rFonts w:ascii="Cambria" w:hAnsi="Cambria"/>
                <w:sz w:val="20"/>
                <w:szCs w:val="20"/>
              </w:rPr>
              <w:t>it’s</w:t>
            </w:r>
            <w:proofErr w:type="spellEnd"/>
            <w:r w:rsidRPr="00032CCE">
              <w:rPr>
                <w:rFonts w:ascii="Cambria" w:hAnsi="Cambria"/>
                <w:sz w:val="20"/>
                <w:szCs w:val="20"/>
              </w:rPr>
              <w:t xml:space="preserve"> stated retirement objective, </w:t>
            </w:r>
            <w:proofErr w:type="spellStart"/>
            <w:r w:rsidRPr="00032CCE">
              <w:rPr>
                <w:rFonts w:ascii="Cambria" w:hAnsi="Cambria"/>
                <w:i/>
                <w:iCs/>
                <w:sz w:val="20"/>
                <w:szCs w:val="20"/>
              </w:rPr>
              <w:t>qed</w:t>
            </w:r>
            <w:proofErr w:type="spellEnd"/>
            <w:r w:rsidRPr="00032CCE">
              <w:rPr>
                <w:rFonts w:ascii="Cambria" w:hAnsi="Cambria"/>
                <w:i/>
                <w:iCs/>
                <w:sz w:val="20"/>
                <w:szCs w:val="20"/>
              </w:rPr>
              <w:t xml:space="preserve"> </w:t>
            </w:r>
            <w:r w:rsidRPr="00032CCE">
              <w:rPr>
                <w:rFonts w:ascii="Cambria" w:hAnsi="Cambria"/>
                <w:sz w:val="20"/>
                <w:szCs w:val="20"/>
              </w:rPr>
              <w:t>it will not reach the savers’ individual retirement objectives either.</w:t>
            </w:r>
          </w:p>
          <w:p w14:paraId="0BE02433" w14:textId="77777777" w:rsidR="00032CCE" w:rsidRPr="00032CCE" w:rsidRDefault="00032CCE" w:rsidP="00032CCE">
            <w:pPr>
              <w:spacing w:line="276" w:lineRule="auto"/>
              <w:jc w:val="both"/>
              <w:rPr>
                <w:rFonts w:ascii="Cambria" w:hAnsi="Cambria"/>
                <w:sz w:val="20"/>
                <w:szCs w:val="20"/>
              </w:rPr>
            </w:pPr>
            <w:r w:rsidRPr="00032CCE">
              <w:rPr>
                <w:rFonts w:ascii="Cambria" w:hAnsi="Cambria"/>
                <w:sz w:val="20"/>
                <w:szCs w:val="20"/>
              </w:rPr>
              <w:t>With regard to the building blocks, we agree with the targets identified by EIOPA around which the risk profile of the PEPP will be determined. However, it is not very clear – at this stage – how would the three be intertwined and what the valence of each would be: inflation protection, ultimate forward rate (UFR) and the dispersion of pension benefits. Nevertheless, the safeguards proposed by EIOPA to ensure transparency and an adequate level of investor protection (principle-based re-risking, transparent allocation, earmarking etc.). build to create an EU-quality label for the PEPP.</w:t>
            </w:r>
          </w:p>
          <w:p w14:paraId="30D95E4B" w14:textId="77777777" w:rsidR="00032CCE" w:rsidRPr="00032CCE" w:rsidRDefault="00032CCE" w:rsidP="00032CCE">
            <w:pPr>
              <w:spacing w:line="276" w:lineRule="auto"/>
              <w:jc w:val="both"/>
              <w:rPr>
                <w:rFonts w:ascii="Cambria" w:hAnsi="Cambria"/>
                <w:sz w:val="20"/>
                <w:szCs w:val="20"/>
              </w:rPr>
            </w:pPr>
            <w:r w:rsidRPr="00032CCE">
              <w:rPr>
                <w:rFonts w:ascii="Cambria" w:hAnsi="Cambria"/>
                <w:sz w:val="20"/>
                <w:szCs w:val="20"/>
              </w:rPr>
              <w:t>Last, we believe that EIOPA should set the technical frame (limits) for the alternative investment options (in order not to create too risky and too complex products) and allow a degree of flexibility for PEPP providers. Higher standardisation and harmonisation is needed for the basic PEPP, as we indicate under Question 7 below. The investor protection rules (transparency, disclosure, conduct of business and operational rules) should be the same for all PEPPs and reflect a high level of investor protection.</w:t>
            </w:r>
          </w:p>
          <w:p w14:paraId="7A8808E6" w14:textId="181618CE" w:rsidR="00141A4E" w:rsidRPr="000B31B2" w:rsidRDefault="000B31B2" w:rsidP="00141A4E">
            <w:pPr>
              <w:jc w:val="both"/>
              <w:rPr>
                <w:rFonts w:asciiTheme="majorHAnsi" w:hAnsiTheme="majorHAnsi"/>
                <w:bCs/>
                <w:sz w:val="20"/>
                <w:szCs w:val="20"/>
              </w:rPr>
            </w:pPr>
            <w:r w:rsidRPr="000B31B2">
              <w:rPr>
                <w:rFonts w:asciiTheme="majorHAnsi" w:hAnsiTheme="majorHAnsi"/>
                <w:bCs/>
                <w:sz w:val="20"/>
                <w:szCs w:val="20"/>
              </w:rPr>
              <w:lastRenderedPageBreak/>
              <w:t>In regard to the methodology for return estimations, we support the use of the long-term risk-free rate (UFR) as appropriate.</w:t>
            </w:r>
          </w:p>
        </w:tc>
        <w:tc>
          <w:tcPr>
            <w:tcW w:w="3739" w:type="dxa"/>
          </w:tcPr>
          <w:p w14:paraId="4FCA5065" w14:textId="79202B6B" w:rsidR="00141A4E" w:rsidRDefault="00141A4E" w:rsidP="00141A4E">
            <w:pPr>
              <w:spacing w:before="120"/>
              <w:rPr>
                <w:rFonts w:ascii="Verdana" w:hAnsi="Verdana"/>
                <w:bCs/>
                <w:sz w:val="20"/>
                <w:szCs w:val="20"/>
              </w:rPr>
            </w:pPr>
          </w:p>
        </w:tc>
      </w:tr>
      <w:tr w:rsidR="00C26AE2" w:rsidRPr="00544A26" w14:paraId="1848620E" w14:textId="77777777" w:rsidTr="00AD328A">
        <w:tblPrEx>
          <w:tblLook w:val="00A0" w:firstRow="1" w:lastRow="0" w:firstColumn="1" w:lastColumn="0" w:noHBand="0" w:noVBand="0"/>
        </w:tblPrEx>
        <w:trPr>
          <w:trHeight w:val="432"/>
        </w:trPr>
        <w:tc>
          <w:tcPr>
            <w:tcW w:w="947" w:type="dxa"/>
          </w:tcPr>
          <w:p w14:paraId="011D8746" w14:textId="77777777" w:rsidR="00141A4E" w:rsidRPr="00E51970" w:rsidRDefault="00141A4E" w:rsidP="00141A4E">
            <w:pPr>
              <w:numPr>
                <w:ilvl w:val="0"/>
                <w:numId w:val="6"/>
              </w:numPr>
              <w:spacing w:before="120"/>
              <w:jc w:val="both"/>
              <w:rPr>
                <w:rFonts w:ascii="Verdana" w:hAnsi="Verdana"/>
                <w:b/>
                <w:bCs/>
                <w:sz w:val="20"/>
                <w:szCs w:val="20"/>
              </w:rPr>
            </w:pPr>
          </w:p>
        </w:tc>
        <w:tc>
          <w:tcPr>
            <w:tcW w:w="1302" w:type="dxa"/>
            <w:gridSpan w:val="2"/>
            <w:tcBorders>
              <w:top w:val="single" w:sz="4" w:space="0" w:color="auto"/>
              <w:left w:val="single" w:sz="4" w:space="0" w:color="auto"/>
              <w:bottom w:val="single" w:sz="4" w:space="0" w:color="auto"/>
              <w:right w:val="single" w:sz="4" w:space="0" w:color="auto"/>
            </w:tcBorders>
          </w:tcPr>
          <w:p w14:paraId="05DD6A51" w14:textId="77777777" w:rsidR="00BC71BB" w:rsidRDefault="00BC71BB" w:rsidP="00BC71BB">
            <w:pPr>
              <w:spacing w:before="120"/>
              <w:rPr>
                <w:rFonts w:ascii="Verdana" w:hAnsi="Verdana"/>
                <w:bCs/>
                <w:sz w:val="20"/>
                <w:szCs w:val="20"/>
              </w:rPr>
            </w:pPr>
            <w:r>
              <w:rPr>
                <w:rFonts w:ascii="Verdana" w:hAnsi="Verdana"/>
                <w:bCs/>
                <w:sz w:val="20"/>
                <w:szCs w:val="20"/>
              </w:rPr>
              <w:t>BETTER FINANCE</w:t>
            </w:r>
          </w:p>
          <w:p w14:paraId="64DB3144" w14:textId="1A4448B8" w:rsidR="00141A4E" w:rsidRDefault="00BC71BB" w:rsidP="00BC71BB">
            <w:pPr>
              <w:spacing w:before="120"/>
              <w:rPr>
                <w:rFonts w:ascii="Verdana" w:hAnsi="Verdana"/>
                <w:bCs/>
                <w:sz w:val="20"/>
                <w:szCs w:val="20"/>
              </w:rPr>
            </w:pPr>
            <w:r>
              <w:rPr>
                <w:rFonts w:ascii="Verdana" w:hAnsi="Verdana"/>
                <w:bCs/>
                <w:sz w:val="20"/>
                <w:szCs w:val="20"/>
              </w:rPr>
              <w:t>Belgium</w:t>
            </w:r>
          </w:p>
        </w:tc>
        <w:tc>
          <w:tcPr>
            <w:tcW w:w="3275" w:type="dxa"/>
            <w:tcBorders>
              <w:top w:val="single" w:sz="4" w:space="0" w:color="auto"/>
              <w:left w:val="single" w:sz="4" w:space="0" w:color="auto"/>
              <w:bottom w:val="single" w:sz="4" w:space="0" w:color="auto"/>
              <w:right w:val="single" w:sz="4" w:space="0" w:color="auto"/>
            </w:tcBorders>
          </w:tcPr>
          <w:p w14:paraId="47FDD752" w14:textId="1D653518" w:rsidR="00141A4E" w:rsidRDefault="00E360BA" w:rsidP="00E360BA">
            <w:pPr>
              <w:spacing w:before="120"/>
              <w:rPr>
                <w:rFonts w:ascii="Verdana" w:hAnsi="Verdana"/>
                <w:bCs/>
                <w:sz w:val="20"/>
                <w:szCs w:val="20"/>
              </w:rPr>
            </w:pPr>
            <w:r w:rsidRPr="00E360BA">
              <w:rPr>
                <w:rFonts w:ascii="Verdana" w:hAnsi="Verdana"/>
                <w:bCs/>
                <w:sz w:val="20"/>
                <w:szCs w:val="20"/>
              </w:rPr>
              <w:t>Q4. To ensure consistency in the application and comparability of the information on past performance, performance scenarios, pension projections, summary risk indicator and to assess the effectiveness of the applied risk-mitigation techniques - do you agree for EIOPA to set the key assumptions and inputs used for the necessary stochastic modelling?</w:t>
            </w:r>
          </w:p>
        </w:tc>
        <w:tc>
          <w:tcPr>
            <w:tcW w:w="5294" w:type="dxa"/>
            <w:tcBorders>
              <w:top w:val="single" w:sz="4" w:space="0" w:color="auto"/>
              <w:left w:val="single" w:sz="4" w:space="0" w:color="auto"/>
              <w:bottom w:val="single" w:sz="4" w:space="0" w:color="auto"/>
              <w:right w:val="single" w:sz="4" w:space="0" w:color="auto"/>
            </w:tcBorders>
          </w:tcPr>
          <w:p w14:paraId="3BFC788A" w14:textId="77777777" w:rsidR="00EA70B1" w:rsidRPr="00EA70B1" w:rsidRDefault="00EA70B1" w:rsidP="00EA70B1">
            <w:pPr>
              <w:spacing w:after="120" w:line="276" w:lineRule="auto"/>
              <w:jc w:val="both"/>
              <w:rPr>
                <w:rFonts w:ascii="Cambria" w:hAnsi="Cambria"/>
                <w:i/>
                <w:iCs/>
                <w:color w:val="0070C0"/>
                <w:sz w:val="20"/>
                <w:szCs w:val="20"/>
                <w:lang w:eastAsia="en-US"/>
              </w:rPr>
            </w:pPr>
            <w:r w:rsidRPr="00EA70B1">
              <w:rPr>
                <w:rFonts w:ascii="Cambria" w:hAnsi="Cambria"/>
                <w:i/>
                <w:iCs/>
                <w:color w:val="0070C0"/>
                <w:sz w:val="20"/>
                <w:szCs w:val="20"/>
              </w:rPr>
              <w:t>Past performance</w:t>
            </w:r>
          </w:p>
          <w:p w14:paraId="5FA90AFE" w14:textId="77777777" w:rsidR="00EA70B1" w:rsidRPr="00EA70B1" w:rsidRDefault="00EA70B1" w:rsidP="00EA70B1">
            <w:pPr>
              <w:spacing w:after="120" w:line="276" w:lineRule="auto"/>
              <w:jc w:val="both"/>
              <w:rPr>
                <w:rFonts w:ascii="Cambria" w:hAnsi="Cambria"/>
                <w:sz w:val="20"/>
                <w:szCs w:val="20"/>
              </w:rPr>
            </w:pPr>
            <w:r w:rsidRPr="00EA70B1">
              <w:rPr>
                <w:rFonts w:ascii="Cambria" w:hAnsi="Cambria"/>
                <w:sz w:val="20"/>
                <w:szCs w:val="20"/>
              </w:rPr>
              <w:t>Past performance, in particular for products with a long-term nature, is a key disclosure element for the PEPP. Past performance should be displayed in comparison with a benchmark, in order to shed better light on the returns of the product. Past performance is not a reliable indicator of future results, and this should be prominently stated in the PEPP KID and BS. However, past performance shows the saver whether the product manager achieved its stated investment objectives in the past and allows for comparison with the market.</w:t>
            </w:r>
          </w:p>
          <w:p w14:paraId="73178956" w14:textId="77777777" w:rsidR="00EA70B1" w:rsidRPr="00EA70B1" w:rsidRDefault="00EA70B1" w:rsidP="00EA70B1">
            <w:pPr>
              <w:spacing w:after="120"/>
              <w:ind w:left="567" w:right="567"/>
              <w:jc w:val="both"/>
              <w:rPr>
                <w:rFonts w:ascii="Cambria" w:hAnsi="Cambria"/>
                <w:sz w:val="20"/>
                <w:szCs w:val="20"/>
              </w:rPr>
            </w:pPr>
            <w:r w:rsidRPr="00EA70B1">
              <w:rPr>
                <w:rFonts w:ascii="Cambria" w:hAnsi="Cambria"/>
                <w:sz w:val="20"/>
                <w:szCs w:val="20"/>
              </w:rPr>
              <w:t>“</w:t>
            </w:r>
            <w:r w:rsidRPr="00EA70B1">
              <w:rPr>
                <w:rFonts w:asciiTheme="majorHAnsi" w:hAnsiTheme="majorHAnsi" w:cstheme="majorHAnsi"/>
                <w:i/>
                <w:iCs/>
                <w:sz w:val="20"/>
                <w:szCs w:val="20"/>
              </w:rPr>
              <w:t>it is</w:t>
            </w:r>
            <w:r w:rsidRPr="00EA70B1">
              <w:rPr>
                <w:rFonts w:ascii="Cambria" w:hAnsi="Cambria"/>
                <w:i/>
                <w:iCs/>
                <w:sz w:val="20"/>
                <w:szCs w:val="20"/>
              </w:rPr>
              <w:t xml:space="preserve"> </w:t>
            </w:r>
            <w:r w:rsidRPr="00EA70B1">
              <w:rPr>
                <w:rFonts w:ascii="Cambria" w:hAnsi="Cambria"/>
                <w:sz w:val="20"/>
                <w:szCs w:val="20"/>
              </w:rPr>
              <w:t xml:space="preserve">[the asset manager’s] </w:t>
            </w:r>
            <w:r w:rsidRPr="00EA70B1">
              <w:rPr>
                <w:rFonts w:asciiTheme="majorHAnsi" w:hAnsiTheme="majorHAnsi" w:cstheme="majorHAnsi"/>
                <w:i/>
                <w:iCs/>
                <w:sz w:val="20"/>
                <w:szCs w:val="20"/>
              </w:rPr>
              <w:t>skill and judgement in understanding and controlling the risk of failing to achieve the advertised investment objective or the benchmark that has been set the real test by which professional investment managers should be judged</w:t>
            </w:r>
            <w:r w:rsidRPr="00EA70B1">
              <w:rPr>
                <w:rFonts w:ascii="Cambria" w:hAnsi="Cambria"/>
                <w:sz w:val="20"/>
                <w:szCs w:val="20"/>
              </w:rPr>
              <w:t>”.</w:t>
            </w:r>
            <w:r w:rsidRPr="00EA70B1">
              <w:rPr>
                <w:rStyle w:val="FootnoteReference"/>
                <w:rFonts w:ascii="Cambria" w:hAnsi="Cambria"/>
                <w:sz w:val="20"/>
                <w:szCs w:val="20"/>
              </w:rPr>
              <w:footnoteReference w:id="13"/>
            </w:r>
          </w:p>
          <w:p w14:paraId="68FCAAFD" w14:textId="77777777" w:rsidR="00EA70B1" w:rsidRPr="00EA70B1" w:rsidRDefault="00EA70B1" w:rsidP="00EA70B1">
            <w:pPr>
              <w:spacing w:after="120" w:line="276" w:lineRule="auto"/>
              <w:jc w:val="both"/>
              <w:rPr>
                <w:rFonts w:ascii="Cambria" w:hAnsi="Cambria"/>
                <w:sz w:val="20"/>
                <w:szCs w:val="20"/>
              </w:rPr>
            </w:pPr>
            <w:r w:rsidRPr="00EA70B1">
              <w:rPr>
                <w:rFonts w:ascii="Cambria" w:hAnsi="Cambria"/>
                <w:sz w:val="20"/>
                <w:szCs w:val="20"/>
              </w:rPr>
              <w:t>Past performance, in particular for products with a long-term nature like the one of PEPP, is a key disclosure element. Past performance should be displayed in comparison with an objective benchmark, in order to shed better light on the returns of the product and to allow comparisons with the market. Comparison of past performance with a capital market index chosen by a provider is key to understand the performance and risks. For majority of savers presenting the risk via numbers only is hardly understandable. The comparison with a benchmark will enable them to understand that the value of savings is a subject of volatility over time and to see by how much the value of savings can fluctuate (therefore ideally the presentation should take the form of a graph).</w:t>
            </w:r>
          </w:p>
          <w:p w14:paraId="4038AAC4" w14:textId="77777777" w:rsidR="00EA70B1" w:rsidRPr="00EA70B1" w:rsidRDefault="00EA70B1" w:rsidP="00EA70B1">
            <w:pPr>
              <w:spacing w:after="120" w:line="276" w:lineRule="auto"/>
              <w:jc w:val="both"/>
              <w:rPr>
                <w:rFonts w:ascii="Cambria" w:hAnsi="Cambria"/>
                <w:sz w:val="20"/>
                <w:szCs w:val="20"/>
              </w:rPr>
            </w:pPr>
            <w:r w:rsidRPr="00EA70B1">
              <w:rPr>
                <w:rFonts w:ascii="Cambria" w:hAnsi="Cambria"/>
                <w:sz w:val="20"/>
                <w:szCs w:val="20"/>
              </w:rPr>
              <w:lastRenderedPageBreak/>
              <w:t>The objective comparator for past performance should only be the corresponding market index benchmark of the product. If the product is not susceptible of having one, then no other performance should be presented.</w:t>
            </w:r>
          </w:p>
          <w:p w14:paraId="58FBE889" w14:textId="77777777" w:rsidR="00EA70B1" w:rsidRPr="00EA70B1" w:rsidRDefault="00EA70B1" w:rsidP="00EA70B1">
            <w:pPr>
              <w:spacing w:after="120" w:line="276" w:lineRule="auto"/>
              <w:jc w:val="both"/>
              <w:rPr>
                <w:rFonts w:ascii="Cambria" w:hAnsi="Cambria"/>
                <w:color w:val="000000" w:themeColor="text1"/>
                <w:sz w:val="20"/>
                <w:szCs w:val="20"/>
              </w:rPr>
            </w:pPr>
            <w:r w:rsidRPr="00EA70B1">
              <w:rPr>
                <w:rFonts w:ascii="Cambria" w:hAnsi="Cambria"/>
                <w:color w:val="000000" w:themeColor="text1"/>
                <w:sz w:val="20"/>
                <w:szCs w:val="20"/>
              </w:rPr>
              <w:t xml:space="preserve">PEPPs should be required to disclose long-term past performance, i.e. minimum 10 years. </w:t>
            </w:r>
            <w:r w:rsidRPr="00EA70B1">
              <w:rPr>
                <w:rFonts w:ascii="Cambria" w:hAnsi="Cambria"/>
                <w:bCs/>
                <w:iCs/>
                <w:sz w:val="20"/>
                <w:szCs w:val="20"/>
              </w:rPr>
              <w:t xml:space="preserve">Long-term, pension savings products span over considerably large investment horizons, i.e. from 20 to 40 years or even more. In such long periods of time, inflation can have a considerable effect on the purchasing power, and savers should be clearly and prominently made aware of this. </w:t>
            </w:r>
          </w:p>
          <w:p w14:paraId="5314A69C" w14:textId="77777777" w:rsidR="00EA70B1" w:rsidRPr="00EA70B1" w:rsidRDefault="00EA70B1" w:rsidP="00EA70B1">
            <w:pPr>
              <w:spacing w:after="120" w:line="276" w:lineRule="auto"/>
              <w:jc w:val="both"/>
              <w:rPr>
                <w:rFonts w:ascii="Cambria" w:hAnsi="Cambria"/>
                <w:bCs/>
                <w:iCs/>
                <w:sz w:val="20"/>
                <w:szCs w:val="20"/>
              </w:rPr>
            </w:pPr>
            <w:r w:rsidRPr="00EA70B1">
              <w:rPr>
                <w:rFonts w:ascii="Cambria" w:hAnsi="Cambria"/>
                <w:bCs/>
                <w:iCs/>
                <w:sz w:val="20"/>
                <w:szCs w:val="20"/>
              </w:rPr>
              <w:t xml:space="preserve">The risk of adding an additional narrative explanation in the performance section concerning inflation does not compensate the disadvantages of estimating inflation: the PEPP Regulation already requires an enormous amount of legal and technical information to be disclosed in the PEPP KID and BS, which have transformed it into a 5-page document. </w:t>
            </w:r>
          </w:p>
          <w:p w14:paraId="5A489C84" w14:textId="77777777" w:rsidR="00EA70B1" w:rsidRPr="00EA70B1" w:rsidRDefault="00EA70B1" w:rsidP="00EA70B1">
            <w:pPr>
              <w:spacing w:after="60" w:line="276" w:lineRule="auto"/>
              <w:jc w:val="both"/>
              <w:rPr>
                <w:rFonts w:ascii="Cambria" w:hAnsi="Cambria"/>
                <w:bCs/>
                <w:iCs/>
                <w:sz w:val="20"/>
                <w:szCs w:val="20"/>
              </w:rPr>
            </w:pPr>
            <w:r w:rsidRPr="00EA70B1">
              <w:rPr>
                <w:rFonts w:ascii="Cambria" w:hAnsi="Cambria"/>
                <w:bCs/>
                <w:iCs/>
                <w:sz w:val="20"/>
                <w:szCs w:val="20"/>
              </w:rPr>
              <w:t>This information overload will only demotivate the PEPP saver to consult and attempt to understand the KID, making the very purpose of such a document moot. Therefore, any further explanations on inflation should be removed.</w:t>
            </w:r>
          </w:p>
          <w:p w14:paraId="2EA958BC" w14:textId="77777777" w:rsidR="00EA70B1" w:rsidRPr="00EA70B1" w:rsidRDefault="00EA70B1" w:rsidP="00EA70B1">
            <w:pPr>
              <w:spacing w:after="60" w:line="276" w:lineRule="auto"/>
              <w:jc w:val="both"/>
              <w:rPr>
                <w:rFonts w:ascii="Cambria" w:hAnsi="Cambria"/>
                <w:bCs/>
                <w:i/>
                <w:color w:val="0070C0"/>
                <w:sz w:val="20"/>
                <w:szCs w:val="20"/>
              </w:rPr>
            </w:pPr>
            <w:r w:rsidRPr="00EA70B1">
              <w:rPr>
                <w:rFonts w:ascii="Cambria" w:hAnsi="Cambria"/>
                <w:bCs/>
                <w:i/>
                <w:color w:val="0070C0"/>
                <w:sz w:val="20"/>
                <w:szCs w:val="20"/>
              </w:rPr>
              <w:t>Pension projections</w:t>
            </w:r>
          </w:p>
          <w:p w14:paraId="31BDE38A" w14:textId="77777777" w:rsidR="00EA70B1" w:rsidRPr="00EA70B1" w:rsidRDefault="00EA70B1" w:rsidP="00EA70B1">
            <w:pPr>
              <w:spacing w:after="60"/>
              <w:jc w:val="both"/>
              <w:rPr>
                <w:rFonts w:ascii="Cambria" w:hAnsi="Cambria"/>
                <w:sz w:val="20"/>
                <w:szCs w:val="20"/>
              </w:rPr>
            </w:pPr>
            <w:r w:rsidRPr="00EA70B1">
              <w:rPr>
                <w:rFonts w:ascii="Cambria" w:hAnsi="Cambria"/>
                <w:bCs/>
                <w:iCs/>
                <w:color w:val="000000" w:themeColor="text1"/>
                <w:sz w:val="20"/>
                <w:szCs w:val="20"/>
              </w:rPr>
              <w:t>To begin with, pension projections must be inflation adjusted to show the PEPP saver his actual purchasing power at retirement. Moreover, t</w:t>
            </w:r>
            <w:r w:rsidRPr="00EA70B1">
              <w:rPr>
                <w:rFonts w:ascii="Cambria" w:hAnsi="Cambria"/>
                <w:sz w:val="20"/>
                <w:szCs w:val="20"/>
              </w:rPr>
              <w:t>he “money illusion”</w:t>
            </w:r>
            <w:r w:rsidRPr="00EA70B1">
              <w:rPr>
                <w:rStyle w:val="FootnoteReference"/>
                <w:rFonts w:ascii="Cambria" w:hAnsi="Cambria"/>
                <w:sz w:val="20"/>
                <w:szCs w:val="20"/>
              </w:rPr>
              <w:footnoteReference w:id="14"/>
            </w:r>
            <w:r w:rsidRPr="00EA70B1">
              <w:rPr>
                <w:rFonts w:ascii="Cambria" w:hAnsi="Cambria"/>
                <w:sz w:val="20"/>
                <w:szCs w:val="20"/>
              </w:rPr>
              <w:t xml:space="preserve"> is still not accounted for by many savers. Planning for old age implies a long-term investment horizon, most often of 40 years, in which the effect of inflation can have a significant negative impact on the </w:t>
            </w:r>
            <w:r w:rsidRPr="00EA70B1">
              <w:rPr>
                <w:rFonts w:ascii="Cambria" w:hAnsi="Cambria"/>
                <w:i/>
                <w:iCs/>
                <w:sz w:val="20"/>
                <w:szCs w:val="20"/>
                <w:u w:val="single"/>
              </w:rPr>
              <w:t>real value</w:t>
            </w:r>
            <w:r w:rsidRPr="00EA70B1">
              <w:rPr>
                <w:rFonts w:ascii="Cambria" w:hAnsi="Cambria"/>
                <w:sz w:val="20"/>
                <w:szCs w:val="20"/>
              </w:rPr>
              <w:t xml:space="preserve"> of savings. Assuming a modest average inflation rate of 2%,</w:t>
            </w:r>
            <w:r w:rsidRPr="00EA70B1">
              <w:rPr>
                <w:rStyle w:val="FootnoteReference"/>
                <w:rFonts w:ascii="Cambria" w:hAnsi="Cambria"/>
                <w:sz w:val="20"/>
                <w:szCs w:val="20"/>
              </w:rPr>
              <w:footnoteReference w:id="15"/>
            </w:r>
            <w:r w:rsidRPr="00EA70B1">
              <w:rPr>
                <w:rFonts w:ascii="Cambria" w:hAnsi="Cambria"/>
                <w:sz w:val="20"/>
                <w:szCs w:val="20"/>
              </w:rPr>
              <w:t xml:space="preserve"> </w:t>
            </w:r>
            <w:r w:rsidRPr="00EA70B1">
              <w:rPr>
                <w:rFonts w:ascii="Cambria" w:hAnsi="Cambria"/>
                <w:sz w:val="20"/>
                <w:szCs w:val="20"/>
              </w:rPr>
              <w:lastRenderedPageBreak/>
              <w:t xml:space="preserve">the cumulative effect in four decades will decrease the present value of savings by more than a half (56%). </w:t>
            </w:r>
          </w:p>
          <w:p w14:paraId="5CCEE44C" w14:textId="26D5E744" w:rsidR="00EA70B1" w:rsidRPr="00EA70B1" w:rsidRDefault="00EA70B1" w:rsidP="00EA70B1">
            <w:pPr>
              <w:jc w:val="both"/>
              <w:rPr>
                <w:rFonts w:ascii="Cambria" w:hAnsi="Cambria"/>
                <w:sz w:val="20"/>
                <w:szCs w:val="20"/>
              </w:rPr>
            </w:pPr>
            <w:r w:rsidRPr="00EA70B1">
              <w:rPr>
                <w:noProof/>
                <w:sz w:val="20"/>
                <w:szCs w:val="20"/>
              </w:rPr>
              <w:drawing>
                <wp:inline distT="0" distB="0" distL="0" distR="0" wp14:anchorId="68A278AD" wp14:editId="223C5C83">
                  <wp:extent cx="3975100" cy="1898650"/>
                  <wp:effectExtent l="0" t="0" r="0" b="0"/>
                  <wp:docPr id="5" name="Chart 5">
                    <a:extLst xmlns:a="http://schemas.openxmlformats.org/drawingml/2006/main">
                      <a:ext uri="{FF2B5EF4-FFF2-40B4-BE49-F238E27FC236}">
                        <a16:creationId xmlns:a16="http://schemas.microsoft.com/office/drawing/2014/main" id="{AA1F45C4-9314-4AE6-B4DF-5833C7B9A7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819162C" w14:textId="77777777" w:rsidR="00EA70B1" w:rsidRPr="00EA70B1" w:rsidRDefault="00EA70B1" w:rsidP="00EA70B1">
            <w:pPr>
              <w:spacing w:after="120"/>
              <w:jc w:val="both"/>
              <w:rPr>
                <w:rFonts w:ascii="Cambria" w:hAnsi="Cambria"/>
                <w:sz w:val="18"/>
                <w:szCs w:val="18"/>
              </w:rPr>
            </w:pPr>
            <w:r w:rsidRPr="00EA70B1">
              <w:rPr>
                <w:rFonts w:ascii="Cambria" w:hAnsi="Cambria"/>
                <w:i/>
                <w:iCs/>
                <w:sz w:val="18"/>
                <w:szCs w:val="18"/>
                <w:u w:val="single"/>
              </w:rPr>
              <w:t>Source</w:t>
            </w:r>
            <w:r w:rsidRPr="00EA70B1">
              <w:rPr>
                <w:rFonts w:ascii="Cambria" w:hAnsi="Cambria"/>
                <w:sz w:val="18"/>
                <w:szCs w:val="18"/>
              </w:rPr>
              <w:t>: BETTER FINANCE Position Paper on PEPP</w:t>
            </w:r>
          </w:p>
          <w:p w14:paraId="4574524D" w14:textId="77777777" w:rsidR="00EA70B1" w:rsidRPr="00EA70B1" w:rsidRDefault="00EA70B1" w:rsidP="00EA70B1">
            <w:pPr>
              <w:spacing w:after="120"/>
              <w:jc w:val="both"/>
              <w:rPr>
                <w:rFonts w:ascii="Cambria" w:hAnsi="Cambria"/>
                <w:sz w:val="20"/>
                <w:szCs w:val="20"/>
              </w:rPr>
            </w:pPr>
            <w:r w:rsidRPr="00EA70B1">
              <w:rPr>
                <w:rFonts w:ascii="Cambria" w:hAnsi="Cambria"/>
                <w:sz w:val="20"/>
                <w:szCs w:val="20"/>
              </w:rPr>
              <w:t>Therefore, protecting against inflation is crucial for any retirement planning - inflation-protection is an essential feature of any retirement planning and pension systems. In addition, to this pension projections should also be displayed in net terms, i.e. after deduction of all fees and charges.</w:t>
            </w:r>
          </w:p>
          <w:p w14:paraId="1A863648" w14:textId="77777777" w:rsidR="00EA70B1" w:rsidRPr="00EA70B1" w:rsidRDefault="00EA70B1" w:rsidP="00EA70B1">
            <w:pPr>
              <w:spacing w:after="120"/>
              <w:jc w:val="both"/>
              <w:rPr>
                <w:rFonts w:ascii="Cambria" w:hAnsi="Cambria"/>
                <w:sz w:val="20"/>
                <w:szCs w:val="20"/>
              </w:rPr>
            </w:pPr>
            <w:r w:rsidRPr="00EA70B1">
              <w:rPr>
                <w:rFonts w:ascii="Cambria" w:hAnsi="Cambria"/>
                <w:sz w:val="20"/>
                <w:szCs w:val="20"/>
              </w:rPr>
              <w:t>In relation to future performance scenarios, BETTER FINANCE’s proposal is to not further confuse the saver and provide him with accurate, reliable data. Therefore, we advise EIOPA to require publication of simple illustrative scenarios that would make the PEPP saver aware of what he or she could expect during different types of market evolutions – “good weather” (bull markets or upturns), “bad weather” (bear markets or downturns) and “extreme weather” (stress scenario).</w:t>
            </w:r>
          </w:p>
          <w:p w14:paraId="29DD279F" w14:textId="77777777" w:rsidR="00EA70B1" w:rsidRPr="00EA70B1" w:rsidRDefault="00EA70B1" w:rsidP="00EA70B1">
            <w:pPr>
              <w:spacing w:after="120"/>
              <w:jc w:val="both"/>
              <w:rPr>
                <w:rFonts w:ascii="Cambria" w:hAnsi="Cambria"/>
                <w:sz w:val="20"/>
                <w:szCs w:val="20"/>
              </w:rPr>
            </w:pPr>
            <w:r w:rsidRPr="00EA70B1">
              <w:rPr>
                <w:rFonts w:ascii="Cambria" w:hAnsi="Cambria"/>
                <w:sz w:val="20"/>
                <w:szCs w:val="20"/>
              </w:rPr>
              <w:t xml:space="preserve">However, if EIOPA would still choose to present the improbable and highly misleading future performance estimations, BETTER FINANCE suggests to use the moving-block bootstrap method of simulating future pension </w:t>
            </w:r>
            <w:r w:rsidRPr="00EA70B1">
              <w:rPr>
                <w:rFonts w:ascii="Cambria" w:hAnsi="Cambria"/>
                <w:sz w:val="20"/>
                <w:szCs w:val="20"/>
              </w:rPr>
              <w:lastRenderedPageBreak/>
              <w:t>outcomes. The details of this methodology are laid down in the Technical Working Paper on PEPP (1/2020).</w:t>
            </w:r>
            <w:r w:rsidRPr="00EA70B1">
              <w:rPr>
                <w:rStyle w:val="FootnoteReference"/>
                <w:rFonts w:ascii="Cambria" w:hAnsi="Cambria"/>
                <w:sz w:val="20"/>
                <w:szCs w:val="20"/>
              </w:rPr>
              <w:footnoteReference w:id="16"/>
            </w:r>
          </w:p>
          <w:p w14:paraId="703A2D04" w14:textId="66191237" w:rsidR="00141A4E" w:rsidRPr="00EA70B1" w:rsidRDefault="00141A4E" w:rsidP="00141A4E">
            <w:pPr>
              <w:jc w:val="both"/>
              <w:rPr>
                <w:rFonts w:ascii="Verdana" w:hAnsi="Verdana"/>
                <w:bCs/>
                <w:sz w:val="20"/>
                <w:szCs w:val="20"/>
              </w:rPr>
            </w:pPr>
          </w:p>
        </w:tc>
        <w:tc>
          <w:tcPr>
            <w:tcW w:w="3739" w:type="dxa"/>
          </w:tcPr>
          <w:p w14:paraId="02DDF68E" w14:textId="0CE91D63" w:rsidR="00141A4E" w:rsidRDefault="00141A4E" w:rsidP="00141A4E">
            <w:pPr>
              <w:spacing w:before="120"/>
              <w:rPr>
                <w:rFonts w:ascii="Verdana" w:hAnsi="Verdana"/>
                <w:bCs/>
                <w:sz w:val="20"/>
                <w:szCs w:val="20"/>
              </w:rPr>
            </w:pPr>
          </w:p>
        </w:tc>
      </w:tr>
      <w:tr w:rsidR="00C26AE2" w:rsidRPr="00544A26" w14:paraId="0F8F1909" w14:textId="77777777" w:rsidTr="00AD328A">
        <w:tblPrEx>
          <w:tblLook w:val="00A0" w:firstRow="1" w:lastRow="0" w:firstColumn="1" w:lastColumn="0" w:noHBand="0" w:noVBand="0"/>
        </w:tblPrEx>
        <w:trPr>
          <w:trHeight w:val="432"/>
        </w:trPr>
        <w:tc>
          <w:tcPr>
            <w:tcW w:w="947" w:type="dxa"/>
          </w:tcPr>
          <w:p w14:paraId="5619B8F6" w14:textId="77777777" w:rsidR="00141A4E" w:rsidRPr="00E51970" w:rsidRDefault="00141A4E" w:rsidP="00141A4E">
            <w:pPr>
              <w:numPr>
                <w:ilvl w:val="0"/>
                <w:numId w:val="6"/>
              </w:numPr>
              <w:spacing w:before="120"/>
              <w:jc w:val="both"/>
              <w:rPr>
                <w:rFonts w:ascii="Verdana" w:hAnsi="Verdana"/>
                <w:b/>
                <w:bCs/>
                <w:sz w:val="20"/>
                <w:szCs w:val="20"/>
              </w:rPr>
            </w:pPr>
          </w:p>
        </w:tc>
        <w:tc>
          <w:tcPr>
            <w:tcW w:w="1302" w:type="dxa"/>
            <w:gridSpan w:val="2"/>
            <w:tcBorders>
              <w:top w:val="single" w:sz="4" w:space="0" w:color="auto"/>
              <w:left w:val="single" w:sz="4" w:space="0" w:color="auto"/>
              <w:bottom w:val="single" w:sz="4" w:space="0" w:color="auto"/>
              <w:right w:val="single" w:sz="4" w:space="0" w:color="auto"/>
            </w:tcBorders>
          </w:tcPr>
          <w:p w14:paraId="48A68386" w14:textId="77777777" w:rsidR="00BC71BB" w:rsidRDefault="00BC71BB" w:rsidP="00BC71BB">
            <w:pPr>
              <w:spacing w:before="120"/>
              <w:rPr>
                <w:rFonts w:ascii="Verdana" w:hAnsi="Verdana"/>
                <w:bCs/>
                <w:sz w:val="20"/>
                <w:szCs w:val="20"/>
              </w:rPr>
            </w:pPr>
            <w:r>
              <w:rPr>
                <w:rFonts w:ascii="Verdana" w:hAnsi="Verdana"/>
                <w:bCs/>
                <w:sz w:val="20"/>
                <w:szCs w:val="20"/>
              </w:rPr>
              <w:t>BETTER FINANCE</w:t>
            </w:r>
          </w:p>
          <w:p w14:paraId="33D986E4" w14:textId="37108CDD" w:rsidR="00141A4E" w:rsidRDefault="00BC71BB" w:rsidP="00BC71BB">
            <w:pPr>
              <w:spacing w:before="120"/>
              <w:rPr>
                <w:rFonts w:ascii="Verdana" w:hAnsi="Verdana"/>
                <w:bCs/>
                <w:sz w:val="20"/>
                <w:szCs w:val="20"/>
              </w:rPr>
            </w:pPr>
            <w:r>
              <w:rPr>
                <w:rFonts w:ascii="Verdana" w:hAnsi="Verdana"/>
                <w:bCs/>
                <w:sz w:val="20"/>
                <w:szCs w:val="20"/>
              </w:rPr>
              <w:t>Belgium</w:t>
            </w:r>
          </w:p>
        </w:tc>
        <w:tc>
          <w:tcPr>
            <w:tcW w:w="3275" w:type="dxa"/>
            <w:tcBorders>
              <w:top w:val="single" w:sz="4" w:space="0" w:color="auto"/>
              <w:left w:val="single" w:sz="4" w:space="0" w:color="auto"/>
              <w:bottom w:val="single" w:sz="4" w:space="0" w:color="auto"/>
              <w:right w:val="single" w:sz="4" w:space="0" w:color="auto"/>
            </w:tcBorders>
          </w:tcPr>
          <w:p w14:paraId="307EC93B" w14:textId="77777777" w:rsidR="00E360BA" w:rsidRPr="00E360BA" w:rsidRDefault="00E360BA" w:rsidP="00E360BA">
            <w:pPr>
              <w:spacing w:before="120"/>
              <w:rPr>
                <w:rFonts w:ascii="Verdana" w:hAnsi="Verdana"/>
                <w:bCs/>
                <w:sz w:val="20"/>
                <w:szCs w:val="20"/>
              </w:rPr>
            </w:pPr>
            <w:r w:rsidRPr="00E360BA">
              <w:rPr>
                <w:rFonts w:ascii="Verdana" w:hAnsi="Verdana"/>
                <w:bCs/>
                <w:sz w:val="20"/>
                <w:szCs w:val="20"/>
              </w:rPr>
              <w:t>Q5. Do you agree that PEPP’s product supervision requires one set of relevant information to carry out the duties of home and host supervisors as well as of EIOPA?</w:t>
            </w:r>
          </w:p>
          <w:p w14:paraId="3B18AFBF" w14:textId="2559C833" w:rsidR="00141A4E" w:rsidRDefault="00141A4E" w:rsidP="00141A4E">
            <w:pPr>
              <w:spacing w:before="120"/>
              <w:rPr>
                <w:rFonts w:ascii="Verdana" w:hAnsi="Verdana"/>
                <w:bCs/>
                <w:sz w:val="20"/>
                <w:szCs w:val="20"/>
              </w:rPr>
            </w:pPr>
          </w:p>
        </w:tc>
        <w:tc>
          <w:tcPr>
            <w:tcW w:w="5294" w:type="dxa"/>
            <w:tcBorders>
              <w:top w:val="single" w:sz="4" w:space="0" w:color="auto"/>
              <w:left w:val="single" w:sz="4" w:space="0" w:color="auto"/>
              <w:bottom w:val="single" w:sz="4" w:space="0" w:color="auto"/>
              <w:right w:val="single" w:sz="4" w:space="0" w:color="auto"/>
            </w:tcBorders>
          </w:tcPr>
          <w:p w14:paraId="1F79D24D" w14:textId="77777777" w:rsidR="007D7219" w:rsidRPr="007D7219" w:rsidRDefault="007D7219" w:rsidP="007D7219">
            <w:pPr>
              <w:spacing w:line="276" w:lineRule="auto"/>
              <w:jc w:val="both"/>
              <w:rPr>
                <w:rFonts w:ascii="Cambria" w:hAnsi="Cambria"/>
                <w:sz w:val="20"/>
                <w:szCs w:val="20"/>
                <w:lang w:eastAsia="en-US"/>
              </w:rPr>
            </w:pPr>
            <w:r w:rsidRPr="007D7219">
              <w:rPr>
                <w:rFonts w:ascii="Cambria" w:hAnsi="Cambria"/>
                <w:sz w:val="20"/>
                <w:szCs w:val="20"/>
              </w:rPr>
              <w:t xml:space="preserve">BETTER FINANCE agrees with EIOPA’s proposal to require one harmonised set of information to be reported and supervised on by national competent authorities and EIOPA as well. Considering the 1% fee cap for the basic PEPP, which is mandatorily subjected to investment advice, PEPP providers will naturally try to incentivise advisers or savers (through marketing communication) to sell the alternative investment options, which may not always be the most suitable choice for pension savers. </w:t>
            </w:r>
          </w:p>
          <w:p w14:paraId="1F859576" w14:textId="77777777" w:rsidR="007D7219" w:rsidRPr="007D7219" w:rsidRDefault="007D7219" w:rsidP="007D7219">
            <w:pPr>
              <w:spacing w:line="276" w:lineRule="auto"/>
              <w:jc w:val="both"/>
              <w:rPr>
                <w:rFonts w:ascii="Cambria" w:hAnsi="Cambria"/>
                <w:sz w:val="20"/>
                <w:szCs w:val="20"/>
              </w:rPr>
            </w:pPr>
            <w:r w:rsidRPr="007D7219">
              <w:rPr>
                <w:rFonts w:ascii="Cambria" w:hAnsi="Cambria"/>
                <w:sz w:val="20"/>
                <w:szCs w:val="20"/>
              </w:rPr>
              <w:t>Therefore, BETTER FINANCE believes that EIOPA should include in this set of relevant information also data from distributors or advisers of PEPPs how many times the basic PEPP has been advised to the total number of clients for a certain PEPP and the same information but aggregated at product manufacturer level.</w:t>
            </w:r>
          </w:p>
          <w:p w14:paraId="3D1B00D6" w14:textId="614B6B21" w:rsidR="00141A4E" w:rsidRPr="007D7219" w:rsidRDefault="00141A4E" w:rsidP="00141A4E">
            <w:pPr>
              <w:jc w:val="both"/>
              <w:rPr>
                <w:rFonts w:ascii="Verdana" w:hAnsi="Verdana"/>
                <w:bCs/>
                <w:sz w:val="20"/>
                <w:szCs w:val="20"/>
              </w:rPr>
            </w:pPr>
          </w:p>
        </w:tc>
        <w:tc>
          <w:tcPr>
            <w:tcW w:w="3739" w:type="dxa"/>
          </w:tcPr>
          <w:p w14:paraId="4FFBF266" w14:textId="77777777" w:rsidR="00141A4E" w:rsidRDefault="00141A4E" w:rsidP="00141A4E">
            <w:pPr>
              <w:spacing w:before="120"/>
              <w:rPr>
                <w:rFonts w:ascii="Verdana" w:hAnsi="Verdana"/>
                <w:bCs/>
                <w:sz w:val="20"/>
                <w:szCs w:val="20"/>
              </w:rPr>
            </w:pPr>
          </w:p>
        </w:tc>
      </w:tr>
      <w:tr w:rsidR="00C26AE2" w:rsidRPr="00544A26" w14:paraId="13EBC628" w14:textId="77777777" w:rsidTr="00AD328A">
        <w:tblPrEx>
          <w:tblLook w:val="00A0" w:firstRow="1" w:lastRow="0" w:firstColumn="1" w:lastColumn="0" w:noHBand="0" w:noVBand="0"/>
        </w:tblPrEx>
        <w:trPr>
          <w:trHeight w:val="432"/>
        </w:trPr>
        <w:tc>
          <w:tcPr>
            <w:tcW w:w="947" w:type="dxa"/>
          </w:tcPr>
          <w:p w14:paraId="1239EF82" w14:textId="77777777" w:rsidR="005A05A0" w:rsidRPr="00E51970" w:rsidRDefault="005A05A0" w:rsidP="005A05A0">
            <w:pPr>
              <w:numPr>
                <w:ilvl w:val="0"/>
                <w:numId w:val="6"/>
              </w:numPr>
              <w:spacing w:before="120"/>
              <w:jc w:val="both"/>
              <w:rPr>
                <w:rFonts w:ascii="Verdana" w:hAnsi="Verdana"/>
                <w:b/>
                <w:bCs/>
                <w:sz w:val="20"/>
                <w:szCs w:val="20"/>
              </w:rPr>
            </w:pPr>
          </w:p>
        </w:tc>
        <w:tc>
          <w:tcPr>
            <w:tcW w:w="1302" w:type="dxa"/>
            <w:gridSpan w:val="2"/>
            <w:tcBorders>
              <w:top w:val="single" w:sz="4" w:space="0" w:color="auto"/>
              <w:left w:val="single" w:sz="4" w:space="0" w:color="auto"/>
              <w:bottom w:val="single" w:sz="4" w:space="0" w:color="auto"/>
              <w:right w:val="single" w:sz="4" w:space="0" w:color="auto"/>
            </w:tcBorders>
          </w:tcPr>
          <w:p w14:paraId="10F8C451" w14:textId="77777777" w:rsidR="00BC71BB" w:rsidRDefault="00BC71BB" w:rsidP="00BC71BB">
            <w:pPr>
              <w:spacing w:before="120"/>
              <w:rPr>
                <w:rFonts w:ascii="Verdana" w:hAnsi="Verdana"/>
                <w:bCs/>
                <w:sz w:val="20"/>
                <w:szCs w:val="20"/>
              </w:rPr>
            </w:pPr>
            <w:r>
              <w:rPr>
                <w:rFonts w:ascii="Verdana" w:hAnsi="Verdana"/>
                <w:bCs/>
                <w:sz w:val="20"/>
                <w:szCs w:val="20"/>
              </w:rPr>
              <w:t>BETTER FINANCE</w:t>
            </w:r>
          </w:p>
          <w:p w14:paraId="53A612DC" w14:textId="32901C96" w:rsidR="005A05A0" w:rsidRDefault="00BC71BB" w:rsidP="00BC71BB">
            <w:pPr>
              <w:spacing w:before="120"/>
              <w:rPr>
                <w:rFonts w:ascii="Verdana" w:hAnsi="Verdana"/>
                <w:bCs/>
                <w:color w:val="000000"/>
                <w:sz w:val="20"/>
                <w:szCs w:val="20"/>
              </w:rPr>
            </w:pPr>
            <w:r>
              <w:rPr>
                <w:rFonts w:ascii="Verdana" w:hAnsi="Verdana"/>
                <w:bCs/>
                <w:sz w:val="20"/>
                <w:szCs w:val="20"/>
              </w:rPr>
              <w:t>Belgium</w:t>
            </w:r>
          </w:p>
        </w:tc>
        <w:tc>
          <w:tcPr>
            <w:tcW w:w="3275" w:type="dxa"/>
            <w:tcBorders>
              <w:top w:val="single" w:sz="4" w:space="0" w:color="auto"/>
              <w:left w:val="single" w:sz="4" w:space="0" w:color="auto"/>
              <w:bottom w:val="single" w:sz="4" w:space="0" w:color="auto"/>
              <w:right w:val="single" w:sz="4" w:space="0" w:color="auto"/>
            </w:tcBorders>
          </w:tcPr>
          <w:p w14:paraId="5FE85DCA" w14:textId="77777777" w:rsidR="00E360BA" w:rsidRPr="00E360BA" w:rsidRDefault="00E360BA" w:rsidP="00E360BA">
            <w:pPr>
              <w:spacing w:before="120"/>
              <w:rPr>
                <w:rFonts w:ascii="Verdana" w:hAnsi="Verdana"/>
                <w:bCs/>
                <w:sz w:val="20"/>
                <w:szCs w:val="20"/>
              </w:rPr>
            </w:pPr>
            <w:r w:rsidRPr="00E360BA">
              <w:rPr>
                <w:rFonts w:ascii="Verdana" w:hAnsi="Verdana"/>
                <w:bCs/>
                <w:sz w:val="20"/>
                <w:szCs w:val="20"/>
              </w:rPr>
              <w:t>Q6. Do you agree with the ‘all inclusive’ approach to the Basic PEPP’s cost cap? Do you agree that the capital guarantee is a distinct feature, which costs should not be included?</w:t>
            </w:r>
          </w:p>
          <w:p w14:paraId="252E6A73" w14:textId="67FA0139" w:rsidR="005A05A0" w:rsidRDefault="005A05A0" w:rsidP="005A05A0">
            <w:pPr>
              <w:spacing w:before="120"/>
              <w:rPr>
                <w:rFonts w:ascii="Verdana" w:hAnsi="Verdana"/>
                <w:bCs/>
                <w:sz w:val="20"/>
                <w:szCs w:val="20"/>
              </w:rPr>
            </w:pPr>
          </w:p>
        </w:tc>
        <w:tc>
          <w:tcPr>
            <w:tcW w:w="5294" w:type="dxa"/>
            <w:tcBorders>
              <w:top w:val="single" w:sz="4" w:space="0" w:color="auto"/>
              <w:left w:val="single" w:sz="4" w:space="0" w:color="auto"/>
              <w:bottom w:val="single" w:sz="4" w:space="0" w:color="auto"/>
              <w:right w:val="single" w:sz="4" w:space="0" w:color="auto"/>
            </w:tcBorders>
          </w:tcPr>
          <w:p w14:paraId="29CB8274" w14:textId="77777777" w:rsidR="00C26AE2" w:rsidRPr="00C26AE2" w:rsidRDefault="00C26AE2" w:rsidP="00C26AE2">
            <w:pPr>
              <w:pStyle w:val="Heading2"/>
              <w:spacing w:before="0" w:after="120" w:line="276" w:lineRule="auto"/>
              <w:rPr>
                <w:rFonts w:ascii="Cambria" w:hAnsi="Cambria"/>
                <w:color w:val="0070C0"/>
                <w:sz w:val="20"/>
                <w:szCs w:val="20"/>
                <w:lang w:eastAsia="en-US"/>
              </w:rPr>
            </w:pPr>
            <w:bookmarkStart w:id="3" w:name="_Toc33566154"/>
            <w:r w:rsidRPr="00C26AE2">
              <w:rPr>
                <w:rFonts w:ascii="Cambria" w:hAnsi="Cambria"/>
                <w:i w:val="0"/>
                <w:iCs w:val="0"/>
                <w:color w:val="0070C0"/>
                <w:sz w:val="20"/>
                <w:szCs w:val="20"/>
              </w:rPr>
              <w:t>All-inclusive approach - justification</w:t>
            </w:r>
            <w:bookmarkEnd w:id="3"/>
          </w:p>
          <w:p w14:paraId="7F586052" w14:textId="77777777" w:rsidR="00C26AE2" w:rsidRPr="00C26AE2" w:rsidRDefault="00C26AE2" w:rsidP="008977E1">
            <w:pPr>
              <w:spacing w:after="120" w:line="276" w:lineRule="auto"/>
              <w:jc w:val="both"/>
              <w:rPr>
                <w:rFonts w:ascii="Cambria" w:hAnsi="Cambria"/>
                <w:sz w:val="20"/>
                <w:szCs w:val="20"/>
              </w:rPr>
            </w:pPr>
            <w:r w:rsidRPr="00C26AE2">
              <w:rPr>
                <w:rFonts w:ascii="Cambria" w:hAnsi="Cambria"/>
                <w:sz w:val="20"/>
                <w:szCs w:val="20"/>
              </w:rPr>
              <w:t>To begin with, we believe that the PEPP Regulation is clear and straightforward in prescribing an “all-inclusive” fee cap of 1% of the assets under management (AuM):</w:t>
            </w:r>
            <w:r w:rsidRPr="00C26AE2">
              <w:rPr>
                <w:rStyle w:val="FootnoteReference"/>
                <w:rFonts w:ascii="Cambria" w:hAnsi="Cambria"/>
                <w:sz w:val="20"/>
                <w:szCs w:val="20"/>
              </w:rPr>
              <w:footnoteReference w:id="17"/>
            </w:r>
          </w:p>
          <w:p w14:paraId="7C74353A" w14:textId="77777777" w:rsidR="00C26AE2" w:rsidRPr="00C26AE2" w:rsidRDefault="00C26AE2" w:rsidP="00C26AE2">
            <w:pPr>
              <w:spacing w:after="120" w:line="276" w:lineRule="auto"/>
              <w:ind w:left="567" w:right="567"/>
              <w:rPr>
                <w:rFonts w:ascii="Cambria" w:hAnsi="Cambria"/>
                <w:sz w:val="20"/>
                <w:szCs w:val="20"/>
              </w:rPr>
            </w:pPr>
            <w:r w:rsidRPr="00C26AE2">
              <w:rPr>
                <w:rFonts w:ascii="Cambria" w:hAnsi="Cambria"/>
                <w:sz w:val="20"/>
                <w:szCs w:val="20"/>
              </w:rPr>
              <w:t>“</w:t>
            </w:r>
            <w:r w:rsidRPr="00C26AE2">
              <w:rPr>
                <w:rFonts w:ascii="Cambria" w:hAnsi="Cambria"/>
                <w:i/>
                <w:iCs/>
                <w:sz w:val="20"/>
                <w:szCs w:val="20"/>
                <w:highlight w:val="lightGray"/>
              </w:rPr>
              <w:t>the costs and fees for the basic PEPP shall not exceed 1 % of the accumulated capital per year</w:t>
            </w:r>
            <w:r w:rsidRPr="00C26AE2">
              <w:rPr>
                <w:rFonts w:ascii="Cambria" w:hAnsi="Cambria"/>
                <w:sz w:val="20"/>
                <w:szCs w:val="20"/>
              </w:rPr>
              <w:t>”</w:t>
            </w:r>
          </w:p>
          <w:p w14:paraId="112AF3A0" w14:textId="77777777" w:rsidR="00C26AE2" w:rsidRPr="00C26AE2" w:rsidRDefault="00C26AE2" w:rsidP="00C26AE2">
            <w:pPr>
              <w:spacing w:after="120" w:line="276" w:lineRule="auto"/>
              <w:jc w:val="both"/>
              <w:rPr>
                <w:rFonts w:ascii="Cambria" w:hAnsi="Cambria"/>
                <w:sz w:val="20"/>
                <w:szCs w:val="20"/>
              </w:rPr>
            </w:pPr>
            <w:r w:rsidRPr="00C26AE2">
              <w:rPr>
                <w:rFonts w:ascii="Cambria" w:hAnsi="Cambria"/>
                <w:sz w:val="20"/>
                <w:szCs w:val="20"/>
              </w:rPr>
              <w:t xml:space="preserve">We believe that EIOPA correctly identified the legal basis and put forward the right proposal mentioning: </w:t>
            </w:r>
          </w:p>
          <w:p w14:paraId="37D0F6D9" w14:textId="77777777" w:rsidR="00C26AE2" w:rsidRPr="00C26AE2" w:rsidRDefault="00C26AE2" w:rsidP="00C26AE2">
            <w:pPr>
              <w:spacing w:after="120" w:line="276" w:lineRule="auto"/>
              <w:ind w:left="567" w:right="567"/>
              <w:jc w:val="both"/>
              <w:rPr>
                <w:rFonts w:ascii="Cambria" w:hAnsi="Cambria"/>
                <w:sz w:val="20"/>
                <w:szCs w:val="20"/>
              </w:rPr>
            </w:pPr>
            <w:r w:rsidRPr="00C26AE2">
              <w:rPr>
                <w:rFonts w:ascii="Cambria" w:hAnsi="Cambria"/>
                <w:sz w:val="20"/>
                <w:szCs w:val="20"/>
              </w:rPr>
              <w:lastRenderedPageBreak/>
              <w:t>“</w:t>
            </w:r>
            <w:r w:rsidRPr="00C26AE2">
              <w:rPr>
                <w:rFonts w:ascii="Cambria" w:hAnsi="Cambria"/>
                <w:i/>
                <w:iCs/>
                <w:sz w:val="20"/>
                <w:szCs w:val="20"/>
                <w:highlight w:val="lightGray"/>
              </w:rPr>
              <w:t>it is suggested to follow an ‘all-inclusive’ approach that all direct and indirect, one-off (distribution, including advice) or recurring, costs and fees are included in the cost cap</w:t>
            </w:r>
            <w:r w:rsidRPr="00C26AE2">
              <w:rPr>
                <w:rFonts w:ascii="Cambria" w:hAnsi="Cambria"/>
                <w:sz w:val="20"/>
                <w:szCs w:val="20"/>
              </w:rPr>
              <w:t>”.</w:t>
            </w:r>
            <w:r w:rsidRPr="00C26AE2">
              <w:rPr>
                <w:rStyle w:val="FootnoteReference"/>
                <w:rFonts w:ascii="Cambria" w:hAnsi="Cambria"/>
                <w:sz w:val="20"/>
                <w:szCs w:val="20"/>
              </w:rPr>
              <w:footnoteReference w:id="18"/>
            </w:r>
          </w:p>
          <w:p w14:paraId="669AC5BC" w14:textId="1C8D27AF" w:rsidR="00C26AE2" w:rsidRPr="00C26AE2" w:rsidRDefault="00C26AE2" w:rsidP="00C26AE2">
            <w:pPr>
              <w:spacing w:after="120" w:line="276" w:lineRule="auto"/>
              <w:jc w:val="both"/>
              <w:rPr>
                <w:rFonts w:ascii="Cambria" w:hAnsi="Cambria"/>
                <w:sz w:val="20"/>
                <w:szCs w:val="20"/>
              </w:rPr>
            </w:pPr>
            <w:r w:rsidRPr="00C26AE2">
              <w:rPr>
                <w:rFonts w:ascii="Cambria" w:hAnsi="Cambria"/>
                <w:sz w:val="20"/>
                <w:szCs w:val="20"/>
              </w:rPr>
              <w:t>BETTER FINANCE is aware of EIOPA’s concerns following stakeholders’ input that the 1% limit should not include distribution costs, meaning selling and advice fees, as it is alleged that PEPP manufacturers will not “be able” to provide a PEPP as such.</w:t>
            </w:r>
          </w:p>
          <w:p w14:paraId="5AA0B482" w14:textId="610F91B5" w:rsidR="00C26AE2" w:rsidRPr="00C26AE2" w:rsidRDefault="00C26AE2" w:rsidP="00C26AE2">
            <w:pPr>
              <w:spacing w:after="120" w:line="276" w:lineRule="auto"/>
              <w:jc w:val="both"/>
              <w:rPr>
                <w:rFonts w:ascii="Cambria" w:hAnsi="Cambria"/>
                <w:sz w:val="20"/>
                <w:szCs w:val="20"/>
              </w:rPr>
            </w:pPr>
            <w:r w:rsidRPr="00C26AE2">
              <w:rPr>
                <w:rFonts w:ascii="Cambria" w:hAnsi="Cambria"/>
                <w:sz w:val="20"/>
                <w:szCs w:val="20"/>
              </w:rPr>
              <w:t>We believe that this argument is not</w:t>
            </w:r>
            <w:r w:rsidR="008977E1">
              <w:rPr>
                <w:rFonts w:ascii="Cambria" w:hAnsi="Cambria"/>
                <w:sz w:val="20"/>
                <w:szCs w:val="20"/>
              </w:rPr>
              <w:t xml:space="preserve"> sufficiently</w:t>
            </w:r>
            <w:r w:rsidRPr="00C26AE2">
              <w:rPr>
                <w:rFonts w:ascii="Cambria" w:hAnsi="Cambria"/>
                <w:sz w:val="20"/>
                <w:szCs w:val="20"/>
              </w:rPr>
              <w:t xml:space="preserve"> substantiated </w:t>
            </w:r>
            <w:r w:rsidR="008977E1">
              <w:rPr>
                <w:rFonts w:ascii="Cambria" w:hAnsi="Cambria"/>
                <w:sz w:val="20"/>
                <w:szCs w:val="20"/>
              </w:rPr>
              <w:t xml:space="preserve">and hampers the </w:t>
            </w:r>
            <w:proofErr w:type="spellStart"/>
            <w:r w:rsidR="008977E1">
              <w:rPr>
                <w:rFonts w:ascii="Cambria" w:hAnsi="Cambria"/>
                <w:sz w:val="20"/>
                <w:szCs w:val="20"/>
              </w:rPr>
              <w:t>achiement</w:t>
            </w:r>
            <w:proofErr w:type="spellEnd"/>
            <w:r w:rsidR="008977E1">
              <w:rPr>
                <w:rFonts w:ascii="Cambria" w:hAnsi="Cambria"/>
                <w:sz w:val="20"/>
                <w:szCs w:val="20"/>
              </w:rPr>
              <w:t xml:space="preserve"> of</w:t>
            </w:r>
            <w:r w:rsidRPr="00C26AE2">
              <w:rPr>
                <w:rFonts w:ascii="Cambria" w:hAnsi="Cambria"/>
                <w:sz w:val="20"/>
                <w:szCs w:val="20"/>
              </w:rPr>
              <w:t xml:space="preserve"> better performing pension savings products. </w:t>
            </w:r>
          </w:p>
          <w:p w14:paraId="6239B8B0" w14:textId="77777777" w:rsidR="00C26AE2" w:rsidRPr="00C26AE2" w:rsidRDefault="00C26AE2" w:rsidP="00C26AE2">
            <w:pPr>
              <w:spacing w:after="120" w:line="276" w:lineRule="auto"/>
              <w:jc w:val="both"/>
              <w:rPr>
                <w:rFonts w:ascii="Cambria" w:hAnsi="Cambria"/>
                <w:sz w:val="20"/>
                <w:szCs w:val="20"/>
              </w:rPr>
            </w:pPr>
            <w:r w:rsidRPr="00C26AE2">
              <w:rPr>
                <w:rFonts w:ascii="Cambria" w:hAnsi="Cambria"/>
                <w:sz w:val="20"/>
                <w:szCs w:val="20"/>
              </w:rPr>
              <w:t>To begin with, Recital (55) of the PEPP Regulation clearly explains the purpose of Art. 45(2). Then, it continues justifying the provisions of Art. 45(3):</w:t>
            </w:r>
            <w:r w:rsidRPr="00C26AE2">
              <w:rPr>
                <w:rStyle w:val="FootnoteReference"/>
                <w:rFonts w:ascii="Cambria" w:hAnsi="Cambria"/>
                <w:sz w:val="20"/>
                <w:szCs w:val="20"/>
              </w:rPr>
              <w:footnoteReference w:id="19"/>
            </w:r>
            <w:r w:rsidRPr="00C26AE2">
              <w:rPr>
                <w:rFonts w:ascii="Cambria" w:hAnsi="Cambria"/>
                <w:sz w:val="20"/>
                <w:szCs w:val="20"/>
              </w:rPr>
              <w:t xml:space="preserve"> EIOPA must take into account the relevant cost-factors related to different types of PEPPs (investment, pension funds, unit-linked or insurance-based etc.), their specific features and structure of costs in order to ensure a level-playing field.</w:t>
            </w:r>
          </w:p>
          <w:p w14:paraId="5B6F337E" w14:textId="77777777" w:rsidR="00C26AE2" w:rsidRPr="00C26AE2" w:rsidRDefault="00C26AE2" w:rsidP="00C26AE2">
            <w:pPr>
              <w:spacing w:after="120" w:line="276" w:lineRule="auto"/>
              <w:jc w:val="both"/>
              <w:rPr>
                <w:rFonts w:ascii="Cambria" w:hAnsi="Cambria"/>
                <w:sz w:val="20"/>
                <w:szCs w:val="20"/>
              </w:rPr>
            </w:pPr>
            <w:r w:rsidRPr="00C26AE2">
              <w:rPr>
                <w:rFonts w:ascii="Cambria" w:hAnsi="Cambria"/>
                <w:sz w:val="20"/>
                <w:szCs w:val="20"/>
              </w:rPr>
              <w:t>As such, the PEPP Regulation only considers the costs inherently linked and particular to different types of retirement provision vehicles, not of distribution, which are common for all PEPPs.</w:t>
            </w:r>
          </w:p>
          <w:p w14:paraId="541756C4" w14:textId="77777777" w:rsidR="00C26AE2" w:rsidRPr="00C26AE2" w:rsidRDefault="00C26AE2" w:rsidP="00C26AE2">
            <w:pPr>
              <w:pStyle w:val="Heading2"/>
              <w:spacing w:before="0" w:after="120" w:line="276" w:lineRule="auto"/>
              <w:rPr>
                <w:rFonts w:ascii="Cambria" w:hAnsi="Cambria"/>
                <w:color w:val="0070C0"/>
                <w:sz w:val="20"/>
                <w:szCs w:val="20"/>
              </w:rPr>
            </w:pPr>
            <w:bookmarkStart w:id="4" w:name="_Toc33566155"/>
            <w:r w:rsidRPr="00C26AE2">
              <w:rPr>
                <w:rFonts w:ascii="Cambria" w:hAnsi="Cambria"/>
                <w:i w:val="0"/>
                <w:iCs w:val="0"/>
                <w:color w:val="0070C0"/>
                <w:sz w:val="20"/>
                <w:szCs w:val="20"/>
              </w:rPr>
              <w:t>All-inclusive approach - evidence</w:t>
            </w:r>
            <w:bookmarkEnd w:id="4"/>
          </w:p>
          <w:p w14:paraId="1E688FEC" w14:textId="2BBBB6C9" w:rsidR="00C26AE2" w:rsidRPr="00C26AE2" w:rsidRDefault="00C26AE2" w:rsidP="00C26AE2">
            <w:pPr>
              <w:spacing w:after="120" w:line="276" w:lineRule="auto"/>
              <w:jc w:val="both"/>
              <w:rPr>
                <w:rFonts w:ascii="Cambria" w:hAnsi="Cambria"/>
                <w:sz w:val="20"/>
                <w:szCs w:val="20"/>
              </w:rPr>
            </w:pPr>
            <w:r w:rsidRPr="00C26AE2">
              <w:rPr>
                <w:rFonts w:ascii="Cambria" w:hAnsi="Cambria"/>
                <w:sz w:val="20"/>
                <w:szCs w:val="20"/>
              </w:rPr>
              <w:t>Second, BETTER FINANCE has gathered evidence that many pension plans, both occupational and voluntary</w:t>
            </w:r>
            <w:r w:rsidR="008977E1">
              <w:rPr>
                <w:rFonts w:ascii="Cambria" w:hAnsi="Cambria"/>
                <w:sz w:val="20"/>
                <w:szCs w:val="20"/>
              </w:rPr>
              <w:t xml:space="preserve"> individual</w:t>
            </w:r>
            <w:r w:rsidRPr="00C26AE2">
              <w:rPr>
                <w:rFonts w:ascii="Cambria" w:hAnsi="Cambria"/>
                <w:sz w:val="20"/>
                <w:szCs w:val="20"/>
              </w:rPr>
              <w:t xml:space="preserve">, in EEA Member States do charge annual total costs below the 1% cap </w:t>
            </w:r>
            <w:r w:rsidRPr="00C26AE2">
              <w:rPr>
                <w:rFonts w:ascii="Cambria" w:hAnsi="Cambria"/>
                <w:b/>
                <w:bCs/>
                <w:color w:val="0070C0"/>
                <w:sz w:val="20"/>
                <w:szCs w:val="20"/>
                <w:u w:val="single"/>
              </w:rPr>
              <w:t>including the costs of distribution</w:t>
            </w:r>
            <w:r w:rsidRPr="00C26AE2">
              <w:rPr>
                <w:rFonts w:ascii="Cambria" w:hAnsi="Cambria"/>
                <w:sz w:val="20"/>
                <w:szCs w:val="20"/>
              </w:rPr>
              <w:t xml:space="preserve">. </w:t>
            </w:r>
          </w:p>
          <w:p w14:paraId="2C6607BC" w14:textId="3017AE73" w:rsidR="00C26AE2" w:rsidRPr="00C26AE2" w:rsidRDefault="00C26AE2" w:rsidP="00C26AE2">
            <w:pPr>
              <w:spacing w:after="120" w:line="276" w:lineRule="auto"/>
              <w:jc w:val="both"/>
              <w:rPr>
                <w:rFonts w:ascii="Cambria" w:hAnsi="Cambria"/>
                <w:sz w:val="20"/>
                <w:szCs w:val="20"/>
              </w:rPr>
            </w:pPr>
            <w:r w:rsidRPr="00C26AE2">
              <w:rPr>
                <w:rFonts w:ascii="Cambria" w:hAnsi="Cambria"/>
                <w:sz w:val="20"/>
                <w:szCs w:val="20"/>
              </w:rPr>
              <w:lastRenderedPageBreak/>
              <w:t>To begin with, the OECD Pensions Outlook (2018) shows that an increase of 1% in the cost of the product (from 0.5% to 1.5%) would decrease 25x times the pension “pot” of the saver at retirement (from 1.2% to 30%).</w:t>
            </w:r>
            <w:r w:rsidRPr="00C26AE2">
              <w:rPr>
                <w:rStyle w:val="FootnoteReference"/>
                <w:rFonts w:ascii="Cambria" w:hAnsi="Cambria"/>
                <w:sz w:val="20"/>
                <w:szCs w:val="20"/>
              </w:rPr>
              <w:footnoteReference w:id="20"/>
            </w:r>
            <w:r w:rsidR="00D8798A">
              <w:rPr>
                <w:rFonts w:ascii="Cambria" w:hAnsi="Cambria"/>
                <w:sz w:val="20"/>
                <w:szCs w:val="20"/>
              </w:rPr>
              <w:t xml:space="preserve"> Thus, all the more reason to </w:t>
            </w:r>
            <w:r w:rsidR="00C724FB">
              <w:rPr>
                <w:rFonts w:ascii="Cambria" w:hAnsi="Cambria"/>
                <w:sz w:val="20"/>
                <w:szCs w:val="20"/>
              </w:rPr>
              <w:t>at least attempt in containing the costs for the basic PEPP.</w:t>
            </w:r>
          </w:p>
          <w:p w14:paraId="61437736" w14:textId="35FADECC" w:rsidR="00C26AE2" w:rsidRPr="00C26AE2" w:rsidRDefault="00C26AE2" w:rsidP="00C26AE2">
            <w:pPr>
              <w:spacing w:after="120" w:line="276" w:lineRule="auto"/>
              <w:jc w:val="both"/>
              <w:rPr>
                <w:rFonts w:ascii="Cambria" w:hAnsi="Cambria"/>
                <w:sz w:val="20"/>
                <w:szCs w:val="20"/>
              </w:rPr>
            </w:pPr>
            <w:r w:rsidRPr="00C26AE2">
              <w:rPr>
                <w:rFonts w:ascii="Cambria" w:hAnsi="Cambria"/>
                <w:sz w:val="20"/>
                <w:szCs w:val="20"/>
              </w:rPr>
              <w:t>Moreover, evidence from the Norwegian Consumer Council on a sample of 68 pension funds shows that 70% of the funds charge a fee lower than 1%, with an average at 0.89%, as described in the table below.</w:t>
            </w:r>
          </w:p>
          <w:tbl>
            <w:tblPr>
              <w:tblW w:w="5096" w:type="dxa"/>
              <w:jc w:val="center"/>
              <w:tblLook w:val="04A0" w:firstRow="1" w:lastRow="0" w:firstColumn="1" w:lastColumn="0" w:noHBand="0" w:noVBand="1"/>
            </w:tblPr>
            <w:tblGrid>
              <w:gridCol w:w="1257"/>
              <w:gridCol w:w="1153"/>
              <w:gridCol w:w="1843"/>
              <w:gridCol w:w="843"/>
            </w:tblGrid>
            <w:tr w:rsidR="00C26AE2" w:rsidRPr="00C26AE2" w14:paraId="4062AB79" w14:textId="77777777" w:rsidTr="00C26AE2">
              <w:trPr>
                <w:trHeight w:val="240"/>
                <w:jc w:val="center"/>
              </w:trPr>
              <w:tc>
                <w:tcPr>
                  <w:tcW w:w="1257" w:type="dxa"/>
                  <w:shd w:val="clear" w:color="auto" w:fill="0070C0"/>
                  <w:noWrap/>
                  <w:vAlign w:val="bottom"/>
                  <w:hideMark/>
                </w:tcPr>
                <w:p w14:paraId="74412A21" w14:textId="77777777" w:rsidR="00C26AE2" w:rsidRPr="00C26AE2" w:rsidRDefault="00C26AE2" w:rsidP="00C26AE2">
                  <w:pPr>
                    <w:jc w:val="center"/>
                    <w:rPr>
                      <w:rFonts w:ascii="Cambria" w:hAnsi="Cambria" w:cs="Calibri"/>
                      <w:b/>
                      <w:bCs/>
                      <w:color w:val="FFFFFF"/>
                      <w:sz w:val="20"/>
                      <w:szCs w:val="20"/>
                      <w:lang w:eastAsia="en-GB"/>
                    </w:rPr>
                  </w:pPr>
                  <w:r w:rsidRPr="00C26AE2">
                    <w:rPr>
                      <w:rFonts w:ascii="Cambria" w:hAnsi="Cambria" w:cs="Calibri"/>
                      <w:b/>
                      <w:bCs/>
                      <w:color w:val="FFFFFF"/>
                      <w:sz w:val="20"/>
                      <w:szCs w:val="20"/>
                      <w:lang w:eastAsia="en-GB"/>
                    </w:rPr>
                    <w:t>Percentile</w:t>
                  </w:r>
                </w:p>
              </w:tc>
              <w:tc>
                <w:tcPr>
                  <w:tcW w:w="1153" w:type="dxa"/>
                  <w:shd w:val="clear" w:color="auto" w:fill="0070C0"/>
                  <w:noWrap/>
                  <w:vAlign w:val="bottom"/>
                  <w:hideMark/>
                </w:tcPr>
                <w:p w14:paraId="02FA3A30" w14:textId="77777777" w:rsidR="00C26AE2" w:rsidRPr="00C26AE2" w:rsidRDefault="00C26AE2" w:rsidP="00C26AE2">
                  <w:pPr>
                    <w:jc w:val="center"/>
                    <w:rPr>
                      <w:rFonts w:ascii="Cambria" w:hAnsi="Cambria" w:cs="Calibri"/>
                      <w:b/>
                      <w:bCs/>
                      <w:color w:val="FFFFFF"/>
                      <w:sz w:val="20"/>
                      <w:szCs w:val="20"/>
                      <w:lang w:eastAsia="en-GB"/>
                    </w:rPr>
                  </w:pPr>
                  <w:r w:rsidRPr="00C26AE2">
                    <w:rPr>
                      <w:rFonts w:ascii="Cambria" w:hAnsi="Cambria" w:cs="Calibri"/>
                      <w:b/>
                      <w:bCs/>
                      <w:color w:val="FFFFFF"/>
                      <w:sz w:val="20"/>
                      <w:szCs w:val="20"/>
                      <w:lang w:eastAsia="en-GB"/>
                    </w:rPr>
                    <w:t>Fee level</w:t>
                  </w:r>
                </w:p>
              </w:tc>
              <w:tc>
                <w:tcPr>
                  <w:tcW w:w="2683" w:type="dxa"/>
                  <w:gridSpan w:val="2"/>
                  <w:tcBorders>
                    <w:top w:val="nil"/>
                    <w:left w:val="single" w:sz="4" w:space="0" w:color="auto"/>
                    <w:bottom w:val="nil"/>
                    <w:right w:val="nil"/>
                  </w:tcBorders>
                  <w:shd w:val="clear" w:color="auto" w:fill="0070C0"/>
                  <w:noWrap/>
                  <w:vAlign w:val="bottom"/>
                  <w:hideMark/>
                </w:tcPr>
                <w:p w14:paraId="54970333" w14:textId="77777777" w:rsidR="00C26AE2" w:rsidRPr="00C26AE2" w:rsidRDefault="00C26AE2" w:rsidP="00C26AE2">
                  <w:pPr>
                    <w:jc w:val="center"/>
                    <w:rPr>
                      <w:rFonts w:ascii="Cambria" w:hAnsi="Cambria" w:cs="Calibri"/>
                      <w:b/>
                      <w:bCs/>
                      <w:color w:val="FFFFFF"/>
                      <w:sz w:val="20"/>
                      <w:szCs w:val="20"/>
                      <w:lang w:eastAsia="en-GB"/>
                    </w:rPr>
                  </w:pPr>
                  <w:r w:rsidRPr="00C26AE2">
                    <w:rPr>
                      <w:rFonts w:ascii="Cambria" w:hAnsi="Cambria" w:cs="Calibri"/>
                      <w:b/>
                      <w:bCs/>
                      <w:color w:val="FFFFFF"/>
                      <w:sz w:val="20"/>
                      <w:szCs w:val="20"/>
                      <w:lang w:eastAsia="en-GB"/>
                    </w:rPr>
                    <w:t>Sample characteristics</w:t>
                  </w:r>
                </w:p>
              </w:tc>
            </w:tr>
            <w:tr w:rsidR="00C26AE2" w:rsidRPr="00C26AE2" w14:paraId="22EEA4B6" w14:textId="77777777" w:rsidTr="00C26AE2">
              <w:trPr>
                <w:trHeight w:val="240"/>
                <w:jc w:val="center"/>
              </w:trPr>
              <w:tc>
                <w:tcPr>
                  <w:tcW w:w="1257" w:type="dxa"/>
                  <w:shd w:val="clear" w:color="auto" w:fill="FFFFFF"/>
                  <w:noWrap/>
                  <w:vAlign w:val="bottom"/>
                  <w:hideMark/>
                </w:tcPr>
                <w:p w14:paraId="245919AD" w14:textId="77777777" w:rsidR="00C26AE2" w:rsidRPr="00C26AE2" w:rsidRDefault="00C26AE2" w:rsidP="00C26AE2">
                  <w:pPr>
                    <w:jc w:val="center"/>
                    <w:rPr>
                      <w:rFonts w:ascii="Cambria" w:hAnsi="Cambria" w:cs="Calibri"/>
                      <w:color w:val="000000"/>
                      <w:sz w:val="20"/>
                      <w:szCs w:val="20"/>
                      <w:lang w:eastAsia="en-GB"/>
                    </w:rPr>
                  </w:pPr>
                  <w:r w:rsidRPr="00C26AE2">
                    <w:rPr>
                      <w:rFonts w:ascii="Cambria" w:hAnsi="Cambria" w:cs="Calibri"/>
                      <w:color w:val="000000"/>
                      <w:sz w:val="20"/>
                      <w:szCs w:val="20"/>
                      <w:lang w:eastAsia="en-GB"/>
                    </w:rPr>
                    <w:t>99%</w:t>
                  </w:r>
                </w:p>
              </w:tc>
              <w:tc>
                <w:tcPr>
                  <w:tcW w:w="1153" w:type="dxa"/>
                  <w:shd w:val="clear" w:color="auto" w:fill="FFFFFF"/>
                  <w:noWrap/>
                  <w:vAlign w:val="bottom"/>
                  <w:hideMark/>
                </w:tcPr>
                <w:p w14:paraId="093AB7BA" w14:textId="77777777" w:rsidR="00C26AE2" w:rsidRPr="00C26AE2" w:rsidRDefault="00C26AE2" w:rsidP="00C26AE2">
                  <w:pPr>
                    <w:jc w:val="center"/>
                    <w:rPr>
                      <w:rFonts w:ascii="Cambria" w:hAnsi="Cambria" w:cs="Calibri"/>
                      <w:color w:val="000000"/>
                      <w:sz w:val="20"/>
                      <w:szCs w:val="20"/>
                      <w:lang w:eastAsia="en-GB"/>
                    </w:rPr>
                  </w:pPr>
                  <w:r w:rsidRPr="00C26AE2">
                    <w:rPr>
                      <w:rFonts w:ascii="Cambria" w:hAnsi="Cambria" w:cs="Calibri"/>
                      <w:color w:val="000000"/>
                      <w:sz w:val="20"/>
                      <w:szCs w:val="20"/>
                      <w:lang w:eastAsia="en-GB"/>
                    </w:rPr>
                    <w:t>1.92%</w:t>
                  </w:r>
                </w:p>
              </w:tc>
              <w:tc>
                <w:tcPr>
                  <w:tcW w:w="1843" w:type="dxa"/>
                  <w:tcBorders>
                    <w:top w:val="nil"/>
                    <w:left w:val="single" w:sz="4" w:space="0" w:color="auto"/>
                    <w:bottom w:val="nil"/>
                    <w:right w:val="nil"/>
                  </w:tcBorders>
                  <w:noWrap/>
                  <w:vAlign w:val="bottom"/>
                  <w:hideMark/>
                </w:tcPr>
                <w:p w14:paraId="2CA6FEB0" w14:textId="77777777" w:rsidR="00C26AE2" w:rsidRPr="00C26AE2" w:rsidRDefault="00C26AE2" w:rsidP="00C26AE2">
                  <w:pPr>
                    <w:rPr>
                      <w:rFonts w:ascii="Cambria" w:hAnsi="Cambria" w:cs="Calibri"/>
                      <w:color w:val="000000"/>
                      <w:sz w:val="20"/>
                      <w:szCs w:val="20"/>
                      <w:lang w:eastAsia="en-GB"/>
                    </w:rPr>
                  </w:pPr>
                  <w:r w:rsidRPr="00C26AE2">
                    <w:rPr>
                      <w:rFonts w:ascii="Cambria" w:hAnsi="Cambria" w:cs="Calibri"/>
                      <w:color w:val="000000"/>
                      <w:sz w:val="20"/>
                      <w:szCs w:val="20"/>
                      <w:lang w:eastAsia="en-GB"/>
                    </w:rPr>
                    <w:t>Number of funds</w:t>
                  </w:r>
                </w:p>
              </w:tc>
              <w:tc>
                <w:tcPr>
                  <w:tcW w:w="843" w:type="dxa"/>
                  <w:noWrap/>
                  <w:vAlign w:val="bottom"/>
                  <w:hideMark/>
                </w:tcPr>
                <w:p w14:paraId="1D856E8C" w14:textId="77777777" w:rsidR="00C26AE2" w:rsidRPr="00C26AE2" w:rsidRDefault="00C26AE2" w:rsidP="00C26AE2">
                  <w:pPr>
                    <w:jc w:val="center"/>
                    <w:rPr>
                      <w:rFonts w:ascii="Cambria" w:hAnsi="Cambria" w:cs="Calibri"/>
                      <w:color w:val="000000"/>
                      <w:sz w:val="20"/>
                      <w:szCs w:val="20"/>
                      <w:lang w:eastAsia="en-GB"/>
                    </w:rPr>
                  </w:pPr>
                  <w:r w:rsidRPr="00C26AE2">
                    <w:rPr>
                      <w:rFonts w:ascii="Cambria" w:hAnsi="Cambria" w:cs="Calibri"/>
                      <w:color w:val="000000"/>
                      <w:sz w:val="20"/>
                      <w:szCs w:val="20"/>
                      <w:lang w:eastAsia="en-GB"/>
                    </w:rPr>
                    <w:t>68</w:t>
                  </w:r>
                </w:p>
              </w:tc>
            </w:tr>
            <w:tr w:rsidR="00C26AE2" w:rsidRPr="00C26AE2" w14:paraId="676C8F27" w14:textId="77777777" w:rsidTr="00C26AE2">
              <w:trPr>
                <w:trHeight w:val="240"/>
                <w:jc w:val="center"/>
              </w:trPr>
              <w:tc>
                <w:tcPr>
                  <w:tcW w:w="1257" w:type="dxa"/>
                  <w:shd w:val="clear" w:color="auto" w:fill="DDEBF7"/>
                  <w:noWrap/>
                  <w:vAlign w:val="bottom"/>
                  <w:hideMark/>
                </w:tcPr>
                <w:p w14:paraId="3831A845" w14:textId="77777777" w:rsidR="00C26AE2" w:rsidRPr="00C26AE2" w:rsidRDefault="00C26AE2" w:rsidP="00C26AE2">
                  <w:pPr>
                    <w:jc w:val="center"/>
                    <w:rPr>
                      <w:rFonts w:ascii="Cambria" w:hAnsi="Cambria" w:cs="Calibri"/>
                      <w:color w:val="000000"/>
                      <w:sz w:val="20"/>
                      <w:szCs w:val="20"/>
                      <w:lang w:eastAsia="en-GB"/>
                    </w:rPr>
                  </w:pPr>
                  <w:r w:rsidRPr="00C26AE2">
                    <w:rPr>
                      <w:rFonts w:ascii="Cambria" w:hAnsi="Cambria" w:cs="Calibri"/>
                      <w:color w:val="000000"/>
                      <w:sz w:val="20"/>
                      <w:szCs w:val="20"/>
                      <w:lang w:eastAsia="en-GB"/>
                    </w:rPr>
                    <w:t>90%</w:t>
                  </w:r>
                </w:p>
              </w:tc>
              <w:tc>
                <w:tcPr>
                  <w:tcW w:w="1153" w:type="dxa"/>
                  <w:shd w:val="clear" w:color="auto" w:fill="DDEBF7"/>
                  <w:noWrap/>
                  <w:vAlign w:val="bottom"/>
                  <w:hideMark/>
                </w:tcPr>
                <w:p w14:paraId="641123D9" w14:textId="77777777" w:rsidR="00C26AE2" w:rsidRPr="00C26AE2" w:rsidRDefault="00C26AE2" w:rsidP="00C26AE2">
                  <w:pPr>
                    <w:jc w:val="center"/>
                    <w:rPr>
                      <w:rFonts w:ascii="Cambria" w:hAnsi="Cambria" w:cs="Calibri"/>
                      <w:color w:val="000000"/>
                      <w:sz w:val="20"/>
                      <w:szCs w:val="20"/>
                      <w:lang w:eastAsia="en-GB"/>
                    </w:rPr>
                  </w:pPr>
                  <w:r w:rsidRPr="00C26AE2">
                    <w:rPr>
                      <w:rFonts w:ascii="Cambria" w:hAnsi="Cambria" w:cs="Calibri"/>
                      <w:color w:val="000000"/>
                      <w:sz w:val="20"/>
                      <w:szCs w:val="20"/>
                      <w:lang w:eastAsia="en-GB"/>
                    </w:rPr>
                    <w:t>1.26%</w:t>
                  </w:r>
                </w:p>
              </w:tc>
              <w:tc>
                <w:tcPr>
                  <w:tcW w:w="1843" w:type="dxa"/>
                  <w:tcBorders>
                    <w:top w:val="nil"/>
                    <w:left w:val="single" w:sz="4" w:space="0" w:color="auto"/>
                    <w:bottom w:val="nil"/>
                    <w:right w:val="nil"/>
                  </w:tcBorders>
                  <w:shd w:val="clear" w:color="auto" w:fill="DDEBF7"/>
                  <w:noWrap/>
                  <w:vAlign w:val="bottom"/>
                  <w:hideMark/>
                </w:tcPr>
                <w:p w14:paraId="0099324C" w14:textId="77777777" w:rsidR="00C26AE2" w:rsidRPr="00C26AE2" w:rsidRDefault="00C26AE2" w:rsidP="00C26AE2">
                  <w:pPr>
                    <w:rPr>
                      <w:rFonts w:ascii="Cambria" w:hAnsi="Cambria" w:cs="Calibri"/>
                      <w:color w:val="000000"/>
                      <w:sz w:val="20"/>
                      <w:szCs w:val="20"/>
                      <w:lang w:eastAsia="en-GB"/>
                    </w:rPr>
                  </w:pPr>
                  <w:r w:rsidRPr="00C26AE2">
                    <w:rPr>
                      <w:rFonts w:ascii="Cambria" w:hAnsi="Cambria" w:cs="Calibri"/>
                      <w:color w:val="000000"/>
                      <w:sz w:val="20"/>
                      <w:szCs w:val="20"/>
                      <w:lang w:eastAsia="en-GB"/>
                    </w:rPr>
                    <w:t>Highest fee</w:t>
                  </w:r>
                </w:p>
              </w:tc>
              <w:tc>
                <w:tcPr>
                  <w:tcW w:w="843" w:type="dxa"/>
                  <w:shd w:val="clear" w:color="auto" w:fill="DDEBF7"/>
                  <w:noWrap/>
                  <w:vAlign w:val="bottom"/>
                  <w:hideMark/>
                </w:tcPr>
                <w:p w14:paraId="102B47C2" w14:textId="77777777" w:rsidR="00C26AE2" w:rsidRPr="00C26AE2" w:rsidRDefault="00C26AE2" w:rsidP="00C26AE2">
                  <w:pPr>
                    <w:jc w:val="center"/>
                    <w:rPr>
                      <w:rFonts w:ascii="Cambria" w:hAnsi="Cambria" w:cs="Calibri"/>
                      <w:color w:val="000000"/>
                      <w:sz w:val="20"/>
                      <w:szCs w:val="20"/>
                      <w:lang w:eastAsia="en-GB"/>
                    </w:rPr>
                  </w:pPr>
                  <w:r w:rsidRPr="00C26AE2">
                    <w:rPr>
                      <w:rFonts w:ascii="Cambria" w:hAnsi="Cambria" w:cs="Calibri"/>
                      <w:color w:val="000000"/>
                      <w:sz w:val="20"/>
                      <w:szCs w:val="20"/>
                      <w:lang w:eastAsia="en-GB"/>
                    </w:rPr>
                    <w:t>2.15%</w:t>
                  </w:r>
                </w:p>
              </w:tc>
            </w:tr>
            <w:tr w:rsidR="00C26AE2" w:rsidRPr="00C26AE2" w14:paraId="3F5E0C2E" w14:textId="77777777" w:rsidTr="00C26AE2">
              <w:trPr>
                <w:trHeight w:val="240"/>
                <w:jc w:val="center"/>
              </w:trPr>
              <w:tc>
                <w:tcPr>
                  <w:tcW w:w="1257" w:type="dxa"/>
                  <w:shd w:val="clear" w:color="auto" w:fill="FFFFFF"/>
                  <w:noWrap/>
                  <w:vAlign w:val="bottom"/>
                  <w:hideMark/>
                </w:tcPr>
                <w:p w14:paraId="4ABCC0EB" w14:textId="77777777" w:rsidR="00C26AE2" w:rsidRPr="00C26AE2" w:rsidRDefault="00C26AE2" w:rsidP="00C26AE2">
                  <w:pPr>
                    <w:jc w:val="center"/>
                    <w:rPr>
                      <w:rFonts w:ascii="Cambria" w:hAnsi="Cambria" w:cs="Calibri"/>
                      <w:color w:val="000000"/>
                      <w:sz w:val="20"/>
                      <w:szCs w:val="20"/>
                      <w:lang w:eastAsia="en-GB"/>
                    </w:rPr>
                  </w:pPr>
                  <w:r w:rsidRPr="00C26AE2">
                    <w:rPr>
                      <w:rFonts w:ascii="Cambria" w:hAnsi="Cambria" w:cs="Calibri"/>
                      <w:color w:val="000000"/>
                      <w:sz w:val="20"/>
                      <w:szCs w:val="20"/>
                      <w:lang w:eastAsia="en-GB"/>
                    </w:rPr>
                    <w:t>75%</w:t>
                  </w:r>
                </w:p>
              </w:tc>
              <w:tc>
                <w:tcPr>
                  <w:tcW w:w="1153" w:type="dxa"/>
                  <w:shd w:val="clear" w:color="auto" w:fill="FFFFFF"/>
                  <w:noWrap/>
                  <w:vAlign w:val="bottom"/>
                  <w:hideMark/>
                </w:tcPr>
                <w:p w14:paraId="4641CF30" w14:textId="77777777" w:rsidR="00C26AE2" w:rsidRPr="00C26AE2" w:rsidRDefault="00C26AE2" w:rsidP="00C26AE2">
                  <w:pPr>
                    <w:jc w:val="center"/>
                    <w:rPr>
                      <w:rFonts w:ascii="Cambria" w:hAnsi="Cambria" w:cs="Calibri"/>
                      <w:color w:val="000000"/>
                      <w:sz w:val="20"/>
                      <w:szCs w:val="20"/>
                      <w:lang w:eastAsia="en-GB"/>
                    </w:rPr>
                  </w:pPr>
                  <w:r w:rsidRPr="00C26AE2">
                    <w:rPr>
                      <w:rFonts w:ascii="Cambria" w:hAnsi="Cambria" w:cs="Calibri"/>
                      <w:color w:val="000000"/>
                      <w:sz w:val="20"/>
                      <w:szCs w:val="20"/>
                      <w:lang w:eastAsia="en-GB"/>
                    </w:rPr>
                    <w:t>1.10%</w:t>
                  </w:r>
                </w:p>
              </w:tc>
              <w:tc>
                <w:tcPr>
                  <w:tcW w:w="1843" w:type="dxa"/>
                  <w:tcBorders>
                    <w:top w:val="nil"/>
                    <w:left w:val="single" w:sz="4" w:space="0" w:color="auto"/>
                    <w:bottom w:val="nil"/>
                    <w:right w:val="nil"/>
                  </w:tcBorders>
                  <w:noWrap/>
                  <w:vAlign w:val="bottom"/>
                  <w:hideMark/>
                </w:tcPr>
                <w:p w14:paraId="65B639C7" w14:textId="77777777" w:rsidR="00C26AE2" w:rsidRPr="00C26AE2" w:rsidRDefault="00C26AE2" w:rsidP="00C26AE2">
                  <w:pPr>
                    <w:rPr>
                      <w:rFonts w:ascii="Cambria" w:hAnsi="Cambria" w:cs="Calibri"/>
                      <w:color w:val="000000"/>
                      <w:sz w:val="20"/>
                      <w:szCs w:val="20"/>
                      <w:lang w:eastAsia="en-GB"/>
                    </w:rPr>
                  </w:pPr>
                  <w:r w:rsidRPr="00C26AE2">
                    <w:rPr>
                      <w:rFonts w:ascii="Cambria" w:hAnsi="Cambria" w:cs="Calibri"/>
                      <w:color w:val="000000"/>
                      <w:sz w:val="20"/>
                      <w:szCs w:val="20"/>
                      <w:lang w:eastAsia="en-GB"/>
                    </w:rPr>
                    <w:t>Lowest fee</w:t>
                  </w:r>
                </w:p>
              </w:tc>
              <w:tc>
                <w:tcPr>
                  <w:tcW w:w="843" w:type="dxa"/>
                  <w:noWrap/>
                  <w:vAlign w:val="bottom"/>
                  <w:hideMark/>
                </w:tcPr>
                <w:p w14:paraId="1AD3833A" w14:textId="77777777" w:rsidR="00C26AE2" w:rsidRPr="00C26AE2" w:rsidRDefault="00C26AE2" w:rsidP="00C26AE2">
                  <w:pPr>
                    <w:jc w:val="center"/>
                    <w:rPr>
                      <w:rFonts w:ascii="Cambria" w:hAnsi="Cambria" w:cs="Calibri"/>
                      <w:color w:val="000000"/>
                      <w:sz w:val="20"/>
                      <w:szCs w:val="20"/>
                      <w:lang w:eastAsia="en-GB"/>
                    </w:rPr>
                  </w:pPr>
                  <w:r w:rsidRPr="00C26AE2">
                    <w:rPr>
                      <w:rFonts w:ascii="Cambria" w:hAnsi="Cambria" w:cs="Calibri"/>
                      <w:color w:val="000000"/>
                      <w:sz w:val="20"/>
                      <w:szCs w:val="20"/>
                      <w:lang w:eastAsia="en-GB"/>
                    </w:rPr>
                    <w:t>0.29%</w:t>
                  </w:r>
                </w:p>
              </w:tc>
            </w:tr>
            <w:tr w:rsidR="00C26AE2" w:rsidRPr="00C26AE2" w14:paraId="59EEAAD8" w14:textId="77777777" w:rsidTr="00C26AE2">
              <w:trPr>
                <w:trHeight w:val="240"/>
                <w:jc w:val="center"/>
              </w:trPr>
              <w:tc>
                <w:tcPr>
                  <w:tcW w:w="1257" w:type="dxa"/>
                  <w:shd w:val="clear" w:color="auto" w:fill="DDEBF7"/>
                  <w:noWrap/>
                  <w:vAlign w:val="bottom"/>
                  <w:hideMark/>
                </w:tcPr>
                <w:p w14:paraId="16061ED3" w14:textId="77777777" w:rsidR="00C26AE2" w:rsidRPr="00C26AE2" w:rsidRDefault="00C26AE2" w:rsidP="00C26AE2">
                  <w:pPr>
                    <w:jc w:val="center"/>
                    <w:rPr>
                      <w:rFonts w:ascii="Cambria" w:hAnsi="Cambria" w:cs="Calibri"/>
                      <w:color w:val="000000"/>
                      <w:sz w:val="20"/>
                      <w:szCs w:val="20"/>
                      <w:lang w:eastAsia="en-GB"/>
                    </w:rPr>
                  </w:pPr>
                  <w:r w:rsidRPr="00C26AE2">
                    <w:rPr>
                      <w:rFonts w:ascii="Cambria" w:hAnsi="Cambria" w:cs="Calibri"/>
                      <w:color w:val="000000"/>
                      <w:sz w:val="20"/>
                      <w:szCs w:val="20"/>
                      <w:lang w:eastAsia="en-GB"/>
                    </w:rPr>
                    <w:t>70%</w:t>
                  </w:r>
                </w:p>
              </w:tc>
              <w:tc>
                <w:tcPr>
                  <w:tcW w:w="1153" w:type="dxa"/>
                  <w:shd w:val="clear" w:color="auto" w:fill="DDEBF7"/>
                  <w:noWrap/>
                  <w:vAlign w:val="bottom"/>
                  <w:hideMark/>
                </w:tcPr>
                <w:p w14:paraId="03D93D87" w14:textId="77777777" w:rsidR="00C26AE2" w:rsidRPr="00C26AE2" w:rsidRDefault="00C26AE2" w:rsidP="00C26AE2">
                  <w:pPr>
                    <w:jc w:val="center"/>
                    <w:rPr>
                      <w:rFonts w:ascii="Cambria" w:hAnsi="Cambria" w:cs="Calibri"/>
                      <w:color w:val="000000"/>
                      <w:sz w:val="20"/>
                      <w:szCs w:val="20"/>
                      <w:lang w:eastAsia="en-GB"/>
                    </w:rPr>
                  </w:pPr>
                  <w:r w:rsidRPr="00C26AE2">
                    <w:rPr>
                      <w:rFonts w:ascii="Cambria" w:hAnsi="Cambria" w:cs="Calibri"/>
                      <w:color w:val="000000"/>
                      <w:sz w:val="20"/>
                      <w:szCs w:val="20"/>
                      <w:lang w:eastAsia="en-GB"/>
                    </w:rPr>
                    <w:t>1.00%</w:t>
                  </w:r>
                </w:p>
              </w:tc>
              <w:tc>
                <w:tcPr>
                  <w:tcW w:w="1843" w:type="dxa"/>
                  <w:tcBorders>
                    <w:top w:val="nil"/>
                    <w:left w:val="single" w:sz="4" w:space="0" w:color="auto"/>
                    <w:bottom w:val="nil"/>
                    <w:right w:val="nil"/>
                  </w:tcBorders>
                  <w:shd w:val="clear" w:color="auto" w:fill="DDEBF7"/>
                  <w:noWrap/>
                  <w:vAlign w:val="bottom"/>
                  <w:hideMark/>
                </w:tcPr>
                <w:p w14:paraId="401A1259" w14:textId="77777777" w:rsidR="00C26AE2" w:rsidRPr="00C26AE2" w:rsidRDefault="00C26AE2" w:rsidP="00C26AE2">
                  <w:pPr>
                    <w:rPr>
                      <w:rFonts w:ascii="Cambria" w:hAnsi="Cambria" w:cs="Calibri"/>
                      <w:color w:val="000000"/>
                      <w:sz w:val="20"/>
                      <w:szCs w:val="20"/>
                      <w:lang w:eastAsia="en-GB"/>
                    </w:rPr>
                  </w:pPr>
                  <w:r w:rsidRPr="00C26AE2">
                    <w:rPr>
                      <w:rFonts w:ascii="Cambria" w:hAnsi="Cambria" w:cs="Calibri"/>
                      <w:color w:val="000000"/>
                      <w:sz w:val="20"/>
                      <w:szCs w:val="20"/>
                      <w:lang w:eastAsia="en-GB"/>
                    </w:rPr>
                    <w:t>Average fee</w:t>
                  </w:r>
                </w:p>
              </w:tc>
              <w:tc>
                <w:tcPr>
                  <w:tcW w:w="843" w:type="dxa"/>
                  <w:shd w:val="clear" w:color="auto" w:fill="DDEBF7"/>
                  <w:noWrap/>
                  <w:vAlign w:val="bottom"/>
                  <w:hideMark/>
                </w:tcPr>
                <w:p w14:paraId="433EC3E9" w14:textId="77777777" w:rsidR="00C26AE2" w:rsidRPr="00C26AE2" w:rsidRDefault="00C26AE2" w:rsidP="00C26AE2">
                  <w:pPr>
                    <w:jc w:val="center"/>
                    <w:rPr>
                      <w:rFonts w:ascii="Cambria" w:hAnsi="Cambria" w:cs="Calibri"/>
                      <w:color w:val="000000"/>
                      <w:sz w:val="20"/>
                      <w:szCs w:val="20"/>
                      <w:lang w:eastAsia="en-GB"/>
                    </w:rPr>
                  </w:pPr>
                  <w:r w:rsidRPr="00C26AE2">
                    <w:rPr>
                      <w:rFonts w:ascii="Cambria" w:hAnsi="Cambria" w:cs="Calibri"/>
                      <w:color w:val="000000"/>
                      <w:sz w:val="20"/>
                      <w:szCs w:val="20"/>
                      <w:lang w:eastAsia="en-GB"/>
                    </w:rPr>
                    <w:t>0.89%</w:t>
                  </w:r>
                </w:p>
              </w:tc>
            </w:tr>
            <w:tr w:rsidR="00C26AE2" w:rsidRPr="00C26AE2" w14:paraId="7D9C8A9E" w14:textId="77777777" w:rsidTr="00C26AE2">
              <w:trPr>
                <w:trHeight w:val="240"/>
                <w:jc w:val="center"/>
              </w:trPr>
              <w:tc>
                <w:tcPr>
                  <w:tcW w:w="1257" w:type="dxa"/>
                  <w:shd w:val="clear" w:color="auto" w:fill="FFFFFF"/>
                  <w:noWrap/>
                  <w:vAlign w:val="bottom"/>
                  <w:hideMark/>
                </w:tcPr>
                <w:p w14:paraId="341CFB35" w14:textId="77777777" w:rsidR="00C26AE2" w:rsidRPr="00C26AE2" w:rsidRDefault="00C26AE2" w:rsidP="00C26AE2">
                  <w:pPr>
                    <w:jc w:val="center"/>
                    <w:rPr>
                      <w:rFonts w:ascii="Cambria" w:hAnsi="Cambria" w:cs="Calibri"/>
                      <w:color w:val="000000"/>
                      <w:sz w:val="20"/>
                      <w:szCs w:val="20"/>
                      <w:lang w:eastAsia="en-GB"/>
                    </w:rPr>
                  </w:pPr>
                  <w:r w:rsidRPr="00C26AE2">
                    <w:rPr>
                      <w:rFonts w:ascii="Cambria" w:hAnsi="Cambria" w:cs="Calibri"/>
                      <w:color w:val="000000"/>
                      <w:sz w:val="20"/>
                      <w:szCs w:val="20"/>
                      <w:lang w:eastAsia="en-GB"/>
                    </w:rPr>
                    <w:t>50%</w:t>
                  </w:r>
                </w:p>
              </w:tc>
              <w:tc>
                <w:tcPr>
                  <w:tcW w:w="1153" w:type="dxa"/>
                  <w:shd w:val="clear" w:color="auto" w:fill="FFFFFF"/>
                  <w:noWrap/>
                  <w:vAlign w:val="bottom"/>
                  <w:hideMark/>
                </w:tcPr>
                <w:p w14:paraId="56DDF8D1" w14:textId="77777777" w:rsidR="00C26AE2" w:rsidRPr="00C26AE2" w:rsidRDefault="00C26AE2" w:rsidP="00C26AE2">
                  <w:pPr>
                    <w:jc w:val="center"/>
                    <w:rPr>
                      <w:rFonts w:ascii="Cambria" w:hAnsi="Cambria" w:cs="Calibri"/>
                      <w:color w:val="000000"/>
                      <w:sz w:val="20"/>
                      <w:szCs w:val="20"/>
                      <w:lang w:eastAsia="en-GB"/>
                    </w:rPr>
                  </w:pPr>
                  <w:r w:rsidRPr="00C26AE2">
                    <w:rPr>
                      <w:rFonts w:ascii="Cambria" w:hAnsi="Cambria" w:cs="Calibri"/>
                      <w:color w:val="000000"/>
                      <w:sz w:val="20"/>
                      <w:szCs w:val="20"/>
                      <w:lang w:eastAsia="en-GB"/>
                    </w:rPr>
                    <w:t>0.85%</w:t>
                  </w:r>
                </w:p>
              </w:tc>
              <w:tc>
                <w:tcPr>
                  <w:tcW w:w="1843" w:type="dxa"/>
                  <w:tcBorders>
                    <w:top w:val="nil"/>
                    <w:left w:val="single" w:sz="4" w:space="0" w:color="auto"/>
                    <w:bottom w:val="nil"/>
                    <w:right w:val="nil"/>
                  </w:tcBorders>
                  <w:noWrap/>
                  <w:vAlign w:val="bottom"/>
                  <w:hideMark/>
                </w:tcPr>
                <w:p w14:paraId="1C9F5E97" w14:textId="77777777" w:rsidR="00C26AE2" w:rsidRPr="00C26AE2" w:rsidRDefault="00C26AE2" w:rsidP="00C26AE2">
                  <w:pPr>
                    <w:rPr>
                      <w:rFonts w:ascii="Cambria" w:hAnsi="Cambria" w:cs="Calibri"/>
                      <w:color w:val="000000"/>
                      <w:sz w:val="20"/>
                      <w:szCs w:val="20"/>
                      <w:lang w:eastAsia="en-GB"/>
                    </w:rPr>
                  </w:pPr>
                  <w:r w:rsidRPr="00C26AE2">
                    <w:rPr>
                      <w:rFonts w:ascii="Cambria" w:hAnsi="Cambria" w:cs="Calibri"/>
                      <w:color w:val="000000"/>
                      <w:sz w:val="20"/>
                      <w:szCs w:val="20"/>
                      <w:lang w:eastAsia="en-GB"/>
                    </w:rPr>
                    <w:t>Average risk</w:t>
                  </w:r>
                </w:p>
              </w:tc>
              <w:tc>
                <w:tcPr>
                  <w:tcW w:w="843" w:type="dxa"/>
                  <w:noWrap/>
                  <w:vAlign w:val="bottom"/>
                  <w:hideMark/>
                </w:tcPr>
                <w:p w14:paraId="28FC9994" w14:textId="77777777" w:rsidR="00C26AE2" w:rsidRPr="00C26AE2" w:rsidRDefault="00C26AE2" w:rsidP="00C26AE2">
                  <w:pPr>
                    <w:jc w:val="center"/>
                    <w:rPr>
                      <w:rFonts w:ascii="Cambria" w:hAnsi="Cambria" w:cs="Calibri"/>
                      <w:color w:val="000000"/>
                      <w:sz w:val="20"/>
                      <w:szCs w:val="20"/>
                      <w:lang w:eastAsia="en-GB"/>
                    </w:rPr>
                  </w:pPr>
                  <w:r w:rsidRPr="00C26AE2">
                    <w:rPr>
                      <w:rFonts w:ascii="Cambria" w:hAnsi="Cambria" w:cs="Calibri"/>
                      <w:color w:val="000000"/>
                      <w:sz w:val="20"/>
                      <w:szCs w:val="20"/>
                      <w:lang w:eastAsia="en-GB"/>
                    </w:rPr>
                    <w:t>4/5</w:t>
                  </w:r>
                </w:p>
              </w:tc>
            </w:tr>
            <w:tr w:rsidR="00C26AE2" w:rsidRPr="00C26AE2" w14:paraId="0BB51541" w14:textId="77777777" w:rsidTr="00C26AE2">
              <w:trPr>
                <w:trHeight w:val="240"/>
                <w:jc w:val="center"/>
              </w:trPr>
              <w:tc>
                <w:tcPr>
                  <w:tcW w:w="1257" w:type="dxa"/>
                  <w:shd w:val="clear" w:color="auto" w:fill="DDEBF7"/>
                  <w:noWrap/>
                  <w:vAlign w:val="bottom"/>
                  <w:hideMark/>
                </w:tcPr>
                <w:p w14:paraId="797ED704" w14:textId="77777777" w:rsidR="00C26AE2" w:rsidRPr="00C26AE2" w:rsidRDefault="00C26AE2" w:rsidP="00C26AE2">
                  <w:pPr>
                    <w:jc w:val="center"/>
                    <w:rPr>
                      <w:rFonts w:ascii="Cambria" w:hAnsi="Cambria" w:cs="Calibri"/>
                      <w:color w:val="000000"/>
                      <w:sz w:val="20"/>
                      <w:szCs w:val="20"/>
                      <w:lang w:eastAsia="en-GB"/>
                    </w:rPr>
                  </w:pPr>
                  <w:r w:rsidRPr="00C26AE2">
                    <w:rPr>
                      <w:rFonts w:ascii="Cambria" w:hAnsi="Cambria" w:cs="Calibri"/>
                      <w:color w:val="000000"/>
                      <w:sz w:val="20"/>
                      <w:szCs w:val="20"/>
                      <w:lang w:eastAsia="en-GB"/>
                    </w:rPr>
                    <w:t>25%</w:t>
                  </w:r>
                </w:p>
              </w:tc>
              <w:tc>
                <w:tcPr>
                  <w:tcW w:w="1153" w:type="dxa"/>
                  <w:shd w:val="clear" w:color="auto" w:fill="DDEBF7"/>
                  <w:noWrap/>
                  <w:vAlign w:val="bottom"/>
                  <w:hideMark/>
                </w:tcPr>
                <w:p w14:paraId="120BABF8" w14:textId="77777777" w:rsidR="00C26AE2" w:rsidRPr="00C26AE2" w:rsidRDefault="00C26AE2" w:rsidP="00C26AE2">
                  <w:pPr>
                    <w:jc w:val="center"/>
                    <w:rPr>
                      <w:rFonts w:ascii="Cambria" w:hAnsi="Cambria" w:cs="Calibri"/>
                      <w:color w:val="000000"/>
                      <w:sz w:val="20"/>
                      <w:szCs w:val="20"/>
                      <w:lang w:eastAsia="en-GB"/>
                    </w:rPr>
                  </w:pPr>
                  <w:r w:rsidRPr="00C26AE2">
                    <w:rPr>
                      <w:rFonts w:ascii="Cambria" w:hAnsi="Cambria" w:cs="Calibri"/>
                      <w:color w:val="000000"/>
                      <w:sz w:val="20"/>
                      <w:szCs w:val="20"/>
                      <w:lang w:eastAsia="en-GB"/>
                    </w:rPr>
                    <w:t>0.56%</w:t>
                  </w:r>
                </w:p>
              </w:tc>
              <w:tc>
                <w:tcPr>
                  <w:tcW w:w="1843" w:type="dxa"/>
                  <w:tcBorders>
                    <w:top w:val="nil"/>
                    <w:left w:val="single" w:sz="4" w:space="0" w:color="auto"/>
                    <w:bottom w:val="nil"/>
                    <w:right w:val="nil"/>
                  </w:tcBorders>
                  <w:shd w:val="clear" w:color="auto" w:fill="DDEBF7"/>
                  <w:noWrap/>
                  <w:vAlign w:val="bottom"/>
                  <w:hideMark/>
                </w:tcPr>
                <w:p w14:paraId="64D0F1C7" w14:textId="77777777" w:rsidR="00C26AE2" w:rsidRPr="00C26AE2" w:rsidRDefault="00C26AE2" w:rsidP="00C26AE2">
                  <w:pPr>
                    <w:rPr>
                      <w:rFonts w:ascii="Cambria" w:hAnsi="Cambria" w:cs="Calibri"/>
                      <w:color w:val="000000"/>
                      <w:sz w:val="20"/>
                      <w:szCs w:val="20"/>
                      <w:lang w:eastAsia="en-GB"/>
                    </w:rPr>
                  </w:pPr>
                  <w:r w:rsidRPr="00C26AE2">
                    <w:rPr>
                      <w:rFonts w:ascii="Cambria" w:hAnsi="Cambria" w:cs="Calibri"/>
                      <w:color w:val="000000"/>
                      <w:sz w:val="20"/>
                      <w:szCs w:val="20"/>
                      <w:lang w:eastAsia="en-GB"/>
                    </w:rPr>
                    <w:t xml:space="preserve">Avg. eq. </w:t>
                  </w:r>
                  <w:proofErr w:type="spellStart"/>
                  <w:r w:rsidRPr="00C26AE2">
                    <w:rPr>
                      <w:rFonts w:ascii="Cambria" w:hAnsi="Cambria" w:cs="Calibri"/>
                      <w:color w:val="000000"/>
                      <w:sz w:val="20"/>
                      <w:szCs w:val="20"/>
                      <w:lang w:eastAsia="en-GB"/>
                    </w:rPr>
                    <w:t>alloc</w:t>
                  </w:r>
                  <w:proofErr w:type="spellEnd"/>
                  <w:r w:rsidRPr="00C26AE2">
                    <w:rPr>
                      <w:rFonts w:ascii="Cambria" w:hAnsi="Cambria" w:cs="Calibri"/>
                      <w:color w:val="000000"/>
                      <w:sz w:val="20"/>
                      <w:szCs w:val="20"/>
                      <w:lang w:eastAsia="en-GB"/>
                    </w:rPr>
                    <w:t>.</w:t>
                  </w:r>
                </w:p>
              </w:tc>
              <w:tc>
                <w:tcPr>
                  <w:tcW w:w="843" w:type="dxa"/>
                  <w:shd w:val="clear" w:color="auto" w:fill="DDEBF7"/>
                  <w:noWrap/>
                  <w:vAlign w:val="bottom"/>
                  <w:hideMark/>
                </w:tcPr>
                <w:p w14:paraId="3ED85156" w14:textId="77777777" w:rsidR="00C26AE2" w:rsidRPr="00C26AE2" w:rsidRDefault="00C26AE2" w:rsidP="00C26AE2">
                  <w:pPr>
                    <w:jc w:val="center"/>
                    <w:rPr>
                      <w:rFonts w:ascii="Cambria" w:hAnsi="Cambria" w:cs="Calibri"/>
                      <w:color w:val="000000"/>
                      <w:sz w:val="20"/>
                      <w:szCs w:val="20"/>
                      <w:lang w:eastAsia="en-GB"/>
                    </w:rPr>
                  </w:pPr>
                  <w:r w:rsidRPr="00C26AE2">
                    <w:rPr>
                      <w:rFonts w:ascii="Cambria" w:hAnsi="Cambria" w:cs="Calibri"/>
                      <w:color w:val="000000"/>
                      <w:sz w:val="20"/>
                      <w:szCs w:val="20"/>
                      <w:lang w:eastAsia="en-GB"/>
                    </w:rPr>
                    <w:t>48.6%</w:t>
                  </w:r>
                </w:p>
              </w:tc>
            </w:tr>
            <w:tr w:rsidR="00C26AE2" w:rsidRPr="00C26AE2" w14:paraId="0F34AE75" w14:textId="77777777" w:rsidTr="00C26AE2">
              <w:trPr>
                <w:trHeight w:val="240"/>
                <w:jc w:val="center"/>
              </w:trPr>
              <w:tc>
                <w:tcPr>
                  <w:tcW w:w="1257" w:type="dxa"/>
                  <w:shd w:val="clear" w:color="auto" w:fill="FFFFFF"/>
                  <w:noWrap/>
                  <w:vAlign w:val="bottom"/>
                  <w:hideMark/>
                </w:tcPr>
                <w:p w14:paraId="3CFD1D41" w14:textId="77777777" w:rsidR="00C26AE2" w:rsidRPr="00C26AE2" w:rsidRDefault="00C26AE2" w:rsidP="00C26AE2">
                  <w:pPr>
                    <w:jc w:val="center"/>
                    <w:rPr>
                      <w:rFonts w:ascii="Cambria" w:hAnsi="Cambria" w:cs="Calibri"/>
                      <w:color w:val="000000"/>
                      <w:sz w:val="20"/>
                      <w:szCs w:val="20"/>
                      <w:lang w:eastAsia="en-GB"/>
                    </w:rPr>
                  </w:pPr>
                  <w:r w:rsidRPr="00C26AE2">
                    <w:rPr>
                      <w:rFonts w:ascii="Cambria" w:hAnsi="Cambria" w:cs="Calibri"/>
                      <w:color w:val="000000"/>
                      <w:sz w:val="20"/>
                      <w:szCs w:val="20"/>
                      <w:lang w:eastAsia="en-GB"/>
                    </w:rPr>
                    <w:t>10%</w:t>
                  </w:r>
                </w:p>
              </w:tc>
              <w:tc>
                <w:tcPr>
                  <w:tcW w:w="1153" w:type="dxa"/>
                  <w:shd w:val="clear" w:color="auto" w:fill="FFFFFF"/>
                  <w:noWrap/>
                  <w:vAlign w:val="bottom"/>
                  <w:hideMark/>
                </w:tcPr>
                <w:p w14:paraId="55581AC2" w14:textId="77777777" w:rsidR="00C26AE2" w:rsidRPr="00C26AE2" w:rsidRDefault="00C26AE2" w:rsidP="00C26AE2">
                  <w:pPr>
                    <w:jc w:val="center"/>
                    <w:rPr>
                      <w:rFonts w:ascii="Cambria" w:hAnsi="Cambria" w:cs="Calibri"/>
                      <w:color w:val="000000"/>
                      <w:sz w:val="20"/>
                      <w:szCs w:val="20"/>
                      <w:lang w:eastAsia="en-GB"/>
                    </w:rPr>
                  </w:pPr>
                  <w:r w:rsidRPr="00C26AE2">
                    <w:rPr>
                      <w:rFonts w:ascii="Cambria" w:hAnsi="Cambria" w:cs="Calibri"/>
                      <w:color w:val="000000"/>
                      <w:sz w:val="20"/>
                      <w:szCs w:val="20"/>
                      <w:lang w:eastAsia="en-GB"/>
                    </w:rPr>
                    <w:t>0.48%</w:t>
                  </w:r>
                </w:p>
              </w:tc>
              <w:tc>
                <w:tcPr>
                  <w:tcW w:w="1843" w:type="dxa"/>
                  <w:tcBorders>
                    <w:top w:val="nil"/>
                    <w:left w:val="single" w:sz="4" w:space="0" w:color="auto"/>
                    <w:bottom w:val="nil"/>
                    <w:right w:val="nil"/>
                  </w:tcBorders>
                  <w:noWrap/>
                  <w:vAlign w:val="bottom"/>
                  <w:hideMark/>
                </w:tcPr>
                <w:p w14:paraId="30075DA4" w14:textId="77777777" w:rsidR="00C26AE2" w:rsidRPr="00C26AE2" w:rsidRDefault="00C26AE2" w:rsidP="00C26AE2">
                  <w:pPr>
                    <w:rPr>
                      <w:rFonts w:ascii="Cambria" w:hAnsi="Cambria" w:cs="Calibri"/>
                      <w:color w:val="000000"/>
                      <w:sz w:val="20"/>
                      <w:szCs w:val="20"/>
                      <w:lang w:eastAsia="en-GB"/>
                    </w:rPr>
                  </w:pPr>
                  <w:r w:rsidRPr="00C26AE2">
                    <w:rPr>
                      <w:rFonts w:ascii="Cambria" w:hAnsi="Cambria" w:cs="Calibri"/>
                      <w:color w:val="000000"/>
                      <w:sz w:val="20"/>
                      <w:szCs w:val="20"/>
                      <w:lang w:eastAsia="en-GB"/>
                    </w:rPr>
                    <w:t>Corr. Fee - EQA</w:t>
                  </w:r>
                </w:p>
              </w:tc>
              <w:tc>
                <w:tcPr>
                  <w:tcW w:w="843" w:type="dxa"/>
                  <w:noWrap/>
                  <w:vAlign w:val="bottom"/>
                  <w:hideMark/>
                </w:tcPr>
                <w:p w14:paraId="25A03C43" w14:textId="77777777" w:rsidR="00C26AE2" w:rsidRPr="00C26AE2" w:rsidRDefault="00C26AE2" w:rsidP="00C26AE2">
                  <w:pPr>
                    <w:jc w:val="center"/>
                    <w:rPr>
                      <w:rFonts w:ascii="Cambria" w:hAnsi="Cambria" w:cs="Calibri"/>
                      <w:color w:val="000000"/>
                      <w:sz w:val="20"/>
                      <w:szCs w:val="20"/>
                      <w:lang w:eastAsia="en-GB"/>
                    </w:rPr>
                  </w:pPr>
                  <w:r w:rsidRPr="00C26AE2">
                    <w:rPr>
                      <w:rFonts w:ascii="Cambria" w:hAnsi="Cambria" w:cs="Calibri"/>
                      <w:color w:val="000000"/>
                      <w:sz w:val="20"/>
                      <w:szCs w:val="20"/>
                      <w:lang w:eastAsia="en-GB"/>
                    </w:rPr>
                    <w:t>40.4%</w:t>
                  </w:r>
                </w:p>
              </w:tc>
            </w:tr>
            <w:tr w:rsidR="00C26AE2" w:rsidRPr="00C26AE2" w14:paraId="118D0C83" w14:textId="77777777" w:rsidTr="00C26AE2">
              <w:trPr>
                <w:trHeight w:val="240"/>
                <w:jc w:val="center"/>
              </w:trPr>
              <w:tc>
                <w:tcPr>
                  <w:tcW w:w="1257" w:type="dxa"/>
                  <w:shd w:val="clear" w:color="auto" w:fill="DDEBF7"/>
                  <w:noWrap/>
                  <w:vAlign w:val="bottom"/>
                  <w:hideMark/>
                </w:tcPr>
                <w:p w14:paraId="7315895B" w14:textId="77777777" w:rsidR="00C26AE2" w:rsidRPr="00C26AE2" w:rsidRDefault="00C26AE2" w:rsidP="00C26AE2">
                  <w:pPr>
                    <w:jc w:val="center"/>
                    <w:rPr>
                      <w:rFonts w:ascii="Cambria" w:hAnsi="Cambria" w:cs="Calibri"/>
                      <w:color w:val="000000"/>
                      <w:sz w:val="20"/>
                      <w:szCs w:val="20"/>
                      <w:lang w:eastAsia="en-GB"/>
                    </w:rPr>
                  </w:pPr>
                  <w:r w:rsidRPr="00C26AE2">
                    <w:rPr>
                      <w:rFonts w:ascii="Cambria" w:hAnsi="Cambria" w:cs="Calibri"/>
                      <w:color w:val="000000"/>
                      <w:sz w:val="20"/>
                      <w:szCs w:val="20"/>
                      <w:lang w:eastAsia="en-GB"/>
                    </w:rPr>
                    <w:t>lowest</w:t>
                  </w:r>
                </w:p>
              </w:tc>
              <w:tc>
                <w:tcPr>
                  <w:tcW w:w="1153" w:type="dxa"/>
                  <w:shd w:val="clear" w:color="auto" w:fill="DDEBF7"/>
                  <w:noWrap/>
                  <w:vAlign w:val="bottom"/>
                  <w:hideMark/>
                </w:tcPr>
                <w:p w14:paraId="1C435382" w14:textId="77777777" w:rsidR="00C26AE2" w:rsidRPr="00C26AE2" w:rsidRDefault="00C26AE2" w:rsidP="00C26AE2">
                  <w:pPr>
                    <w:jc w:val="center"/>
                    <w:rPr>
                      <w:rFonts w:ascii="Cambria" w:hAnsi="Cambria" w:cs="Calibri"/>
                      <w:color w:val="000000"/>
                      <w:sz w:val="20"/>
                      <w:szCs w:val="20"/>
                      <w:lang w:eastAsia="en-GB"/>
                    </w:rPr>
                  </w:pPr>
                  <w:r w:rsidRPr="00C26AE2">
                    <w:rPr>
                      <w:rFonts w:ascii="Cambria" w:hAnsi="Cambria" w:cs="Calibri"/>
                      <w:color w:val="000000"/>
                      <w:sz w:val="20"/>
                      <w:szCs w:val="20"/>
                      <w:lang w:eastAsia="en-GB"/>
                    </w:rPr>
                    <w:t>0.29%</w:t>
                  </w:r>
                </w:p>
              </w:tc>
              <w:tc>
                <w:tcPr>
                  <w:tcW w:w="2683" w:type="dxa"/>
                  <w:gridSpan w:val="2"/>
                  <w:tcBorders>
                    <w:top w:val="nil"/>
                    <w:left w:val="single" w:sz="4" w:space="0" w:color="auto"/>
                    <w:bottom w:val="nil"/>
                    <w:right w:val="nil"/>
                  </w:tcBorders>
                  <w:noWrap/>
                  <w:vAlign w:val="bottom"/>
                  <w:hideMark/>
                </w:tcPr>
                <w:p w14:paraId="5DE767FC" w14:textId="77777777" w:rsidR="00C26AE2" w:rsidRPr="00C26AE2" w:rsidRDefault="00C26AE2" w:rsidP="00C26AE2">
                  <w:pPr>
                    <w:rPr>
                      <w:rFonts w:ascii="Cambria" w:hAnsi="Cambria" w:cs="Calibri"/>
                      <w:i/>
                      <w:iCs/>
                      <w:color w:val="000000"/>
                      <w:sz w:val="20"/>
                      <w:szCs w:val="20"/>
                      <w:lang w:eastAsia="en-GB"/>
                    </w:rPr>
                  </w:pPr>
                  <w:r w:rsidRPr="00C26AE2">
                    <w:rPr>
                      <w:rFonts w:ascii="Cambria" w:hAnsi="Cambria" w:cs="Calibri"/>
                      <w:i/>
                      <w:iCs/>
                      <w:color w:val="000000"/>
                      <w:sz w:val="20"/>
                      <w:szCs w:val="20"/>
                      <w:u w:val="single"/>
                      <w:lang w:eastAsia="en-GB"/>
                    </w:rPr>
                    <w:t>source</w:t>
                  </w:r>
                  <w:r w:rsidRPr="00C26AE2">
                    <w:rPr>
                      <w:rFonts w:ascii="Cambria" w:hAnsi="Cambria" w:cs="Calibri"/>
                      <w:i/>
                      <w:iCs/>
                      <w:color w:val="000000"/>
                      <w:sz w:val="20"/>
                      <w:szCs w:val="20"/>
                      <w:lang w:eastAsia="en-GB"/>
                    </w:rPr>
                    <w:t>: BF own composition based on NCC</w:t>
                  </w:r>
                  <w:r w:rsidRPr="00C26AE2">
                    <w:rPr>
                      <w:rStyle w:val="FootnoteReference"/>
                      <w:rFonts w:ascii="Cambria" w:hAnsi="Cambria" w:cs="Calibri"/>
                      <w:color w:val="000000"/>
                      <w:sz w:val="20"/>
                      <w:szCs w:val="20"/>
                      <w:lang w:eastAsia="en-GB"/>
                    </w:rPr>
                    <w:footnoteReference w:id="21"/>
                  </w:r>
                  <w:r w:rsidRPr="00C26AE2">
                    <w:rPr>
                      <w:rFonts w:ascii="Cambria" w:hAnsi="Cambria" w:cs="Calibri"/>
                      <w:i/>
                      <w:iCs/>
                      <w:color w:val="000000"/>
                      <w:sz w:val="20"/>
                      <w:szCs w:val="20"/>
                      <w:lang w:eastAsia="en-GB"/>
                    </w:rPr>
                    <w:t xml:space="preserve"> data</w:t>
                  </w:r>
                </w:p>
              </w:tc>
            </w:tr>
          </w:tbl>
          <w:p w14:paraId="6B25A885" w14:textId="77777777" w:rsidR="00C26AE2" w:rsidRPr="00C26AE2" w:rsidRDefault="00C26AE2" w:rsidP="00C26AE2">
            <w:pPr>
              <w:spacing w:before="120" w:after="120" w:line="276" w:lineRule="auto"/>
              <w:jc w:val="both"/>
              <w:rPr>
                <w:rFonts w:ascii="Cambria" w:eastAsiaTheme="minorHAnsi" w:hAnsi="Cambria" w:cstheme="minorBidi"/>
                <w:i/>
                <w:iCs/>
                <w:sz w:val="20"/>
                <w:szCs w:val="20"/>
                <w:lang w:eastAsia="en-US"/>
              </w:rPr>
            </w:pPr>
            <w:r w:rsidRPr="00C26AE2">
              <w:rPr>
                <w:rFonts w:ascii="Cambria" w:hAnsi="Cambria"/>
                <w:i/>
                <w:iCs/>
                <w:sz w:val="20"/>
                <w:szCs w:val="20"/>
              </w:rPr>
              <w:t xml:space="preserve">*Avg. eq. </w:t>
            </w:r>
            <w:proofErr w:type="spellStart"/>
            <w:r w:rsidRPr="00C26AE2">
              <w:rPr>
                <w:rFonts w:ascii="Cambria" w:hAnsi="Cambria"/>
                <w:i/>
                <w:iCs/>
                <w:sz w:val="20"/>
                <w:szCs w:val="20"/>
              </w:rPr>
              <w:t>alloc</w:t>
            </w:r>
            <w:proofErr w:type="spellEnd"/>
            <w:r w:rsidRPr="00C26AE2">
              <w:rPr>
                <w:rFonts w:ascii="Cambria" w:hAnsi="Cambria"/>
                <w:i/>
                <w:iCs/>
                <w:sz w:val="20"/>
                <w:szCs w:val="20"/>
              </w:rPr>
              <w:t>. = average equity allocation (EQA); Corr. Fee – EQA = correlation coefficient between the level of fees and the equity allocation of the fund</w:t>
            </w:r>
          </w:p>
          <w:p w14:paraId="1EBEF998" w14:textId="533DCE47" w:rsidR="00C26AE2" w:rsidRPr="00C26AE2" w:rsidRDefault="00C26AE2" w:rsidP="00C26AE2">
            <w:pPr>
              <w:spacing w:before="120" w:after="120" w:line="276" w:lineRule="auto"/>
              <w:jc w:val="both"/>
              <w:rPr>
                <w:rFonts w:ascii="Cambria" w:hAnsi="Cambria"/>
                <w:sz w:val="20"/>
                <w:szCs w:val="20"/>
              </w:rPr>
            </w:pPr>
            <w:r w:rsidRPr="00C26AE2">
              <w:rPr>
                <w:rFonts w:ascii="Cambria" w:hAnsi="Cambria"/>
                <w:sz w:val="20"/>
                <w:szCs w:val="20"/>
              </w:rPr>
              <w:t xml:space="preserve">The vast majority of pension funds </w:t>
            </w:r>
            <w:r w:rsidR="003162A4">
              <w:rPr>
                <w:rFonts w:ascii="Cambria" w:hAnsi="Cambria"/>
                <w:sz w:val="20"/>
                <w:szCs w:val="20"/>
              </w:rPr>
              <w:t xml:space="preserve">in the above sample </w:t>
            </w:r>
            <w:r w:rsidRPr="00C26AE2">
              <w:rPr>
                <w:rFonts w:ascii="Cambria" w:hAnsi="Cambria"/>
                <w:sz w:val="20"/>
                <w:szCs w:val="20"/>
              </w:rPr>
              <w:t>charge less than 1%, although the average equity allocation is close to 50% (balanced) and the average risk profile is 4 on a scale from 1 to 5, showing that smaller fees in pension funds does not entail passive investment strategies.</w:t>
            </w:r>
          </w:p>
          <w:p w14:paraId="1F79F8B0" w14:textId="77777777" w:rsidR="00C26AE2" w:rsidRPr="00C26AE2" w:rsidRDefault="00C26AE2" w:rsidP="00C26AE2">
            <w:pPr>
              <w:spacing w:before="120" w:after="120" w:line="276" w:lineRule="auto"/>
              <w:jc w:val="both"/>
              <w:rPr>
                <w:rFonts w:ascii="Cambria" w:hAnsi="Cambria"/>
                <w:sz w:val="20"/>
                <w:szCs w:val="20"/>
              </w:rPr>
            </w:pPr>
            <w:r w:rsidRPr="00C26AE2">
              <w:rPr>
                <w:rFonts w:ascii="Cambria" w:hAnsi="Cambria"/>
                <w:sz w:val="20"/>
                <w:szCs w:val="20"/>
              </w:rPr>
              <w:lastRenderedPageBreak/>
              <w:t>In the most recent statistics published by OECD,</w:t>
            </w:r>
            <w:r w:rsidRPr="00C26AE2">
              <w:rPr>
                <w:rStyle w:val="FootnoteReference"/>
                <w:rFonts w:ascii="Cambria" w:hAnsi="Cambria"/>
                <w:sz w:val="20"/>
                <w:szCs w:val="20"/>
              </w:rPr>
              <w:footnoteReference w:id="22"/>
            </w:r>
            <w:r w:rsidRPr="00C26AE2">
              <w:rPr>
                <w:rFonts w:ascii="Cambria" w:hAnsi="Cambria"/>
                <w:sz w:val="20"/>
                <w:szCs w:val="20"/>
              </w:rPr>
              <w:t xml:space="preserve"> 7 out of 8 EU Member States covered charged operating expenses below the 1% fee cap, the only exception being Spain, which is slightly above.</w:t>
            </w:r>
          </w:p>
          <w:p w14:paraId="254641D2" w14:textId="11B9C8F7" w:rsidR="00C26AE2" w:rsidRPr="00C26AE2" w:rsidRDefault="00C26AE2" w:rsidP="00C26AE2">
            <w:pPr>
              <w:spacing w:before="120" w:line="276" w:lineRule="auto"/>
              <w:jc w:val="center"/>
              <w:rPr>
                <w:rFonts w:ascii="Cambria" w:hAnsi="Cambria"/>
                <w:sz w:val="20"/>
                <w:szCs w:val="20"/>
                <w:lang w:val="en"/>
              </w:rPr>
            </w:pPr>
            <w:r w:rsidRPr="00C26AE2">
              <w:rPr>
                <w:rFonts w:ascii="Cambria" w:hAnsi="Cambria"/>
                <w:noProof/>
                <w:sz w:val="20"/>
                <w:szCs w:val="20"/>
                <w:lang w:val="en"/>
              </w:rPr>
              <w:drawing>
                <wp:inline distT="0" distB="0" distL="0" distR="0" wp14:anchorId="13867F3A" wp14:editId="5D652B69">
                  <wp:extent cx="3621068" cy="1892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31001" cy="1897491"/>
                          </a:xfrm>
                          <a:prstGeom prst="rect">
                            <a:avLst/>
                          </a:prstGeom>
                          <a:noFill/>
                          <a:ln>
                            <a:noFill/>
                          </a:ln>
                        </pic:spPr>
                      </pic:pic>
                    </a:graphicData>
                  </a:graphic>
                </wp:inline>
              </w:drawing>
            </w:r>
          </w:p>
          <w:p w14:paraId="1357CC84" w14:textId="77777777" w:rsidR="00C26AE2" w:rsidRPr="00C26AE2" w:rsidRDefault="00C26AE2" w:rsidP="00C26AE2">
            <w:pPr>
              <w:spacing w:after="120" w:line="276" w:lineRule="auto"/>
              <w:rPr>
                <w:rFonts w:ascii="Cambria" w:hAnsi="Cambria"/>
                <w:sz w:val="16"/>
                <w:szCs w:val="16"/>
              </w:rPr>
            </w:pPr>
            <w:r w:rsidRPr="00C26AE2">
              <w:rPr>
                <w:rFonts w:ascii="Cambria" w:hAnsi="Cambria"/>
                <w:i/>
                <w:iCs/>
                <w:sz w:val="16"/>
                <w:szCs w:val="16"/>
                <w:u w:val="single"/>
              </w:rPr>
              <w:t>Source</w:t>
            </w:r>
            <w:r w:rsidRPr="00C26AE2">
              <w:rPr>
                <w:rFonts w:ascii="Cambria" w:hAnsi="Cambria"/>
                <w:sz w:val="16"/>
                <w:szCs w:val="16"/>
              </w:rPr>
              <w:t>: BETTER FINANCE own composition based on OECD data</w:t>
            </w:r>
          </w:p>
          <w:p w14:paraId="2A4D9269" w14:textId="77777777" w:rsidR="00C26AE2" w:rsidRPr="00C26AE2" w:rsidRDefault="00C26AE2" w:rsidP="00C26AE2">
            <w:pPr>
              <w:spacing w:after="120" w:line="276" w:lineRule="auto"/>
              <w:jc w:val="both"/>
              <w:rPr>
                <w:rFonts w:ascii="Cambria" w:hAnsi="Cambria"/>
                <w:sz w:val="20"/>
                <w:szCs w:val="20"/>
              </w:rPr>
            </w:pPr>
            <w:r w:rsidRPr="00C26AE2">
              <w:rPr>
                <w:rFonts w:ascii="Cambria" w:hAnsi="Cambria"/>
                <w:sz w:val="20"/>
                <w:szCs w:val="20"/>
              </w:rPr>
              <w:t>In addition, a 2009 publication reported that the operating costs (administrative and investment) in the Netherlands of about 458 pension plans ranged between 0.2% and 1.3%,</w:t>
            </w:r>
            <w:r w:rsidRPr="00C26AE2">
              <w:rPr>
                <w:rStyle w:val="FootnoteReference"/>
                <w:rFonts w:ascii="Cambria" w:hAnsi="Cambria"/>
                <w:sz w:val="20"/>
                <w:szCs w:val="20"/>
              </w:rPr>
              <w:footnoteReference w:id="23"/>
            </w:r>
            <w:r w:rsidRPr="00C26AE2">
              <w:rPr>
                <w:rFonts w:ascii="Cambria" w:hAnsi="Cambria"/>
                <w:sz w:val="20"/>
                <w:szCs w:val="20"/>
              </w:rPr>
              <w:t xml:space="preserve"> but the fact that many of them charged too high fees lead to the closure of over 300 funds over the course of 1992-2004.</w:t>
            </w:r>
            <w:r w:rsidRPr="00C26AE2">
              <w:rPr>
                <w:rStyle w:val="FootnoteReference"/>
                <w:rFonts w:ascii="Cambria" w:hAnsi="Cambria"/>
                <w:sz w:val="20"/>
                <w:szCs w:val="20"/>
              </w:rPr>
              <w:footnoteReference w:id="24"/>
            </w:r>
            <w:r w:rsidRPr="00C26AE2">
              <w:rPr>
                <w:rFonts w:ascii="Cambria" w:hAnsi="Cambria"/>
                <w:sz w:val="20"/>
                <w:szCs w:val="20"/>
              </w:rPr>
              <w:t xml:space="preserve"> In the U.S. market, a 2014 report</w:t>
            </w:r>
            <w:r w:rsidRPr="00C26AE2">
              <w:rPr>
                <w:rStyle w:val="FootnoteReference"/>
                <w:rFonts w:ascii="Cambria" w:hAnsi="Cambria"/>
                <w:sz w:val="20"/>
                <w:szCs w:val="20"/>
              </w:rPr>
              <w:footnoteReference w:id="25"/>
            </w:r>
            <w:r w:rsidRPr="00C26AE2">
              <w:rPr>
                <w:rFonts w:ascii="Cambria" w:hAnsi="Cambria"/>
                <w:sz w:val="20"/>
                <w:szCs w:val="20"/>
              </w:rPr>
              <w:t xml:space="preserve"> on 401(k) plans reported that the average fee 52 million U.S. contributors paid for their retirement provision was 1%, others noting in this connection that “</w:t>
            </w:r>
            <w:r w:rsidRPr="00C26AE2">
              <w:rPr>
                <w:rFonts w:ascii="Cambria" w:hAnsi="Cambria"/>
                <w:i/>
                <w:iCs/>
                <w:sz w:val="20"/>
                <w:szCs w:val="20"/>
              </w:rPr>
              <w:t>anything above 1%</w:t>
            </w:r>
            <w:r w:rsidRPr="00C26AE2">
              <w:rPr>
                <w:rFonts w:ascii="Cambria" w:hAnsi="Cambria"/>
                <w:sz w:val="20"/>
                <w:szCs w:val="20"/>
              </w:rPr>
              <w:t xml:space="preserve"> […] </w:t>
            </w:r>
            <w:r w:rsidRPr="00C26AE2">
              <w:rPr>
                <w:rFonts w:ascii="Cambria" w:hAnsi="Cambria"/>
                <w:i/>
                <w:iCs/>
                <w:sz w:val="20"/>
                <w:szCs w:val="20"/>
              </w:rPr>
              <w:t>is a rip-off</w:t>
            </w:r>
            <w:r w:rsidRPr="00C26AE2">
              <w:rPr>
                <w:rFonts w:ascii="Cambria" w:hAnsi="Cambria"/>
                <w:sz w:val="20"/>
                <w:szCs w:val="20"/>
              </w:rPr>
              <w:t>”.</w:t>
            </w:r>
            <w:r w:rsidRPr="00C26AE2">
              <w:rPr>
                <w:rStyle w:val="FootnoteReference"/>
                <w:rFonts w:ascii="Cambria" w:hAnsi="Cambria"/>
                <w:sz w:val="20"/>
                <w:szCs w:val="20"/>
              </w:rPr>
              <w:footnoteReference w:id="26"/>
            </w:r>
          </w:p>
          <w:p w14:paraId="7CF6914B" w14:textId="77777777" w:rsidR="00C26AE2" w:rsidRPr="00C26AE2" w:rsidRDefault="00C26AE2" w:rsidP="00C26AE2">
            <w:pPr>
              <w:spacing w:after="120" w:line="276" w:lineRule="auto"/>
              <w:jc w:val="both"/>
              <w:rPr>
                <w:rFonts w:ascii="Cambria" w:hAnsi="Cambria"/>
                <w:sz w:val="20"/>
                <w:szCs w:val="20"/>
              </w:rPr>
            </w:pPr>
            <w:r w:rsidRPr="00C26AE2">
              <w:rPr>
                <w:rFonts w:ascii="Cambria" w:hAnsi="Cambria"/>
                <w:sz w:val="20"/>
                <w:szCs w:val="20"/>
              </w:rPr>
              <w:lastRenderedPageBreak/>
              <w:t>Building on the stated reasons in the PEPP Regulation and EIOPA Consultation Paper to create a cost-efficient basic PEPP, coupled with BETTER FINANCE’s ample scientific evidence that charging more will only reduce more the annual returns,</w:t>
            </w:r>
            <w:r w:rsidRPr="00C26AE2">
              <w:rPr>
                <w:rStyle w:val="FootnoteReference"/>
                <w:rFonts w:ascii="Cambria" w:hAnsi="Cambria"/>
                <w:sz w:val="20"/>
                <w:szCs w:val="20"/>
              </w:rPr>
              <w:footnoteReference w:id="27"/>
            </w:r>
            <w:r w:rsidRPr="00C26AE2">
              <w:rPr>
                <w:rFonts w:ascii="Cambria" w:hAnsi="Cambria"/>
                <w:sz w:val="20"/>
                <w:szCs w:val="20"/>
              </w:rPr>
              <w:t xml:space="preserve"> BETTER FINANCE believe that the crucial element of the basic PEPP is to keep in place an </w:t>
            </w:r>
            <w:r w:rsidRPr="00C26AE2">
              <w:rPr>
                <w:rFonts w:ascii="Cambria" w:hAnsi="Cambria"/>
                <w:b/>
                <w:bCs/>
                <w:color w:val="0070C0"/>
                <w:sz w:val="20"/>
                <w:szCs w:val="20"/>
                <w:u w:val="single"/>
              </w:rPr>
              <w:t>all-inclusive 1% fee cap</w:t>
            </w:r>
            <w:r w:rsidRPr="00C26AE2">
              <w:rPr>
                <w:rFonts w:ascii="Cambria" w:hAnsi="Cambria"/>
                <w:sz w:val="20"/>
                <w:szCs w:val="20"/>
              </w:rPr>
              <w:t>.</w:t>
            </w:r>
          </w:p>
          <w:p w14:paraId="1A30F192" w14:textId="77777777" w:rsidR="00C26AE2" w:rsidRPr="00C26AE2" w:rsidRDefault="00C26AE2" w:rsidP="00C26AE2">
            <w:pPr>
              <w:spacing w:after="120" w:line="276" w:lineRule="auto"/>
              <w:jc w:val="both"/>
              <w:rPr>
                <w:rFonts w:ascii="Cambria" w:hAnsi="Cambria"/>
                <w:sz w:val="20"/>
                <w:szCs w:val="20"/>
              </w:rPr>
            </w:pPr>
            <w:r w:rsidRPr="00C26AE2">
              <w:rPr>
                <w:rFonts w:ascii="Cambria" w:hAnsi="Cambria"/>
                <w:sz w:val="20"/>
                <w:szCs w:val="20"/>
              </w:rPr>
              <w:t xml:space="preserve">Additionally, there is a </w:t>
            </w:r>
            <w:r w:rsidRPr="00C26AE2">
              <w:rPr>
                <w:rFonts w:ascii="Cambria" w:hAnsi="Cambria"/>
                <w:b/>
                <w:bCs/>
                <w:color w:val="0070C0"/>
                <w:sz w:val="20"/>
                <w:szCs w:val="20"/>
              </w:rPr>
              <w:t>significant risk</w:t>
            </w:r>
            <w:r w:rsidRPr="00C26AE2">
              <w:rPr>
                <w:rFonts w:ascii="Cambria" w:hAnsi="Cambria"/>
                <w:color w:val="0070C0"/>
                <w:sz w:val="20"/>
                <w:szCs w:val="20"/>
              </w:rPr>
              <w:t xml:space="preserve"> </w:t>
            </w:r>
            <w:r w:rsidRPr="00C26AE2">
              <w:rPr>
                <w:rFonts w:ascii="Cambria" w:hAnsi="Cambria"/>
                <w:sz w:val="20"/>
                <w:szCs w:val="20"/>
              </w:rPr>
              <w:t xml:space="preserve">that allowing cost categories to be excluded from the fee cap will severely </w:t>
            </w:r>
            <w:r w:rsidRPr="00C26AE2">
              <w:rPr>
                <w:rFonts w:ascii="Cambria" w:hAnsi="Cambria"/>
                <w:b/>
                <w:bCs/>
                <w:color w:val="0070C0"/>
                <w:sz w:val="20"/>
                <w:szCs w:val="20"/>
              </w:rPr>
              <w:t>backfire</w:t>
            </w:r>
            <w:r w:rsidRPr="00C26AE2">
              <w:rPr>
                <w:rFonts w:ascii="Cambria" w:hAnsi="Cambria"/>
                <w:sz w:val="20"/>
                <w:szCs w:val="20"/>
              </w:rPr>
              <w:t xml:space="preserve"> against the PEPP project. This is because the basic PEPP label will be sold with the highlight that “</w:t>
            </w:r>
            <w:r w:rsidRPr="00C26AE2">
              <w:rPr>
                <w:rFonts w:ascii="Cambria" w:hAnsi="Cambria"/>
                <w:b/>
                <w:bCs/>
                <w:sz w:val="20"/>
                <w:szCs w:val="20"/>
              </w:rPr>
              <w:t>all the costs you pay are…</w:t>
            </w:r>
            <w:r w:rsidRPr="00C26AE2">
              <w:rPr>
                <w:rFonts w:ascii="Cambria" w:hAnsi="Cambria"/>
                <w:sz w:val="20"/>
                <w:szCs w:val="20"/>
              </w:rPr>
              <w:t>” but, in reality, savers will find out that they have to pay more.</w:t>
            </w:r>
          </w:p>
          <w:p w14:paraId="62B02350" w14:textId="559BD896" w:rsidR="00C26AE2" w:rsidRDefault="00C26AE2" w:rsidP="00C26AE2">
            <w:pPr>
              <w:spacing w:after="120" w:line="276" w:lineRule="auto"/>
              <w:jc w:val="both"/>
              <w:rPr>
                <w:rFonts w:ascii="Cambria" w:hAnsi="Cambria"/>
                <w:sz w:val="20"/>
                <w:szCs w:val="20"/>
              </w:rPr>
            </w:pPr>
            <w:r w:rsidRPr="00C26AE2">
              <w:rPr>
                <w:rFonts w:ascii="Cambria" w:hAnsi="Cambria"/>
                <w:sz w:val="20"/>
                <w:szCs w:val="20"/>
              </w:rPr>
              <w:t xml:space="preserve">This would cause a severe </w:t>
            </w:r>
            <w:r w:rsidRPr="00C26AE2">
              <w:rPr>
                <w:rFonts w:ascii="Cambria" w:hAnsi="Cambria"/>
                <w:b/>
                <w:bCs/>
                <w:color w:val="0070C0"/>
                <w:sz w:val="20"/>
                <w:szCs w:val="20"/>
              </w:rPr>
              <w:t>erosion of trust</w:t>
            </w:r>
            <w:r w:rsidRPr="00C26AE2">
              <w:rPr>
                <w:rFonts w:ascii="Cambria" w:hAnsi="Cambria"/>
                <w:sz w:val="20"/>
                <w:szCs w:val="20"/>
              </w:rPr>
              <w:t xml:space="preserve"> in the PEPP and the incentive or attractiveness for savers to buy this product.</w:t>
            </w:r>
          </w:p>
          <w:p w14:paraId="56D0D506" w14:textId="413386B0" w:rsidR="004B79C7" w:rsidRDefault="004B79C7" w:rsidP="00343A1F">
            <w:pPr>
              <w:spacing w:line="276" w:lineRule="auto"/>
              <w:jc w:val="both"/>
              <w:rPr>
                <w:rFonts w:ascii="Cambria" w:hAnsi="Cambria"/>
                <w:sz w:val="20"/>
                <w:szCs w:val="20"/>
              </w:rPr>
            </w:pPr>
            <w:r w:rsidRPr="00BF35EA">
              <w:rPr>
                <w:rFonts w:ascii="Cambria" w:hAnsi="Cambria"/>
                <w:b/>
                <w:bCs/>
                <w:color w:val="0070C0"/>
                <w:sz w:val="20"/>
                <w:szCs w:val="20"/>
                <w:u w:val="single"/>
              </w:rPr>
              <w:t>However</w:t>
            </w:r>
            <w:r>
              <w:rPr>
                <w:rFonts w:ascii="Cambria" w:hAnsi="Cambria"/>
                <w:sz w:val="20"/>
                <w:szCs w:val="20"/>
              </w:rPr>
              <w:t xml:space="preserve">, a breakeven solution for EIOPA would be to </w:t>
            </w:r>
            <w:r w:rsidR="005233EB">
              <w:rPr>
                <w:rFonts w:ascii="Cambria" w:hAnsi="Cambria"/>
                <w:sz w:val="20"/>
                <w:szCs w:val="20"/>
              </w:rPr>
              <w:t xml:space="preserve">allow exclusively </w:t>
            </w:r>
            <w:bookmarkStart w:id="5" w:name="_GoBack"/>
            <w:bookmarkEnd w:id="5"/>
            <w:r w:rsidR="005233EB">
              <w:rPr>
                <w:rFonts w:ascii="Cambria" w:hAnsi="Cambria"/>
                <w:b/>
                <w:bCs/>
                <w:sz w:val="20"/>
                <w:szCs w:val="20"/>
              </w:rPr>
              <w:t>independent advice</w:t>
            </w:r>
            <w:r w:rsidR="005233EB">
              <w:rPr>
                <w:rFonts w:ascii="Cambria" w:hAnsi="Cambria"/>
                <w:sz w:val="20"/>
                <w:szCs w:val="20"/>
              </w:rPr>
              <w:t xml:space="preserve"> to be excluded from the fee cap, provided the following:</w:t>
            </w:r>
          </w:p>
          <w:p w14:paraId="7365BBA4" w14:textId="515E4084" w:rsidR="005233EB" w:rsidRDefault="00343A1F" w:rsidP="00343A1F">
            <w:pPr>
              <w:pStyle w:val="ListParagraph"/>
              <w:numPr>
                <w:ilvl w:val="0"/>
                <w:numId w:val="21"/>
              </w:numPr>
              <w:spacing w:line="276" w:lineRule="auto"/>
              <w:jc w:val="both"/>
              <w:rPr>
                <w:rFonts w:ascii="Cambria" w:hAnsi="Cambria"/>
                <w:sz w:val="20"/>
                <w:szCs w:val="20"/>
              </w:rPr>
            </w:pPr>
            <w:r>
              <w:rPr>
                <w:rFonts w:ascii="Cambria" w:hAnsi="Cambria"/>
                <w:sz w:val="20"/>
                <w:szCs w:val="20"/>
              </w:rPr>
              <w:t>t</w:t>
            </w:r>
            <w:r w:rsidR="005233EB">
              <w:rPr>
                <w:rFonts w:ascii="Cambria" w:hAnsi="Cambria"/>
                <w:sz w:val="20"/>
                <w:szCs w:val="20"/>
              </w:rPr>
              <w:t xml:space="preserve">he product manufacturer does not charge </w:t>
            </w:r>
            <w:r w:rsidR="00545507">
              <w:rPr>
                <w:rFonts w:ascii="Cambria" w:hAnsi="Cambria"/>
                <w:sz w:val="20"/>
                <w:szCs w:val="20"/>
              </w:rPr>
              <w:t>sales or distribution fees;</w:t>
            </w:r>
          </w:p>
          <w:p w14:paraId="28BFC048" w14:textId="5B39FC16" w:rsidR="00545507" w:rsidRDefault="00343A1F" w:rsidP="00343A1F">
            <w:pPr>
              <w:pStyle w:val="ListParagraph"/>
              <w:numPr>
                <w:ilvl w:val="0"/>
                <w:numId w:val="21"/>
              </w:numPr>
              <w:spacing w:line="276" w:lineRule="auto"/>
              <w:jc w:val="both"/>
              <w:rPr>
                <w:rFonts w:ascii="Cambria" w:hAnsi="Cambria"/>
                <w:sz w:val="20"/>
                <w:szCs w:val="20"/>
              </w:rPr>
            </w:pPr>
            <w:r>
              <w:rPr>
                <w:rFonts w:ascii="Cambria" w:hAnsi="Cambria"/>
                <w:sz w:val="20"/>
                <w:szCs w:val="20"/>
              </w:rPr>
              <w:t>a</w:t>
            </w:r>
            <w:r w:rsidR="00545507">
              <w:rPr>
                <w:rFonts w:ascii="Cambria" w:hAnsi="Cambria"/>
                <w:sz w:val="20"/>
                <w:szCs w:val="20"/>
              </w:rPr>
              <w:t>dvice is provided by an independent financial advisor (no inducements, kick-backs, retrocessions applied</w:t>
            </w:r>
            <w:r w:rsidR="00BD20BF">
              <w:rPr>
                <w:rFonts w:ascii="Cambria" w:hAnsi="Cambria"/>
                <w:sz w:val="20"/>
                <w:szCs w:val="20"/>
              </w:rPr>
              <w:t xml:space="preserve"> or any other non-monetary benefit</w:t>
            </w:r>
            <w:r w:rsidR="00545507">
              <w:rPr>
                <w:rFonts w:ascii="Cambria" w:hAnsi="Cambria"/>
                <w:sz w:val="20"/>
                <w:szCs w:val="20"/>
              </w:rPr>
              <w:t>);</w:t>
            </w:r>
          </w:p>
          <w:p w14:paraId="79F70289" w14:textId="1ECB5276" w:rsidR="00B404DB" w:rsidRPr="005233EB" w:rsidRDefault="00343A1F" w:rsidP="005233EB">
            <w:pPr>
              <w:pStyle w:val="ListParagraph"/>
              <w:numPr>
                <w:ilvl w:val="0"/>
                <w:numId w:val="21"/>
              </w:numPr>
              <w:spacing w:after="120" w:line="276" w:lineRule="auto"/>
              <w:jc w:val="both"/>
              <w:rPr>
                <w:rFonts w:ascii="Cambria" w:hAnsi="Cambria"/>
                <w:sz w:val="20"/>
                <w:szCs w:val="20"/>
              </w:rPr>
            </w:pPr>
            <w:r>
              <w:rPr>
                <w:rFonts w:ascii="Cambria" w:hAnsi="Cambria"/>
                <w:sz w:val="20"/>
                <w:szCs w:val="20"/>
              </w:rPr>
              <w:t>t</w:t>
            </w:r>
            <w:r w:rsidR="00B404DB">
              <w:rPr>
                <w:rFonts w:ascii="Cambria" w:hAnsi="Cambria"/>
                <w:sz w:val="20"/>
                <w:szCs w:val="20"/>
              </w:rPr>
              <w:t>he exclusion is clearly stated in the KID</w:t>
            </w:r>
            <w:r w:rsidR="00212E99">
              <w:rPr>
                <w:rFonts w:ascii="Cambria" w:hAnsi="Cambria"/>
                <w:sz w:val="20"/>
                <w:szCs w:val="20"/>
              </w:rPr>
              <w:t xml:space="preserve"> due to the fact that </w:t>
            </w:r>
            <w:r w:rsidR="006210B2">
              <w:rPr>
                <w:rFonts w:ascii="Cambria" w:hAnsi="Cambria"/>
                <w:sz w:val="20"/>
                <w:szCs w:val="20"/>
              </w:rPr>
              <w:t xml:space="preserve">the product manufacturer does not charge any cost of sale or distribution, therefore the saver must </w:t>
            </w:r>
            <w:r w:rsidR="00BF35EA">
              <w:rPr>
                <w:rFonts w:ascii="Cambria" w:hAnsi="Cambria"/>
                <w:sz w:val="20"/>
                <w:szCs w:val="20"/>
              </w:rPr>
              <w:t>bear the cost of independent advice.</w:t>
            </w:r>
          </w:p>
          <w:p w14:paraId="1A479386" w14:textId="77777777" w:rsidR="00C26AE2" w:rsidRPr="00C26AE2" w:rsidRDefault="00C26AE2" w:rsidP="00C26AE2">
            <w:pPr>
              <w:pStyle w:val="Heading2"/>
              <w:spacing w:before="0" w:after="120" w:line="276" w:lineRule="auto"/>
              <w:rPr>
                <w:rFonts w:ascii="Cambria" w:hAnsi="Cambria"/>
                <w:color w:val="0070C0"/>
                <w:sz w:val="20"/>
                <w:szCs w:val="20"/>
              </w:rPr>
            </w:pPr>
            <w:bookmarkStart w:id="6" w:name="_Toc33566156"/>
            <w:r w:rsidRPr="00C26AE2">
              <w:rPr>
                <w:rFonts w:ascii="Cambria" w:hAnsi="Cambria"/>
                <w:i w:val="0"/>
                <w:iCs w:val="0"/>
                <w:color w:val="0070C0"/>
                <w:sz w:val="20"/>
                <w:szCs w:val="20"/>
              </w:rPr>
              <w:lastRenderedPageBreak/>
              <w:t>Cost of the guarantee</w:t>
            </w:r>
            <w:bookmarkEnd w:id="6"/>
          </w:p>
          <w:p w14:paraId="46F33EE4" w14:textId="77777777" w:rsidR="00C26AE2" w:rsidRPr="00C26AE2" w:rsidRDefault="00C26AE2" w:rsidP="00C26AE2">
            <w:pPr>
              <w:spacing w:after="120" w:line="276" w:lineRule="auto"/>
              <w:jc w:val="both"/>
              <w:rPr>
                <w:rFonts w:ascii="Cambria" w:hAnsi="Cambria"/>
                <w:sz w:val="20"/>
                <w:szCs w:val="20"/>
              </w:rPr>
            </w:pPr>
            <w:r w:rsidRPr="00C26AE2">
              <w:rPr>
                <w:rFonts w:ascii="Cambria" w:hAnsi="Cambria"/>
                <w:sz w:val="20"/>
                <w:szCs w:val="20"/>
              </w:rPr>
              <w:t xml:space="preserve">In relation to the cost of the guarantee, we believe that the PEPP Level 1 Regulation is sufficiently clear in the sense that it must be included in the 1% fee cap. Moreover, input from our German member association working on the protection of the insured (Bund der </w:t>
            </w:r>
            <w:proofErr w:type="spellStart"/>
            <w:r w:rsidRPr="00C26AE2">
              <w:rPr>
                <w:rFonts w:ascii="Cambria" w:hAnsi="Cambria"/>
                <w:sz w:val="20"/>
                <w:szCs w:val="20"/>
              </w:rPr>
              <w:t>Versicherten</w:t>
            </w:r>
            <w:proofErr w:type="spellEnd"/>
            <w:r w:rsidRPr="00C26AE2">
              <w:rPr>
                <w:rFonts w:ascii="Cambria" w:hAnsi="Cambria"/>
                <w:sz w:val="20"/>
                <w:szCs w:val="20"/>
              </w:rPr>
              <w:t>) indicates that, so far, there are no demonstrated actuarial methodologies to clearly calculate the cost of this financial guarantee. Therefore, we fear that if EIOPA would choose to exclude a cost that cannot be accurately calculated, it will open the door for product manufacturers embedding a capital guarantee to take out much more costs than what would be necessary for this risk-mitigation technique.</w:t>
            </w:r>
          </w:p>
          <w:p w14:paraId="7CC0880B" w14:textId="77777777" w:rsidR="00C26AE2" w:rsidRPr="00C26AE2" w:rsidRDefault="00C26AE2" w:rsidP="00C26AE2">
            <w:pPr>
              <w:spacing w:after="120" w:line="276" w:lineRule="auto"/>
              <w:jc w:val="both"/>
              <w:rPr>
                <w:rFonts w:ascii="Cambria" w:hAnsi="Cambria"/>
                <w:sz w:val="20"/>
                <w:szCs w:val="20"/>
              </w:rPr>
            </w:pPr>
            <w:r w:rsidRPr="00C26AE2">
              <w:rPr>
                <w:rFonts w:ascii="Cambria" w:hAnsi="Cambria"/>
                <w:sz w:val="20"/>
                <w:szCs w:val="20"/>
              </w:rPr>
              <w:t>Second, contrary to the stated objective of ensuring a level-playing field, we believe that excluding the cost of the guarantee would mean an unjustified competitive advantage for life-insurance products – as these are the most common to include such technique – compared to other PEPP providers. The other risk-mitigation techniques may also have “specific” costs to implement them into a financial product, therefore EIOPA cannot justify this exception from the 1% fee cap. Moreover, excluding the cost of the guarantee could create confusion among PEPP savers, following the same rationale for the costs of distribution (selling and advice).</w:t>
            </w:r>
          </w:p>
          <w:p w14:paraId="012FF853" w14:textId="77777777" w:rsidR="00C26AE2" w:rsidRPr="00C26AE2" w:rsidRDefault="00C26AE2" w:rsidP="00C26AE2">
            <w:pPr>
              <w:spacing w:after="120" w:line="276" w:lineRule="auto"/>
              <w:jc w:val="both"/>
              <w:rPr>
                <w:rFonts w:ascii="Cambria" w:hAnsi="Cambria"/>
                <w:sz w:val="20"/>
                <w:szCs w:val="20"/>
              </w:rPr>
            </w:pPr>
            <w:r w:rsidRPr="00C26AE2">
              <w:rPr>
                <w:rFonts w:ascii="Cambria" w:hAnsi="Cambria"/>
                <w:sz w:val="20"/>
                <w:szCs w:val="20"/>
              </w:rPr>
              <w:t xml:space="preserve">Last, this would add “insult to injury” as we have seen that the </w:t>
            </w:r>
            <w:r w:rsidRPr="00C26AE2">
              <w:rPr>
                <w:rFonts w:ascii="Cambria" w:hAnsi="Cambria"/>
                <w:i/>
                <w:iCs/>
                <w:sz w:val="20"/>
                <w:szCs w:val="20"/>
              </w:rPr>
              <w:t xml:space="preserve">capital guarantee </w:t>
            </w:r>
            <w:r w:rsidRPr="00C26AE2">
              <w:rPr>
                <w:rFonts w:ascii="Cambria" w:hAnsi="Cambria"/>
                <w:sz w:val="20"/>
                <w:szCs w:val="20"/>
              </w:rPr>
              <w:t xml:space="preserve">for the basic PEPP, is excluding accumulated fees and the very negative impact of inflation on the real value of “capital”, so actually PEPP savers will be misleadingly informed that they must pay an </w:t>
            </w:r>
            <w:r w:rsidRPr="00C26AE2">
              <w:rPr>
                <w:rFonts w:ascii="Cambria" w:hAnsi="Cambria"/>
                <w:b/>
                <w:bCs/>
                <w:sz w:val="20"/>
                <w:szCs w:val="20"/>
              </w:rPr>
              <w:t>extra cost</w:t>
            </w:r>
            <w:r w:rsidRPr="00C26AE2">
              <w:rPr>
                <w:rFonts w:ascii="Cambria" w:hAnsi="Cambria"/>
                <w:sz w:val="20"/>
                <w:szCs w:val="20"/>
              </w:rPr>
              <w:t xml:space="preserve"> for the basic PEPP for a very </w:t>
            </w:r>
            <w:r w:rsidRPr="00C26AE2">
              <w:rPr>
                <w:rFonts w:ascii="Cambria" w:hAnsi="Cambria"/>
                <w:b/>
                <w:bCs/>
                <w:sz w:val="20"/>
                <w:szCs w:val="20"/>
              </w:rPr>
              <w:t>fractional</w:t>
            </w:r>
            <w:r w:rsidRPr="00C26AE2">
              <w:rPr>
                <w:rFonts w:ascii="Cambria" w:hAnsi="Cambria"/>
                <w:sz w:val="20"/>
                <w:szCs w:val="20"/>
              </w:rPr>
              <w:t xml:space="preserve"> capital guarantee– as the situation currently stands. In addition, the prominent warning requested by BETTER FINANCE that this “capital guarantee” does not cover </w:t>
            </w:r>
            <w:r w:rsidRPr="00C26AE2">
              <w:rPr>
                <w:rFonts w:ascii="Cambria" w:hAnsi="Cambria"/>
                <w:sz w:val="20"/>
                <w:szCs w:val="20"/>
              </w:rPr>
              <w:lastRenderedPageBreak/>
              <w:t>accumulated fees and the negative impact of inflation is not foreseen in the PEPP KID, thus violating an essential information rule of MiFID.</w:t>
            </w:r>
          </w:p>
          <w:p w14:paraId="2856320A" w14:textId="43E4465B" w:rsidR="00C26AE2" w:rsidRDefault="00C26AE2" w:rsidP="00C26AE2">
            <w:pPr>
              <w:spacing w:after="120" w:line="276" w:lineRule="auto"/>
              <w:jc w:val="both"/>
              <w:rPr>
                <w:rFonts w:ascii="Cambria" w:hAnsi="Cambria"/>
                <w:b/>
                <w:bCs/>
                <w:sz w:val="20"/>
                <w:szCs w:val="20"/>
              </w:rPr>
            </w:pPr>
            <w:r w:rsidRPr="00C26AE2">
              <w:rPr>
                <w:rFonts w:ascii="Cambria" w:hAnsi="Cambria"/>
                <w:sz w:val="20"/>
                <w:szCs w:val="20"/>
              </w:rPr>
              <w:t xml:space="preserve">As a consequence, </w:t>
            </w:r>
            <w:r w:rsidRPr="00C26AE2">
              <w:rPr>
                <w:rFonts w:ascii="Cambria" w:hAnsi="Cambria"/>
                <w:b/>
                <w:bCs/>
                <w:sz w:val="20"/>
                <w:szCs w:val="20"/>
              </w:rPr>
              <w:t>EIOPA must keep all costs, including the cost of the guarantee, in the 1% fee cap.</w:t>
            </w:r>
          </w:p>
          <w:p w14:paraId="276BEAE6" w14:textId="7F3C1393" w:rsidR="003033B7" w:rsidRDefault="003033B7" w:rsidP="00C26AE2">
            <w:pPr>
              <w:spacing w:after="120" w:line="276" w:lineRule="auto"/>
              <w:jc w:val="both"/>
              <w:rPr>
                <w:rFonts w:ascii="Cambria" w:hAnsi="Cambria"/>
                <w:sz w:val="20"/>
                <w:szCs w:val="20"/>
              </w:rPr>
            </w:pPr>
            <w:r>
              <w:rPr>
                <w:rFonts w:ascii="Cambria" w:hAnsi="Cambria"/>
                <w:b/>
                <w:bCs/>
                <w:sz w:val="20"/>
                <w:szCs w:val="20"/>
              </w:rPr>
              <w:t xml:space="preserve">However, </w:t>
            </w:r>
            <w:r>
              <w:rPr>
                <w:rFonts w:ascii="Cambria" w:hAnsi="Cambria"/>
                <w:sz w:val="20"/>
                <w:szCs w:val="20"/>
              </w:rPr>
              <w:t xml:space="preserve">again BETTER FINANCE proposes a breakeven solution for EIOPA. Pursuant to </w:t>
            </w:r>
            <w:r w:rsidR="00F5557D">
              <w:rPr>
                <w:rFonts w:ascii="Cambria" w:hAnsi="Cambria"/>
                <w:sz w:val="20"/>
                <w:szCs w:val="20"/>
              </w:rPr>
              <w:t>the justification laid down by EIOPA in the consultation paper, additional features to the basic PEPP (</w:t>
            </w:r>
            <w:r w:rsidR="00F52185">
              <w:rPr>
                <w:rFonts w:ascii="Cambria" w:hAnsi="Cambria"/>
                <w:sz w:val="20"/>
                <w:szCs w:val="20"/>
              </w:rPr>
              <w:t xml:space="preserve">i.e. additional to the minimum required by the Level 1 Regulation) should </w:t>
            </w:r>
            <w:r w:rsidR="009F299B">
              <w:rPr>
                <w:rFonts w:ascii="Cambria" w:hAnsi="Cambria"/>
                <w:sz w:val="20"/>
                <w:szCs w:val="20"/>
              </w:rPr>
              <w:t xml:space="preserve">be paid by the </w:t>
            </w:r>
            <w:r w:rsidR="00CF028F">
              <w:rPr>
                <w:rFonts w:ascii="Cambria" w:hAnsi="Cambria"/>
                <w:sz w:val="20"/>
                <w:szCs w:val="20"/>
              </w:rPr>
              <w:t>PEPP saver.</w:t>
            </w:r>
          </w:p>
          <w:p w14:paraId="3EC7DA60" w14:textId="1F744735" w:rsidR="00CF028F" w:rsidRDefault="00CF028F" w:rsidP="00C26AE2">
            <w:pPr>
              <w:spacing w:after="120" w:line="276" w:lineRule="auto"/>
              <w:jc w:val="both"/>
              <w:rPr>
                <w:rFonts w:ascii="Cambria" w:hAnsi="Cambria"/>
                <w:sz w:val="20"/>
                <w:szCs w:val="20"/>
              </w:rPr>
            </w:pPr>
            <w:r>
              <w:rPr>
                <w:rFonts w:ascii="Cambria" w:hAnsi="Cambria"/>
                <w:sz w:val="20"/>
                <w:szCs w:val="20"/>
              </w:rPr>
              <w:t>Indeed, the Level 1 Regulation imposes, i</w:t>
            </w:r>
            <w:r w:rsidR="00391824">
              <w:rPr>
                <w:rFonts w:ascii="Cambria" w:hAnsi="Cambria"/>
                <w:sz w:val="20"/>
                <w:szCs w:val="20"/>
              </w:rPr>
              <w:t xml:space="preserve">n respect to a financial guarantee, a minimum of the nominal net accumulated contributions to be protected. This is embedded in the basic PEPP and falls into the 1% fee cap. </w:t>
            </w:r>
            <w:r w:rsidR="00CB76D8">
              <w:rPr>
                <w:rFonts w:ascii="Cambria" w:hAnsi="Cambria"/>
                <w:sz w:val="20"/>
                <w:szCs w:val="20"/>
              </w:rPr>
              <w:t xml:space="preserve">The level playing field </w:t>
            </w:r>
            <w:r w:rsidR="00FA3448">
              <w:rPr>
                <w:rFonts w:ascii="Cambria" w:hAnsi="Cambria"/>
                <w:sz w:val="20"/>
                <w:szCs w:val="20"/>
              </w:rPr>
              <w:t>is ensured as all manufacturers must incorporate a certain risk mitigation technique, which bears its own costs.</w:t>
            </w:r>
          </w:p>
          <w:p w14:paraId="7BC624F7" w14:textId="3E560CDB" w:rsidR="00391824" w:rsidRDefault="00391824" w:rsidP="00C26AE2">
            <w:pPr>
              <w:spacing w:after="120" w:line="276" w:lineRule="auto"/>
              <w:jc w:val="both"/>
              <w:rPr>
                <w:rFonts w:ascii="Cambria" w:hAnsi="Cambria"/>
                <w:sz w:val="20"/>
                <w:szCs w:val="20"/>
              </w:rPr>
            </w:pPr>
            <w:r>
              <w:rPr>
                <w:rFonts w:ascii="Cambria" w:hAnsi="Cambria"/>
                <w:sz w:val="20"/>
                <w:szCs w:val="20"/>
              </w:rPr>
              <w:t xml:space="preserve">If the PEPP manufacturer decides to accord a higher level of protection for savers </w:t>
            </w:r>
            <w:r w:rsidR="00FA3448">
              <w:rPr>
                <w:rFonts w:ascii="Cambria" w:hAnsi="Cambria"/>
                <w:sz w:val="20"/>
                <w:szCs w:val="20"/>
              </w:rPr>
              <w:t xml:space="preserve">within the capital guarantee, e.g. real net guarantee or </w:t>
            </w:r>
            <w:r w:rsidR="000311EE">
              <w:rPr>
                <w:rFonts w:ascii="Cambria" w:hAnsi="Cambria"/>
                <w:sz w:val="20"/>
                <w:szCs w:val="20"/>
              </w:rPr>
              <w:t xml:space="preserve">nominal gross guarantee etc., EIOPA could allow </w:t>
            </w:r>
            <w:r w:rsidR="000311EE">
              <w:rPr>
                <w:rFonts w:ascii="Cambria" w:hAnsi="Cambria"/>
                <w:b/>
                <w:bCs/>
                <w:sz w:val="20"/>
                <w:szCs w:val="20"/>
              </w:rPr>
              <w:t xml:space="preserve">exclusion only of </w:t>
            </w:r>
            <w:r w:rsidR="000311EE">
              <w:rPr>
                <w:rFonts w:ascii="Cambria" w:hAnsi="Cambria"/>
                <w:b/>
                <w:bCs/>
                <w:i/>
                <w:iCs/>
                <w:sz w:val="20"/>
                <w:szCs w:val="20"/>
                <w:u w:val="single"/>
              </w:rPr>
              <w:t>the difference</w:t>
            </w:r>
            <w:r w:rsidR="000311EE">
              <w:rPr>
                <w:rFonts w:ascii="Cambria" w:hAnsi="Cambria"/>
                <w:sz w:val="20"/>
                <w:szCs w:val="20"/>
              </w:rPr>
              <w:t xml:space="preserve"> between what is minimally required by the Level 1 Regulation and what is accorded extra.</w:t>
            </w:r>
          </w:p>
          <w:p w14:paraId="0637FD5C" w14:textId="173E9B83" w:rsidR="000311EE" w:rsidRDefault="00CB2772" w:rsidP="00C26AE2">
            <w:pPr>
              <w:spacing w:after="120" w:line="276" w:lineRule="auto"/>
              <w:jc w:val="both"/>
              <w:rPr>
                <w:rFonts w:ascii="Cambria" w:hAnsi="Cambria"/>
                <w:sz w:val="20"/>
                <w:szCs w:val="20"/>
              </w:rPr>
            </w:pPr>
            <w:r>
              <w:rPr>
                <w:rFonts w:ascii="Cambria" w:hAnsi="Cambria"/>
                <w:sz w:val="20"/>
                <w:szCs w:val="20"/>
              </w:rPr>
              <w:t>This should not be construed as a loophole for PEPP providers to unload costs into the “extra guarantee feature” and circumvent regulation. EIOPA must carefully assess this exception</w:t>
            </w:r>
            <w:r w:rsidR="008A6C17">
              <w:rPr>
                <w:rFonts w:ascii="Cambria" w:hAnsi="Cambria"/>
                <w:sz w:val="20"/>
                <w:szCs w:val="20"/>
              </w:rPr>
              <w:t xml:space="preserve">. Moreover, such an exception requires particular attention, supervision and enforcement from EIOPA </w:t>
            </w:r>
            <w:r w:rsidR="001D50BE">
              <w:rPr>
                <w:rFonts w:ascii="Cambria" w:hAnsi="Cambria"/>
                <w:sz w:val="20"/>
                <w:szCs w:val="20"/>
              </w:rPr>
              <w:t xml:space="preserve">and national competent authorities as, indicated above, if the cost of a financial guarantee cannot be precisely calculated, then it would prove difficult to calculate the </w:t>
            </w:r>
            <w:r w:rsidR="00E23866">
              <w:rPr>
                <w:rFonts w:ascii="Cambria" w:hAnsi="Cambria"/>
                <w:sz w:val="20"/>
                <w:szCs w:val="20"/>
              </w:rPr>
              <w:t>difference of the two.</w:t>
            </w:r>
          </w:p>
          <w:p w14:paraId="57E0BBE4" w14:textId="432C702F" w:rsidR="00E23866" w:rsidRDefault="00E23866" w:rsidP="00C26AE2">
            <w:pPr>
              <w:spacing w:after="120" w:line="276" w:lineRule="auto"/>
              <w:jc w:val="both"/>
              <w:rPr>
                <w:rFonts w:ascii="Cambria" w:hAnsi="Cambria"/>
                <w:sz w:val="20"/>
                <w:szCs w:val="20"/>
              </w:rPr>
            </w:pPr>
            <w:r>
              <w:rPr>
                <w:rFonts w:ascii="Cambria" w:hAnsi="Cambria"/>
                <w:sz w:val="20"/>
                <w:szCs w:val="20"/>
              </w:rPr>
              <w:t xml:space="preserve">However, such academic finding should not pre-empt innovation and product manufacturers which do find a viable solution to </w:t>
            </w:r>
            <w:proofErr w:type="spellStart"/>
            <w:r>
              <w:rPr>
                <w:rFonts w:ascii="Cambria" w:hAnsi="Cambria"/>
                <w:sz w:val="20"/>
                <w:szCs w:val="20"/>
              </w:rPr>
              <w:t>calculatge</w:t>
            </w:r>
            <w:proofErr w:type="spellEnd"/>
            <w:r>
              <w:rPr>
                <w:rFonts w:ascii="Cambria" w:hAnsi="Cambria"/>
                <w:sz w:val="20"/>
                <w:szCs w:val="20"/>
              </w:rPr>
              <w:t xml:space="preserve"> the cost of the guarantee. Moreover, we believe that this exception would incentivise PEPP providers to go above the minimum required by Level 1 Regulation</w:t>
            </w:r>
            <w:r w:rsidR="00505270">
              <w:rPr>
                <w:rFonts w:ascii="Cambria" w:hAnsi="Cambria"/>
                <w:sz w:val="20"/>
                <w:szCs w:val="20"/>
              </w:rPr>
              <w:t xml:space="preserve"> in this time of low interest rates.</w:t>
            </w:r>
          </w:p>
          <w:p w14:paraId="1AD88B40" w14:textId="20AFD368" w:rsidR="00505270" w:rsidRDefault="00505270" w:rsidP="00C26AE2">
            <w:pPr>
              <w:spacing w:after="120" w:line="276" w:lineRule="auto"/>
              <w:jc w:val="both"/>
              <w:rPr>
                <w:rFonts w:ascii="Cambria" w:hAnsi="Cambria"/>
                <w:sz w:val="20"/>
                <w:szCs w:val="20"/>
              </w:rPr>
            </w:pPr>
            <w:r>
              <w:rPr>
                <w:rFonts w:ascii="Cambria" w:hAnsi="Cambria"/>
                <w:sz w:val="20"/>
                <w:szCs w:val="20"/>
              </w:rPr>
              <w:t xml:space="preserve">Below we give a very simplistic example of how this exception could work in practice: </w:t>
            </w:r>
            <w:r w:rsidR="004A74BD">
              <w:rPr>
                <w:rFonts w:ascii="Cambria" w:hAnsi="Cambria"/>
                <w:sz w:val="20"/>
                <w:szCs w:val="20"/>
              </w:rPr>
              <w:t xml:space="preserve">assuming two providers who </w:t>
            </w:r>
            <w:r w:rsidR="00B53E4B">
              <w:rPr>
                <w:rFonts w:ascii="Cambria" w:hAnsi="Cambria"/>
                <w:sz w:val="20"/>
                <w:szCs w:val="20"/>
              </w:rPr>
              <w:t>offer a basic PEPP with a capital guarantee:</w:t>
            </w:r>
          </w:p>
          <w:p w14:paraId="144E0889" w14:textId="6A90AE13" w:rsidR="00B53E4B" w:rsidRDefault="00B53E4B" w:rsidP="00612567">
            <w:pPr>
              <w:pStyle w:val="ListParagraph"/>
              <w:numPr>
                <w:ilvl w:val="0"/>
                <w:numId w:val="22"/>
              </w:numPr>
              <w:spacing w:line="276" w:lineRule="auto"/>
              <w:jc w:val="both"/>
              <w:rPr>
                <w:rFonts w:ascii="Cambria" w:hAnsi="Cambria"/>
                <w:sz w:val="20"/>
                <w:szCs w:val="20"/>
              </w:rPr>
            </w:pPr>
            <w:r>
              <w:rPr>
                <w:rFonts w:ascii="Cambria" w:hAnsi="Cambria"/>
                <w:sz w:val="20"/>
                <w:szCs w:val="20"/>
              </w:rPr>
              <w:t>provider A:</w:t>
            </w:r>
          </w:p>
          <w:p w14:paraId="4B7301B1" w14:textId="32B9F272" w:rsidR="00B53E4B" w:rsidRDefault="00B53E4B" w:rsidP="00612567">
            <w:pPr>
              <w:pStyle w:val="ListParagraph"/>
              <w:numPr>
                <w:ilvl w:val="1"/>
                <w:numId w:val="22"/>
              </w:numPr>
              <w:spacing w:line="276" w:lineRule="auto"/>
              <w:jc w:val="both"/>
              <w:rPr>
                <w:rFonts w:ascii="Cambria" w:hAnsi="Cambria"/>
                <w:sz w:val="20"/>
                <w:szCs w:val="20"/>
              </w:rPr>
            </w:pPr>
            <w:r>
              <w:rPr>
                <w:rFonts w:ascii="Cambria" w:hAnsi="Cambria"/>
                <w:sz w:val="20"/>
                <w:szCs w:val="20"/>
              </w:rPr>
              <w:t>management fee: 0.5%</w:t>
            </w:r>
          </w:p>
          <w:p w14:paraId="2296CCE4" w14:textId="73E2C494" w:rsidR="00B53E4B" w:rsidRDefault="00B53E4B" w:rsidP="00612567">
            <w:pPr>
              <w:pStyle w:val="ListParagraph"/>
              <w:numPr>
                <w:ilvl w:val="1"/>
                <w:numId w:val="22"/>
              </w:numPr>
              <w:spacing w:line="276" w:lineRule="auto"/>
              <w:jc w:val="both"/>
              <w:rPr>
                <w:rFonts w:ascii="Cambria" w:hAnsi="Cambria"/>
                <w:sz w:val="20"/>
                <w:szCs w:val="20"/>
              </w:rPr>
            </w:pPr>
            <w:r>
              <w:rPr>
                <w:rFonts w:ascii="Cambria" w:hAnsi="Cambria"/>
                <w:sz w:val="20"/>
                <w:szCs w:val="20"/>
              </w:rPr>
              <w:t>sales &amp; distribution cost: 0.25%</w:t>
            </w:r>
          </w:p>
          <w:p w14:paraId="5D9C4A97" w14:textId="7745E477" w:rsidR="00B53E4B" w:rsidRDefault="00B53E4B" w:rsidP="00612567">
            <w:pPr>
              <w:pStyle w:val="ListParagraph"/>
              <w:numPr>
                <w:ilvl w:val="1"/>
                <w:numId w:val="22"/>
              </w:numPr>
              <w:spacing w:line="276" w:lineRule="auto"/>
              <w:jc w:val="both"/>
              <w:rPr>
                <w:rFonts w:ascii="Cambria" w:hAnsi="Cambria"/>
                <w:sz w:val="20"/>
                <w:szCs w:val="20"/>
              </w:rPr>
            </w:pPr>
            <w:r>
              <w:rPr>
                <w:rFonts w:ascii="Cambria" w:hAnsi="Cambria"/>
                <w:sz w:val="20"/>
                <w:szCs w:val="20"/>
              </w:rPr>
              <w:t xml:space="preserve">cost of the </w:t>
            </w:r>
            <w:r>
              <w:rPr>
                <w:rFonts w:ascii="Cambria" w:hAnsi="Cambria"/>
                <w:b/>
                <w:bCs/>
                <w:sz w:val="20"/>
                <w:szCs w:val="20"/>
              </w:rPr>
              <w:t>minimum</w:t>
            </w:r>
            <w:r>
              <w:rPr>
                <w:rFonts w:ascii="Cambria" w:hAnsi="Cambria"/>
                <w:sz w:val="20"/>
                <w:szCs w:val="20"/>
              </w:rPr>
              <w:t xml:space="preserve"> guarantee (</w:t>
            </w:r>
            <w:r w:rsidR="006D52F7">
              <w:rPr>
                <w:rFonts w:ascii="Cambria" w:hAnsi="Cambria"/>
                <w:sz w:val="20"/>
                <w:szCs w:val="20"/>
              </w:rPr>
              <w:t>nominal net accumulated contributions): 0.25%;</w:t>
            </w:r>
          </w:p>
          <w:p w14:paraId="4F5A97FA" w14:textId="40D1D289" w:rsidR="006D52F7" w:rsidRPr="00DF14D4" w:rsidRDefault="006D52F7" w:rsidP="006D52F7">
            <w:pPr>
              <w:pStyle w:val="ListParagraph"/>
              <w:numPr>
                <w:ilvl w:val="2"/>
                <w:numId w:val="22"/>
              </w:numPr>
              <w:spacing w:after="120" w:line="276" w:lineRule="auto"/>
              <w:jc w:val="both"/>
              <w:rPr>
                <w:rFonts w:ascii="Cambria" w:hAnsi="Cambria"/>
                <w:sz w:val="20"/>
                <w:szCs w:val="20"/>
                <w:u w:val="single"/>
              </w:rPr>
            </w:pPr>
            <w:r w:rsidRPr="00DF14D4">
              <w:rPr>
                <w:rFonts w:ascii="Cambria" w:hAnsi="Cambria"/>
                <w:sz w:val="20"/>
                <w:szCs w:val="20"/>
                <w:u w:val="single"/>
              </w:rPr>
              <w:t>total cost: 1%</w:t>
            </w:r>
          </w:p>
          <w:p w14:paraId="4C86B87F" w14:textId="30757DAD" w:rsidR="006D52F7" w:rsidRDefault="006D52F7" w:rsidP="00612567">
            <w:pPr>
              <w:pStyle w:val="ListParagraph"/>
              <w:numPr>
                <w:ilvl w:val="0"/>
                <w:numId w:val="22"/>
              </w:numPr>
              <w:spacing w:line="276" w:lineRule="auto"/>
              <w:jc w:val="both"/>
              <w:rPr>
                <w:rFonts w:ascii="Cambria" w:hAnsi="Cambria"/>
                <w:sz w:val="20"/>
                <w:szCs w:val="20"/>
              </w:rPr>
            </w:pPr>
            <w:r>
              <w:rPr>
                <w:rFonts w:ascii="Cambria" w:hAnsi="Cambria"/>
                <w:sz w:val="20"/>
                <w:szCs w:val="20"/>
              </w:rPr>
              <w:t>provider B:</w:t>
            </w:r>
          </w:p>
          <w:p w14:paraId="266325F3" w14:textId="405B9E92" w:rsidR="006D52F7" w:rsidRDefault="008E508C" w:rsidP="00612567">
            <w:pPr>
              <w:pStyle w:val="ListParagraph"/>
              <w:numPr>
                <w:ilvl w:val="1"/>
                <w:numId w:val="22"/>
              </w:numPr>
              <w:spacing w:line="276" w:lineRule="auto"/>
              <w:jc w:val="both"/>
              <w:rPr>
                <w:rFonts w:ascii="Cambria" w:hAnsi="Cambria"/>
                <w:sz w:val="20"/>
                <w:szCs w:val="20"/>
              </w:rPr>
            </w:pPr>
            <w:r>
              <w:rPr>
                <w:rFonts w:ascii="Cambria" w:hAnsi="Cambria"/>
                <w:sz w:val="20"/>
                <w:szCs w:val="20"/>
              </w:rPr>
              <w:t>management fee: 0.5%</w:t>
            </w:r>
          </w:p>
          <w:p w14:paraId="15DF2ED1" w14:textId="1C2D3B34" w:rsidR="008E508C" w:rsidRDefault="008E508C" w:rsidP="00612567">
            <w:pPr>
              <w:pStyle w:val="ListParagraph"/>
              <w:numPr>
                <w:ilvl w:val="1"/>
                <w:numId w:val="22"/>
              </w:numPr>
              <w:spacing w:line="276" w:lineRule="auto"/>
              <w:jc w:val="both"/>
              <w:rPr>
                <w:rFonts w:ascii="Cambria" w:hAnsi="Cambria"/>
                <w:sz w:val="20"/>
                <w:szCs w:val="20"/>
              </w:rPr>
            </w:pPr>
            <w:r>
              <w:rPr>
                <w:rFonts w:ascii="Cambria" w:hAnsi="Cambria"/>
                <w:sz w:val="20"/>
                <w:szCs w:val="20"/>
              </w:rPr>
              <w:t>sales &amp; distribution cost: 0.25%</w:t>
            </w:r>
          </w:p>
          <w:p w14:paraId="0E450DF7" w14:textId="05A05292" w:rsidR="008E508C" w:rsidRDefault="00612567" w:rsidP="00612567">
            <w:pPr>
              <w:pStyle w:val="ListParagraph"/>
              <w:numPr>
                <w:ilvl w:val="1"/>
                <w:numId w:val="22"/>
              </w:numPr>
              <w:spacing w:line="276" w:lineRule="auto"/>
              <w:jc w:val="both"/>
              <w:rPr>
                <w:rFonts w:ascii="Cambria" w:hAnsi="Cambria"/>
                <w:sz w:val="20"/>
                <w:szCs w:val="20"/>
              </w:rPr>
            </w:pPr>
            <w:r>
              <w:rPr>
                <w:rFonts w:ascii="Cambria" w:hAnsi="Cambria"/>
                <w:b/>
                <w:bCs/>
                <w:sz w:val="20"/>
                <w:szCs w:val="20"/>
              </w:rPr>
              <w:t>real gross guarantee</w:t>
            </w:r>
            <w:r>
              <w:rPr>
                <w:rFonts w:ascii="Cambria" w:hAnsi="Cambria"/>
                <w:sz w:val="20"/>
                <w:szCs w:val="20"/>
              </w:rPr>
              <w:t>: 0.5%</w:t>
            </w:r>
          </w:p>
          <w:p w14:paraId="728C5A3E" w14:textId="25526332" w:rsidR="00612567" w:rsidRDefault="00612567" w:rsidP="00612567">
            <w:pPr>
              <w:pStyle w:val="ListParagraph"/>
              <w:numPr>
                <w:ilvl w:val="2"/>
                <w:numId w:val="22"/>
              </w:numPr>
              <w:spacing w:line="276" w:lineRule="auto"/>
              <w:jc w:val="both"/>
              <w:rPr>
                <w:rFonts w:ascii="Cambria" w:hAnsi="Cambria"/>
                <w:sz w:val="20"/>
                <w:szCs w:val="20"/>
              </w:rPr>
            </w:pPr>
            <w:r>
              <w:rPr>
                <w:rFonts w:ascii="Cambria" w:hAnsi="Cambria"/>
                <w:sz w:val="20"/>
                <w:szCs w:val="20"/>
              </w:rPr>
              <w:t>minimum guarantee: 0.25%</w:t>
            </w:r>
          </w:p>
          <w:p w14:paraId="64B44749" w14:textId="21292EBC" w:rsidR="00612567" w:rsidRPr="00050E8C" w:rsidRDefault="00612567" w:rsidP="00DF14D4">
            <w:pPr>
              <w:pStyle w:val="ListParagraph"/>
              <w:numPr>
                <w:ilvl w:val="2"/>
                <w:numId w:val="22"/>
              </w:numPr>
              <w:spacing w:line="276" w:lineRule="auto"/>
              <w:jc w:val="both"/>
              <w:rPr>
                <w:rFonts w:ascii="Cambria" w:hAnsi="Cambria"/>
                <w:b/>
                <w:bCs/>
                <w:sz w:val="20"/>
                <w:szCs w:val="20"/>
              </w:rPr>
            </w:pPr>
            <w:r w:rsidRPr="00050E8C">
              <w:rPr>
                <w:rFonts w:ascii="Cambria" w:hAnsi="Cambria"/>
                <w:b/>
                <w:bCs/>
                <w:sz w:val="20"/>
                <w:szCs w:val="20"/>
              </w:rPr>
              <w:t>additional guarantee: 0.25%</w:t>
            </w:r>
          </w:p>
          <w:p w14:paraId="43F29E2A" w14:textId="391FC503" w:rsidR="00612567" w:rsidRDefault="00612567" w:rsidP="00612567">
            <w:pPr>
              <w:pStyle w:val="ListParagraph"/>
              <w:numPr>
                <w:ilvl w:val="3"/>
                <w:numId w:val="22"/>
              </w:numPr>
              <w:spacing w:after="120" w:line="276" w:lineRule="auto"/>
              <w:jc w:val="both"/>
              <w:rPr>
                <w:rFonts w:ascii="Cambria" w:hAnsi="Cambria"/>
                <w:b/>
                <w:bCs/>
                <w:color w:val="0070C0"/>
                <w:sz w:val="20"/>
                <w:szCs w:val="20"/>
              </w:rPr>
            </w:pPr>
            <w:r w:rsidRPr="00DF14D4">
              <w:rPr>
                <w:rFonts w:ascii="Cambria" w:hAnsi="Cambria"/>
                <w:b/>
                <w:bCs/>
                <w:color w:val="0070C0"/>
                <w:sz w:val="20"/>
                <w:szCs w:val="20"/>
              </w:rPr>
              <w:t>total cost: 1% + 0.25%</w:t>
            </w:r>
          </w:p>
          <w:p w14:paraId="77853A01" w14:textId="70AB5723" w:rsidR="00EE0855" w:rsidRPr="00F32227" w:rsidRDefault="00F75E1E" w:rsidP="00050E8C">
            <w:pPr>
              <w:spacing w:after="120" w:line="276" w:lineRule="auto"/>
              <w:jc w:val="both"/>
              <w:rPr>
                <w:rFonts w:ascii="Cambria" w:hAnsi="Cambria"/>
                <w:color w:val="000000" w:themeColor="text1"/>
                <w:sz w:val="20"/>
                <w:szCs w:val="20"/>
              </w:rPr>
            </w:pPr>
            <w:r w:rsidRPr="00F32227">
              <w:rPr>
                <w:rFonts w:ascii="Cambria" w:hAnsi="Cambria"/>
                <w:color w:val="000000" w:themeColor="text1"/>
                <w:sz w:val="20"/>
                <w:szCs w:val="20"/>
              </w:rPr>
              <w:t>We believe that Article 45(1)</w:t>
            </w:r>
            <w:r w:rsidR="00C02CEA" w:rsidRPr="00F32227">
              <w:rPr>
                <w:rFonts w:ascii="Cambria" w:hAnsi="Cambria"/>
                <w:color w:val="000000" w:themeColor="text1"/>
                <w:sz w:val="20"/>
                <w:szCs w:val="20"/>
              </w:rPr>
              <w:t>, read on conjunction with recital (53) of the PEPP Regulation</w:t>
            </w:r>
            <w:r w:rsidR="00EE0855" w:rsidRPr="00F32227">
              <w:rPr>
                <w:rFonts w:ascii="Cambria" w:hAnsi="Cambria"/>
                <w:color w:val="000000" w:themeColor="text1"/>
                <w:sz w:val="20"/>
                <w:szCs w:val="20"/>
              </w:rPr>
              <w:t xml:space="preserve">, justifies such an exception. </w:t>
            </w:r>
          </w:p>
          <w:p w14:paraId="783ACD53" w14:textId="26510794" w:rsidR="00B91678" w:rsidRPr="00F32227" w:rsidRDefault="00B91678" w:rsidP="00050E8C">
            <w:pPr>
              <w:spacing w:after="120" w:line="276" w:lineRule="auto"/>
              <w:jc w:val="both"/>
              <w:rPr>
                <w:rFonts w:ascii="Cambria" w:hAnsi="Cambria"/>
                <w:b/>
                <w:bCs/>
                <w:color w:val="FF0000"/>
                <w:sz w:val="20"/>
                <w:szCs w:val="20"/>
              </w:rPr>
            </w:pPr>
            <w:r w:rsidRPr="00F32227">
              <w:rPr>
                <w:rFonts w:ascii="Cambria" w:hAnsi="Cambria"/>
                <w:b/>
                <w:bCs/>
                <w:color w:val="FF0000"/>
                <w:sz w:val="20"/>
                <w:szCs w:val="20"/>
              </w:rPr>
              <w:t xml:space="preserve">We reiterate the sensitivity of the topic: </w:t>
            </w:r>
            <w:r w:rsidR="00F32227" w:rsidRPr="00F32227">
              <w:rPr>
                <w:rFonts w:ascii="Cambria" w:hAnsi="Cambria"/>
                <w:b/>
                <w:bCs/>
                <w:color w:val="FF0000"/>
                <w:sz w:val="20"/>
                <w:szCs w:val="20"/>
              </w:rPr>
              <w:t xml:space="preserve">this exception should be allowed only for the PEPP providers who go above the minimum required for the basic PEPP; the costs must be clearly distinguished and </w:t>
            </w:r>
            <w:r w:rsidR="00F32227" w:rsidRPr="00F32227">
              <w:rPr>
                <w:rFonts w:ascii="Cambria" w:hAnsi="Cambria"/>
                <w:b/>
                <w:bCs/>
                <w:i/>
                <w:iCs/>
                <w:color w:val="FF0000"/>
                <w:sz w:val="20"/>
                <w:szCs w:val="20"/>
                <w:u w:val="single"/>
              </w:rPr>
              <w:t>justified</w:t>
            </w:r>
            <w:r w:rsidR="00F32227" w:rsidRPr="00F32227">
              <w:rPr>
                <w:rFonts w:ascii="Cambria" w:hAnsi="Cambria"/>
                <w:b/>
                <w:bCs/>
                <w:color w:val="FF0000"/>
                <w:sz w:val="20"/>
                <w:szCs w:val="20"/>
              </w:rPr>
              <w:t xml:space="preserve"> (direct relationship / causality with the extra guarantee only) and under no circumstance should be construed as a mean to exclude more or entirely the cost of the guarantee from the basic PEPP</w:t>
            </w:r>
            <w:r w:rsidR="002F0464">
              <w:rPr>
                <w:rFonts w:ascii="Cambria" w:hAnsi="Cambria"/>
                <w:b/>
                <w:bCs/>
                <w:color w:val="FF0000"/>
                <w:sz w:val="20"/>
                <w:szCs w:val="20"/>
              </w:rPr>
              <w:t xml:space="preserve"> (or any other cost for that purpose).</w:t>
            </w:r>
          </w:p>
          <w:p w14:paraId="00B6802B" w14:textId="50585677" w:rsidR="005A05A0" w:rsidRPr="00C26AE2" w:rsidRDefault="005A05A0" w:rsidP="005A05A0">
            <w:pPr>
              <w:jc w:val="both"/>
              <w:rPr>
                <w:rFonts w:ascii="Verdana" w:hAnsi="Verdana" w:cstheme="minorHAnsi"/>
                <w:sz w:val="20"/>
                <w:szCs w:val="20"/>
              </w:rPr>
            </w:pPr>
          </w:p>
        </w:tc>
        <w:tc>
          <w:tcPr>
            <w:tcW w:w="3739" w:type="dxa"/>
          </w:tcPr>
          <w:p w14:paraId="745FA28C" w14:textId="77777777" w:rsidR="005A05A0" w:rsidRDefault="005A05A0" w:rsidP="005A05A0">
            <w:pPr>
              <w:spacing w:before="120"/>
              <w:rPr>
                <w:rFonts w:ascii="Verdana" w:hAnsi="Verdana"/>
                <w:bCs/>
                <w:sz w:val="20"/>
                <w:szCs w:val="20"/>
              </w:rPr>
            </w:pPr>
          </w:p>
        </w:tc>
      </w:tr>
      <w:tr w:rsidR="00C26AE2" w:rsidRPr="00544A26" w14:paraId="313EF778" w14:textId="77777777" w:rsidTr="00AD328A">
        <w:tblPrEx>
          <w:tblLook w:val="00A0" w:firstRow="1" w:lastRow="0" w:firstColumn="1" w:lastColumn="0" w:noHBand="0" w:noVBand="0"/>
        </w:tblPrEx>
        <w:trPr>
          <w:trHeight w:val="432"/>
        </w:trPr>
        <w:tc>
          <w:tcPr>
            <w:tcW w:w="947" w:type="dxa"/>
          </w:tcPr>
          <w:p w14:paraId="300963D8" w14:textId="77777777" w:rsidR="005A05A0" w:rsidRPr="00E51970" w:rsidRDefault="005A05A0" w:rsidP="005A05A0">
            <w:pPr>
              <w:numPr>
                <w:ilvl w:val="0"/>
                <w:numId w:val="6"/>
              </w:numPr>
              <w:spacing w:before="120"/>
              <w:jc w:val="both"/>
              <w:rPr>
                <w:rFonts w:ascii="Verdana" w:hAnsi="Verdana"/>
                <w:b/>
                <w:bCs/>
                <w:sz w:val="20"/>
                <w:szCs w:val="20"/>
              </w:rPr>
            </w:pPr>
          </w:p>
        </w:tc>
        <w:tc>
          <w:tcPr>
            <w:tcW w:w="1302" w:type="dxa"/>
            <w:gridSpan w:val="2"/>
            <w:tcBorders>
              <w:top w:val="single" w:sz="4" w:space="0" w:color="auto"/>
              <w:left w:val="single" w:sz="4" w:space="0" w:color="auto"/>
              <w:bottom w:val="single" w:sz="4" w:space="0" w:color="auto"/>
              <w:right w:val="single" w:sz="4" w:space="0" w:color="auto"/>
            </w:tcBorders>
          </w:tcPr>
          <w:p w14:paraId="5DA57311" w14:textId="77777777" w:rsidR="00BC71BB" w:rsidRDefault="00BC71BB" w:rsidP="00BC71BB">
            <w:pPr>
              <w:spacing w:before="120"/>
              <w:rPr>
                <w:rFonts w:ascii="Verdana" w:hAnsi="Verdana"/>
                <w:bCs/>
                <w:sz w:val="20"/>
                <w:szCs w:val="20"/>
              </w:rPr>
            </w:pPr>
            <w:r>
              <w:rPr>
                <w:rFonts w:ascii="Verdana" w:hAnsi="Verdana"/>
                <w:bCs/>
                <w:sz w:val="20"/>
                <w:szCs w:val="20"/>
              </w:rPr>
              <w:t>BETTER FINANCE</w:t>
            </w:r>
          </w:p>
          <w:p w14:paraId="73481C7F" w14:textId="2F3C4571" w:rsidR="005A05A0" w:rsidRDefault="00BC71BB" w:rsidP="00BC71BB">
            <w:pPr>
              <w:spacing w:before="120"/>
              <w:rPr>
                <w:rFonts w:ascii="Verdana" w:hAnsi="Verdana"/>
                <w:bCs/>
                <w:color w:val="000000"/>
                <w:sz w:val="20"/>
                <w:szCs w:val="20"/>
              </w:rPr>
            </w:pPr>
            <w:r>
              <w:rPr>
                <w:rFonts w:ascii="Verdana" w:hAnsi="Verdana"/>
                <w:bCs/>
                <w:sz w:val="20"/>
                <w:szCs w:val="20"/>
              </w:rPr>
              <w:t>Belgium</w:t>
            </w:r>
          </w:p>
        </w:tc>
        <w:tc>
          <w:tcPr>
            <w:tcW w:w="3275" w:type="dxa"/>
            <w:tcBorders>
              <w:top w:val="single" w:sz="4" w:space="0" w:color="auto"/>
              <w:left w:val="single" w:sz="4" w:space="0" w:color="auto"/>
              <w:bottom w:val="single" w:sz="4" w:space="0" w:color="auto"/>
              <w:right w:val="single" w:sz="4" w:space="0" w:color="auto"/>
            </w:tcBorders>
          </w:tcPr>
          <w:p w14:paraId="5EB45DED" w14:textId="77777777" w:rsidR="00E360BA" w:rsidRPr="00E360BA" w:rsidRDefault="00E360BA" w:rsidP="00E360BA">
            <w:pPr>
              <w:spacing w:before="120"/>
              <w:rPr>
                <w:rFonts w:ascii="Verdana" w:hAnsi="Verdana"/>
                <w:bCs/>
                <w:sz w:val="20"/>
                <w:szCs w:val="20"/>
              </w:rPr>
            </w:pPr>
            <w:r w:rsidRPr="00E360BA">
              <w:rPr>
                <w:rFonts w:ascii="Verdana" w:hAnsi="Verdana"/>
                <w:bCs/>
                <w:sz w:val="20"/>
                <w:szCs w:val="20"/>
              </w:rPr>
              <w:t>Q7. Which criteria should be added to foster the application and development of superior risk-mitigation techniques? Which research and learnings should EIOPA consider in its further work?</w:t>
            </w:r>
          </w:p>
          <w:p w14:paraId="307A3BD5" w14:textId="091A9EA8" w:rsidR="005A05A0" w:rsidRDefault="005A05A0" w:rsidP="00E360BA">
            <w:pPr>
              <w:spacing w:before="120"/>
              <w:rPr>
                <w:rFonts w:ascii="Verdana" w:hAnsi="Verdana"/>
                <w:bCs/>
                <w:sz w:val="20"/>
                <w:szCs w:val="20"/>
              </w:rPr>
            </w:pPr>
          </w:p>
        </w:tc>
        <w:tc>
          <w:tcPr>
            <w:tcW w:w="5294" w:type="dxa"/>
            <w:tcBorders>
              <w:top w:val="single" w:sz="4" w:space="0" w:color="auto"/>
              <w:left w:val="single" w:sz="4" w:space="0" w:color="auto"/>
              <w:bottom w:val="single" w:sz="4" w:space="0" w:color="auto"/>
              <w:right w:val="single" w:sz="4" w:space="0" w:color="auto"/>
            </w:tcBorders>
          </w:tcPr>
          <w:p w14:paraId="68AC2213" w14:textId="77777777" w:rsidR="006F244F" w:rsidRPr="006F244F" w:rsidRDefault="006F244F" w:rsidP="006F244F">
            <w:pPr>
              <w:spacing w:after="120" w:line="276" w:lineRule="auto"/>
              <w:jc w:val="both"/>
              <w:rPr>
                <w:rFonts w:ascii="Cambria" w:hAnsi="Cambria"/>
                <w:sz w:val="22"/>
                <w:szCs w:val="22"/>
                <w:lang w:eastAsia="en-US"/>
              </w:rPr>
            </w:pPr>
            <w:r w:rsidRPr="006F244F">
              <w:rPr>
                <w:rFonts w:ascii="Cambria" w:hAnsi="Cambria"/>
                <w:sz w:val="22"/>
                <w:szCs w:val="22"/>
              </w:rPr>
              <w:t xml:space="preserve">To begin with, BETTER FINANCE welcomes the idea and mandatory inclusion of the basic investment option into the design of all PEPPs as this would ensure more accessibility and participation of European savers to these products. The basic PEPP, previously named the </w:t>
            </w:r>
            <w:r w:rsidRPr="006F244F">
              <w:rPr>
                <w:rFonts w:ascii="Cambria" w:hAnsi="Cambria"/>
                <w:i/>
                <w:iCs/>
                <w:sz w:val="22"/>
                <w:szCs w:val="22"/>
              </w:rPr>
              <w:t>default investment option</w:t>
            </w:r>
            <w:r w:rsidRPr="006F244F">
              <w:rPr>
                <w:rFonts w:ascii="Cambria" w:hAnsi="Cambria"/>
                <w:sz w:val="22"/>
                <w:szCs w:val="22"/>
              </w:rPr>
              <w:t>,</w:t>
            </w:r>
            <w:r w:rsidRPr="006F244F">
              <w:rPr>
                <w:rStyle w:val="FootnoteReference"/>
                <w:rFonts w:ascii="Cambria" w:hAnsi="Cambria"/>
                <w:sz w:val="22"/>
                <w:szCs w:val="22"/>
              </w:rPr>
              <w:footnoteReference w:id="28"/>
            </w:r>
            <w:r w:rsidRPr="006F244F">
              <w:rPr>
                <w:rFonts w:ascii="Cambria" w:hAnsi="Cambria"/>
                <w:sz w:val="22"/>
                <w:szCs w:val="22"/>
              </w:rPr>
              <w:t xml:space="preserve"> is a feature that normally complements lack of knowledge, of understanding, indecision or passiveness of savers in making an investment choice and, therefore, should receive closer supervision from policy makers and supervisors.</w:t>
            </w:r>
            <w:r w:rsidRPr="006F244F">
              <w:rPr>
                <w:rStyle w:val="FootnoteReference"/>
                <w:rFonts w:ascii="Cambria" w:hAnsi="Cambria"/>
                <w:sz w:val="22"/>
                <w:szCs w:val="22"/>
              </w:rPr>
              <w:footnoteReference w:id="29"/>
            </w:r>
            <w:r w:rsidRPr="006F244F">
              <w:rPr>
                <w:rFonts w:ascii="Cambria" w:hAnsi="Cambria"/>
                <w:sz w:val="22"/>
                <w:szCs w:val="22"/>
              </w:rPr>
              <w:t xml:space="preserve"> BETTER FINANCE, as well as other international organisations,</w:t>
            </w:r>
            <w:r w:rsidRPr="006F244F">
              <w:rPr>
                <w:rStyle w:val="FootnoteReference"/>
                <w:rFonts w:ascii="Cambria" w:hAnsi="Cambria"/>
                <w:sz w:val="22"/>
                <w:szCs w:val="22"/>
              </w:rPr>
              <w:footnoteReference w:id="30"/>
            </w:r>
            <w:r w:rsidRPr="006F244F">
              <w:rPr>
                <w:rFonts w:ascii="Cambria" w:hAnsi="Cambria"/>
                <w:sz w:val="22"/>
                <w:szCs w:val="22"/>
              </w:rPr>
              <w:t xml:space="preserve"> acknowledge that any retirement provision system (and plans, in our case) require a default investment option, as long as it is safe and intelligible.</w:t>
            </w:r>
          </w:p>
          <w:p w14:paraId="2EA42026" w14:textId="77777777" w:rsidR="006F244F" w:rsidRPr="006F244F" w:rsidRDefault="006F244F" w:rsidP="006F244F">
            <w:pPr>
              <w:spacing w:after="120" w:line="276" w:lineRule="auto"/>
              <w:jc w:val="both"/>
              <w:rPr>
                <w:rFonts w:ascii="Cambria" w:hAnsi="Cambria"/>
                <w:sz w:val="22"/>
                <w:szCs w:val="22"/>
              </w:rPr>
            </w:pPr>
            <w:r w:rsidRPr="006F244F">
              <w:rPr>
                <w:rFonts w:ascii="Cambria" w:hAnsi="Cambria"/>
                <w:sz w:val="22"/>
                <w:szCs w:val="22"/>
              </w:rPr>
              <w:t>Default investment options (hereinafter DIOs) have appeared as a consumer protection response to automatic or mandatory enrolment pension systems for those savers who couldn’t or didn’t want to actively engage and take an investment decision. As a result, the DIO supplements the passive behaviour of the saver either for organic purposes</w:t>
            </w:r>
            <w:r w:rsidRPr="006F244F">
              <w:rPr>
                <w:rStyle w:val="FootnoteReference"/>
                <w:rFonts w:ascii="Cambria" w:hAnsi="Cambria"/>
                <w:sz w:val="22"/>
                <w:szCs w:val="22"/>
              </w:rPr>
              <w:footnoteReference w:id="31"/>
            </w:r>
            <w:r w:rsidRPr="006F244F">
              <w:rPr>
                <w:rFonts w:ascii="Cambria" w:hAnsi="Cambria"/>
                <w:sz w:val="22"/>
                <w:szCs w:val="22"/>
              </w:rPr>
              <w:t xml:space="preserve"> or to ensure that all savers will benefit from an investment strategy at retirement.</w:t>
            </w:r>
          </w:p>
          <w:p w14:paraId="69722533" w14:textId="77777777" w:rsidR="006F244F" w:rsidRPr="006F244F" w:rsidRDefault="006F244F" w:rsidP="006F244F">
            <w:pPr>
              <w:spacing w:after="120" w:line="276" w:lineRule="auto"/>
              <w:jc w:val="both"/>
              <w:rPr>
                <w:rFonts w:ascii="Cambria" w:hAnsi="Cambria"/>
                <w:sz w:val="22"/>
                <w:szCs w:val="22"/>
              </w:rPr>
            </w:pPr>
            <w:r w:rsidRPr="006F244F">
              <w:rPr>
                <w:rFonts w:ascii="Cambria" w:hAnsi="Cambria"/>
                <w:sz w:val="22"/>
                <w:szCs w:val="22"/>
              </w:rPr>
              <w:t>Academic and specialised literature is rich in showing most of pension plans participants are “by default” assigned to a DIO as they may not have the “</w:t>
            </w:r>
            <w:r w:rsidRPr="006F244F">
              <w:rPr>
                <w:rFonts w:ascii="Cambria" w:hAnsi="Cambria"/>
                <w:i/>
                <w:iCs/>
                <w:sz w:val="22"/>
                <w:szCs w:val="22"/>
              </w:rPr>
              <w:t>willingness or ability to engage</w:t>
            </w:r>
            <w:r w:rsidRPr="006F244F">
              <w:rPr>
                <w:rFonts w:ascii="Cambria" w:hAnsi="Cambria"/>
                <w:sz w:val="22"/>
                <w:szCs w:val="22"/>
              </w:rPr>
              <w:t>” in making an active choice</w:t>
            </w:r>
            <w:r w:rsidRPr="006F244F">
              <w:rPr>
                <w:rStyle w:val="FootnoteReference"/>
                <w:rFonts w:ascii="Cambria" w:hAnsi="Cambria"/>
                <w:sz w:val="22"/>
                <w:szCs w:val="22"/>
              </w:rPr>
              <w:footnoteReference w:id="32"/>
            </w:r>
            <w:r w:rsidRPr="006F244F">
              <w:rPr>
                <w:rFonts w:ascii="Cambria" w:hAnsi="Cambria"/>
                <w:sz w:val="22"/>
                <w:szCs w:val="22"/>
              </w:rPr>
              <w:t xml:space="preserve"> and that this system substantially increases participation rates in pension plans.</w:t>
            </w:r>
            <w:r w:rsidRPr="006F244F">
              <w:rPr>
                <w:rStyle w:val="FootnoteReference"/>
                <w:rFonts w:ascii="Cambria" w:hAnsi="Cambria"/>
                <w:sz w:val="22"/>
                <w:szCs w:val="22"/>
              </w:rPr>
              <w:footnoteReference w:id="33"/>
            </w:r>
            <w:r w:rsidRPr="006F244F">
              <w:rPr>
                <w:rFonts w:ascii="Cambria" w:hAnsi="Cambria"/>
                <w:sz w:val="22"/>
                <w:szCs w:val="22"/>
              </w:rPr>
              <w:t xml:space="preserve"> However, most of the examples – and articles analysing them – concern </w:t>
            </w:r>
            <w:r w:rsidRPr="006F244F">
              <w:rPr>
                <w:rFonts w:ascii="Cambria" w:hAnsi="Cambria"/>
                <w:i/>
                <w:iCs/>
                <w:sz w:val="22"/>
                <w:szCs w:val="22"/>
              </w:rPr>
              <w:t>occupational pension plans</w:t>
            </w:r>
            <w:r w:rsidRPr="006F244F">
              <w:rPr>
                <w:rFonts w:ascii="Cambria" w:hAnsi="Cambria"/>
                <w:sz w:val="22"/>
                <w:szCs w:val="22"/>
              </w:rPr>
              <w:t xml:space="preserve">, where automatic enrolment may stem from the employer or by virtue of law. On the other side, pillar III products – alias </w:t>
            </w:r>
            <w:r w:rsidRPr="006F244F">
              <w:rPr>
                <w:rFonts w:ascii="Cambria" w:hAnsi="Cambria"/>
                <w:i/>
                <w:iCs/>
                <w:sz w:val="22"/>
                <w:szCs w:val="22"/>
              </w:rPr>
              <w:t xml:space="preserve">individual </w:t>
            </w:r>
            <w:r w:rsidRPr="006F244F">
              <w:rPr>
                <w:rFonts w:ascii="Cambria" w:hAnsi="Cambria"/>
                <w:b/>
                <w:bCs/>
                <w:i/>
                <w:iCs/>
                <w:sz w:val="22"/>
                <w:szCs w:val="22"/>
              </w:rPr>
              <w:t xml:space="preserve">voluntary </w:t>
            </w:r>
            <w:r w:rsidRPr="006F244F">
              <w:rPr>
                <w:rFonts w:ascii="Cambria" w:hAnsi="Cambria"/>
                <w:i/>
                <w:iCs/>
                <w:sz w:val="22"/>
                <w:szCs w:val="22"/>
              </w:rPr>
              <w:t>products</w:t>
            </w:r>
            <w:r w:rsidRPr="006F244F">
              <w:rPr>
                <w:rFonts w:ascii="Cambria" w:hAnsi="Cambria"/>
                <w:sz w:val="22"/>
                <w:szCs w:val="22"/>
              </w:rPr>
              <w:t xml:space="preserve"> – are usually subscribed by savers after seeking advice</w:t>
            </w:r>
            <w:r w:rsidRPr="006F244F">
              <w:rPr>
                <w:rStyle w:val="FootnoteReference"/>
                <w:rFonts w:ascii="Cambria" w:hAnsi="Cambria"/>
                <w:sz w:val="22"/>
                <w:szCs w:val="22"/>
              </w:rPr>
              <w:footnoteReference w:id="34"/>
            </w:r>
            <w:r w:rsidRPr="006F244F">
              <w:rPr>
                <w:rFonts w:ascii="Cambria" w:hAnsi="Cambria"/>
                <w:sz w:val="22"/>
                <w:szCs w:val="22"/>
              </w:rPr>
              <w:t xml:space="preserve">. </w:t>
            </w:r>
          </w:p>
          <w:p w14:paraId="5B09F5BC" w14:textId="77777777" w:rsidR="006F244F" w:rsidRPr="006F244F" w:rsidRDefault="006F244F" w:rsidP="006F244F">
            <w:pPr>
              <w:spacing w:after="120" w:line="276" w:lineRule="auto"/>
              <w:jc w:val="both"/>
              <w:rPr>
                <w:rFonts w:ascii="Cambria" w:hAnsi="Cambria"/>
                <w:sz w:val="22"/>
                <w:szCs w:val="22"/>
              </w:rPr>
            </w:pPr>
            <w:r w:rsidRPr="006F244F">
              <w:rPr>
                <w:rFonts w:ascii="Cambria" w:hAnsi="Cambria"/>
                <w:sz w:val="22"/>
                <w:szCs w:val="22"/>
              </w:rPr>
              <w:t xml:space="preserve">However, as highlighted above and following input from one of our German member organisations (Bund der </w:t>
            </w:r>
            <w:proofErr w:type="spellStart"/>
            <w:r w:rsidRPr="006F244F">
              <w:rPr>
                <w:rFonts w:ascii="Cambria" w:hAnsi="Cambria"/>
                <w:sz w:val="22"/>
                <w:szCs w:val="22"/>
              </w:rPr>
              <w:t>Verischerten</w:t>
            </w:r>
            <w:proofErr w:type="spellEnd"/>
            <w:r w:rsidRPr="006F244F">
              <w:rPr>
                <w:rFonts w:ascii="Cambria" w:hAnsi="Cambria"/>
                <w:sz w:val="22"/>
                <w:szCs w:val="22"/>
              </w:rPr>
              <w:t>), there can be many savers who wish to save, but have difficulties to choose the investment option,</w:t>
            </w:r>
            <w:r w:rsidRPr="006F244F">
              <w:rPr>
                <w:rStyle w:val="FootnoteReference"/>
                <w:rFonts w:ascii="Cambria" w:hAnsi="Cambria"/>
                <w:sz w:val="22"/>
                <w:szCs w:val="22"/>
              </w:rPr>
              <w:footnoteReference w:id="35"/>
            </w:r>
            <w:r w:rsidRPr="006F244F">
              <w:rPr>
                <w:rFonts w:ascii="Cambria" w:hAnsi="Cambria"/>
                <w:sz w:val="22"/>
                <w:szCs w:val="22"/>
              </w:rPr>
              <w:t xml:space="preserve"> for whom the DIO may be the bridge between passiveness and additional retirement savings.</w:t>
            </w:r>
            <w:r w:rsidRPr="006F244F">
              <w:rPr>
                <w:rStyle w:val="FootnoteReference"/>
                <w:rFonts w:ascii="Cambria" w:hAnsi="Cambria"/>
                <w:sz w:val="22"/>
                <w:szCs w:val="22"/>
              </w:rPr>
              <w:footnoteReference w:id="36"/>
            </w:r>
            <w:r w:rsidRPr="006F244F">
              <w:rPr>
                <w:rFonts w:ascii="Cambria" w:hAnsi="Cambria"/>
                <w:sz w:val="22"/>
                <w:szCs w:val="22"/>
              </w:rPr>
              <w:t xml:space="preserve"> </w:t>
            </w:r>
          </w:p>
          <w:p w14:paraId="28250FD4" w14:textId="77777777" w:rsidR="006F244F" w:rsidRPr="006F244F" w:rsidRDefault="006F244F" w:rsidP="006F244F">
            <w:pPr>
              <w:spacing w:after="120" w:line="276" w:lineRule="auto"/>
              <w:jc w:val="both"/>
              <w:rPr>
                <w:rFonts w:ascii="Cambria" w:hAnsi="Cambria"/>
                <w:sz w:val="22"/>
                <w:szCs w:val="22"/>
              </w:rPr>
            </w:pPr>
            <w:r w:rsidRPr="006F244F">
              <w:rPr>
                <w:rFonts w:ascii="Cambria" w:hAnsi="Cambria"/>
                <w:sz w:val="22"/>
                <w:szCs w:val="22"/>
              </w:rPr>
              <w:t xml:space="preserve">We believe this short justification creates a bridge for the following proposal regarding </w:t>
            </w:r>
            <w:r w:rsidRPr="006F244F">
              <w:rPr>
                <w:rFonts w:ascii="Cambria" w:hAnsi="Cambria"/>
                <w:i/>
                <w:iCs/>
                <w:sz w:val="22"/>
                <w:szCs w:val="22"/>
              </w:rPr>
              <w:t>the need for standardisation of the basic PEPP</w:t>
            </w:r>
            <w:r w:rsidRPr="006F244F">
              <w:rPr>
                <w:rFonts w:ascii="Cambria" w:hAnsi="Cambria"/>
                <w:sz w:val="22"/>
                <w:szCs w:val="22"/>
              </w:rPr>
              <w:t>.</w:t>
            </w:r>
          </w:p>
          <w:p w14:paraId="30DD0C63" w14:textId="77777777" w:rsidR="006F244F" w:rsidRPr="006F244F" w:rsidRDefault="006F244F" w:rsidP="006F244F">
            <w:pPr>
              <w:pStyle w:val="Heading2"/>
              <w:spacing w:before="120" w:after="120"/>
              <w:rPr>
                <w:rFonts w:ascii="Cambria" w:hAnsi="Cambria"/>
                <w:color w:val="0070C0"/>
                <w:sz w:val="22"/>
                <w:szCs w:val="22"/>
              </w:rPr>
            </w:pPr>
            <w:bookmarkStart w:id="7" w:name="_Toc33566158"/>
            <w:r w:rsidRPr="006F244F">
              <w:rPr>
                <w:rFonts w:ascii="Cambria" w:hAnsi="Cambria"/>
                <w:i w:val="0"/>
                <w:iCs w:val="0"/>
                <w:color w:val="0070C0"/>
                <w:sz w:val="22"/>
                <w:szCs w:val="22"/>
              </w:rPr>
              <w:t>Need for standardisation of the basic PEPP</w:t>
            </w:r>
            <w:bookmarkEnd w:id="7"/>
          </w:p>
          <w:p w14:paraId="2B30F9AC" w14:textId="77777777" w:rsidR="006F244F" w:rsidRPr="006F244F" w:rsidRDefault="006F244F" w:rsidP="006F244F">
            <w:pPr>
              <w:spacing w:line="276" w:lineRule="auto"/>
              <w:jc w:val="both"/>
              <w:rPr>
                <w:rFonts w:ascii="Cambria" w:hAnsi="Cambria"/>
                <w:sz w:val="22"/>
                <w:szCs w:val="22"/>
              </w:rPr>
            </w:pPr>
            <w:r w:rsidRPr="006F244F">
              <w:rPr>
                <w:rFonts w:ascii="Cambria" w:hAnsi="Cambria"/>
                <w:sz w:val="22"/>
                <w:szCs w:val="22"/>
              </w:rPr>
              <w:t>Pension savings are pivotal both for the individual and for society as building an adequate income at retirement is essential.</w:t>
            </w:r>
            <w:r w:rsidRPr="006F244F">
              <w:rPr>
                <w:rStyle w:val="FootnoteReference"/>
                <w:rFonts w:ascii="Cambria" w:hAnsi="Cambria"/>
                <w:sz w:val="22"/>
                <w:szCs w:val="22"/>
              </w:rPr>
              <w:footnoteReference w:id="37"/>
            </w:r>
            <w:r w:rsidRPr="006F244F">
              <w:rPr>
                <w:rFonts w:ascii="Cambria" w:hAnsi="Cambria"/>
                <w:sz w:val="22"/>
                <w:szCs w:val="22"/>
              </w:rPr>
              <w:t xml:space="preserve"> We understand the argument that a defensive DIO may not provide the highest of returns, but it would allow most PEPP savers achieve the purpose of the PEPP: “</w:t>
            </w:r>
            <w:r w:rsidRPr="006F244F">
              <w:rPr>
                <w:rFonts w:ascii="Cambria" w:hAnsi="Cambria"/>
                <w:i/>
                <w:iCs/>
                <w:sz w:val="22"/>
                <w:szCs w:val="22"/>
              </w:rPr>
              <w:t>to recoup the capital</w:t>
            </w:r>
            <w:r w:rsidRPr="006F244F">
              <w:rPr>
                <w:rFonts w:ascii="Cambria" w:hAnsi="Cambria"/>
                <w:sz w:val="22"/>
                <w:szCs w:val="22"/>
              </w:rPr>
              <w:t>”. At the same time, we acknowledge the need to protect the PEPP savers that do not have a loss absorption ability (risk averse, low-income etc.), reason for which we do not exclude the conservative approach.</w:t>
            </w:r>
          </w:p>
          <w:p w14:paraId="10E70ECF" w14:textId="77777777" w:rsidR="006F244F" w:rsidRPr="006F244F" w:rsidRDefault="006F244F" w:rsidP="006F244F">
            <w:pPr>
              <w:jc w:val="both"/>
              <w:rPr>
                <w:rFonts w:ascii="Cambria" w:hAnsi="Cambria"/>
                <w:sz w:val="22"/>
                <w:szCs w:val="22"/>
              </w:rPr>
            </w:pPr>
            <w:r w:rsidRPr="006F244F">
              <w:rPr>
                <w:rFonts w:ascii="Cambria" w:hAnsi="Cambria"/>
                <w:color w:val="000000" w:themeColor="text1"/>
                <w:sz w:val="22"/>
                <w:szCs w:val="22"/>
              </w:rPr>
              <w:t>We argue that EIOPA should standardise the risk-reward profile, through the Level 2 measures, for the basic PEPP for all product manufacturers. Naturally</w:t>
            </w:r>
            <w:r w:rsidRPr="006F244F">
              <w:rPr>
                <w:rFonts w:ascii="Cambria" w:hAnsi="Cambria"/>
                <w:sz w:val="22"/>
                <w:szCs w:val="22"/>
              </w:rPr>
              <w:t xml:space="preserve">, the default investment option (the “basic PEPP”) is one </w:t>
            </w:r>
            <w:r w:rsidRPr="006F244F">
              <w:rPr>
                <w:rFonts w:ascii="Cambria" w:hAnsi="Cambria"/>
                <w:b/>
                <w:bCs/>
                <w:sz w:val="22"/>
                <w:szCs w:val="22"/>
              </w:rPr>
              <w:t xml:space="preserve">out of a finite number </w:t>
            </w:r>
            <w:r w:rsidRPr="006F244F">
              <w:rPr>
                <w:rFonts w:ascii="Cambria" w:hAnsi="Cambria"/>
                <w:sz w:val="22"/>
                <w:szCs w:val="22"/>
              </w:rPr>
              <w:t xml:space="preserve">of options to which the saver is </w:t>
            </w:r>
            <w:r w:rsidRPr="006F244F">
              <w:rPr>
                <w:rFonts w:ascii="Cambria" w:hAnsi="Cambria"/>
                <w:sz w:val="22"/>
                <w:szCs w:val="22"/>
                <w:u w:val="single"/>
              </w:rPr>
              <w:t>automatically assigned</w:t>
            </w:r>
            <w:r w:rsidRPr="006F244F">
              <w:rPr>
                <w:rFonts w:ascii="Cambria" w:hAnsi="Cambria"/>
                <w:sz w:val="22"/>
                <w:szCs w:val="22"/>
              </w:rPr>
              <w:t xml:space="preserve"> </w:t>
            </w:r>
            <w:r w:rsidRPr="006F244F">
              <w:rPr>
                <w:rFonts w:ascii="Cambria" w:hAnsi="Cambria"/>
                <w:b/>
                <w:bCs/>
                <w:sz w:val="22"/>
                <w:szCs w:val="22"/>
              </w:rPr>
              <w:t>in absence of active choice</w:t>
            </w:r>
            <w:r w:rsidRPr="006F244F">
              <w:rPr>
                <w:rFonts w:ascii="Cambria" w:hAnsi="Cambria"/>
                <w:sz w:val="22"/>
                <w:szCs w:val="22"/>
              </w:rPr>
              <w:t xml:space="preserve"> – as we indicated above. Therefore, the basic PEPP should have a neutral investment strategy (</w:t>
            </w:r>
            <w:r w:rsidRPr="006F244F">
              <w:rPr>
                <w:rFonts w:ascii="Cambria" w:hAnsi="Cambria"/>
                <w:b/>
                <w:bCs/>
                <w:sz w:val="22"/>
                <w:szCs w:val="22"/>
              </w:rPr>
              <w:t>a one-size-fits-all</w:t>
            </w:r>
            <w:r w:rsidRPr="006F244F">
              <w:rPr>
                <w:rFonts w:ascii="Cambria" w:hAnsi="Cambria"/>
                <w:sz w:val="22"/>
                <w:szCs w:val="22"/>
              </w:rPr>
              <w:t xml:space="preserve">), but it can only be neutral in comparison with the alternative investment options.  If law would allow all PEPP providers to self-define their basic PEPP, the basic PEPP will no longer be basic, but a </w:t>
            </w:r>
            <w:r w:rsidRPr="006F244F">
              <w:rPr>
                <w:rFonts w:ascii="Cambria" w:hAnsi="Cambria"/>
                <w:b/>
                <w:bCs/>
                <w:sz w:val="22"/>
                <w:szCs w:val="22"/>
              </w:rPr>
              <w:t>PEPP-provider-specific-basic PEPP</w:t>
            </w:r>
            <w:r w:rsidRPr="006F244F">
              <w:rPr>
                <w:rFonts w:ascii="Cambria" w:hAnsi="Cambria"/>
                <w:sz w:val="22"/>
                <w:szCs w:val="22"/>
              </w:rPr>
              <w:t>. As such, we fear this may create confusion for individual, non-professional investors, and also lead to mis-selling on certain hypotheses.</w:t>
            </w:r>
          </w:p>
          <w:p w14:paraId="0B2FCE14" w14:textId="77777777" w:rsidR="006F244F" w:rsidRPr="006F244F" w:rsidRDefault="006F244F" w:rsidP="006F244F">
            <w:pPr>
              <w:jc w:val="both"/>
              <w:rPr>
                <w:rFonts w:ascii="Cambria" w:hAnsi="Cambria"/>
                <w:sz w:val="22"/>
                <w:szCs w:val="22"/>
              </w:rPr>
            </w:pPr>
            <w:r w:rsidRPr="006F244F">
              <w:rPr>
                <w:rFonts w:ascii="Cambria" w:hAnsi="Cambria"/>
                <w:sz w:val="22"/>
                <w:szCs w:val="22"/>
              </w:rPr>
              <w:t>EIOPA should seek to harmonise the investment targets or risk-reward profile for the basic PEPP, while also allowing PEPP manufacturers a certain degree – although limited – of flexibility in their designs. To mitigate the chances of abnormal dispersions of risk tolerances among European individual investors, EIOPA could allow for a small range/interval of risk-reward profiles, such as from lowest to balanced, or from 1/7 to 3/7, which could also start from a higher level at the beginning of the investment horizon and gradually decrease towards retirement or maturity date.</w:t>
            </w:r>
          </w:p>
          <w:p w14:paraId="4401958E" w14:textId="77777777" w:rsidR="006F244F" w:rsidRPr="006F244F" w:rsidRDefault="006F244F" w:rsidP="006F244F">
            <w:pPr>
              <w:jc w:val="both"/>
              <w:rPr>
                <w:rFonts w:ascii="Cambria" w:hAnsi="Cambria"/>
                <w:sz w:val="22"/>
                <w:szCs w:val="22"/>
              </w:rPr>
            </w:pPr>
            <w:r w:rsidRPr="006F244F">
              <w:rPr>
                <w:rFonts w:ascii="Cambria" w:hAnsi="Cambria"/>
                <w:sz w:val="22"/>
                <w:szCs w:val="22"/>
              </w:rPr>
              <w:t>As we mentioned in the BETTER FINANCE Position Paper on PEPP L2 measures, the risk-reward profile – whether defensive, balanced, or dynamic – must take into account the long-term nature of the product, the years left until retirement, and the type and duration of the drawdown choice. For ease of reference, we insert below an excerpt concerning the summary risk indicator and the financial risk tables.</w:t>
            </w:r>
          </w:p>
          <w:p w14:paraId="0BD33C96" w14:textId="77777777" w:rsidR="006F244F" w:rsidRPr="006F244F" w:rsidRDefault="006F244F" w:rsidP="006F244F">
            <w:pPr>
              <w:spacing w:after="120"/>
              <w:ind w:left="567" w:right="567"/>
              <w:jc w:val="both"/>
              <w:rPr>
                <w:rFonts w:ascii="Cambria" w:eastAsiaTheme="minorHAnsi" w:hAnsi="Cambria"/>
                <w:i/>
                <w:iCs/>
                <w:color w:val="000000" w:themeColor="text1"/>
                <w:sz w:val="22"/>
                <w:szCs w:val="22"/>
              </w:rPr>
            </w:pPr>
            <w:r w:rsidRPr="006F244F">
              <w:rPr>
                <w:rFonts w:ascii="Cambria" w:hAnsi="Cambria"/>
                <w:color w:val="000000" w:themeColor="text1"/>
                <w:sz w:val="22"/>
                <w:szCs w:val="22"/>
              </w:rPr>
              <w:t xml:space="preserve">“ </w:t>
            </w:r>
            <w:r w:rsidRPr="006F244F">
              <w:rPr>
                <w:rFonts w:ascii="Cambria" w:hAnsi="Cambria"/>
                <w:i/>
                <w:iCs/>
                <w:color w:val="000000" w:themeColor="text1"/>
                <w:sz w:val="22"/>
                <w:szCs w:val="22"/>
              </w:rPr>
              <w:t xml:space="preserve">The summary risk indicator (Article 28(3), letter d, point </w:t>
            </w:r>
            <w:proofErr w:type="spellStart"/>
            <w:r w:rsidRPr="006F244F">
              <w:rPr>
                <w:rFonts w:ascii="Cambria" w:hAnsi="Cambria"/>
                <w:i/>
                <w:iCs/>
                <w:color w:val="000000" w:themeColor="text1"/>
                <w:sz w:val="22"/>
                <w:szCs w:val="22"/>
              </w:rPr>
              <w:t>i</w:t>
            </w:r>
            <w:proofErr w:type="spellEnd"/>
            <w:r w:rsidRPr="006F244F">
              <w:rPr>
                <w:rFonts w:ascii="Cambria" w:hAnsi="Cambria"/>
                <w:i/>
                <w:iCs/>
                <w:color w:val="000000" w:themeColor="text1"/>
                <w:sz w:val="22"/>
                <w:szCs w:val="22"/>
              </w:rPr>
              <w:t>) should present two tables that allow the retail investor to understand the different risk applicable to the asset classes contained in the portfolio (Table 12) and to understand the overall risk profile of the product (Table 11).</w:t>
            </w:r>
          </w:p>
          <w:p w14:paraId="41C7EB5B" w14:textId="40985955" w:rsidR="006F244F" w:rsidRDefault="006F244F" w:rsidP="006F244F">
            <w:pPr>
              <w:spacing w:after="120"/>
              <w:ind w:left="567" w:right="567"/>
              <w:jc w:val="both"/>
              <w:rPr>
                <w:rFonts w:ascii="Cambria" w:hAnsi="Cambria"/>
                <w:i/>
                <w:iCs/>
                <w:color w:val="000000" w:themeColor="text1"/>
                <w:sz w:val="22"/>
                <w:szCs w:val="22"/>
              </w:rPr>
            </w:pPr>
            <w:r w:rsidRPr="006F244F">
              <w:rPr>
                <w:rFonts w:ascii="Cambria" w:hAnsi="Cambria"/>
                <w:i/>
                <w:iCs/>
                <w:color w:val="000000" w:themeColor="text1"/>
                <w:sz w:val="22"/>
                <w:szCs w:val="22"/>
              </w:rPr>
              <w:t>The financial risk table (Table 12) should show the two key risk components for the retail investor: (</w:t>
            </w:r>
            <w:proofErr w:type="spellStart"/>
            <w:r w:rsidRPr="006F244F">
              <w:rPr>
                <w:rFonts w:ascii="Cambria" w:hAnsi="Cambria"/>
                <w:i/>
                <w:iCs/>
                <w:color w:val="000000" w:themeColor="text1"/>
                <w:sz w:val="22"/>
                <w:szCs w:val="22"/>
              </w:rPr>
              <w:t>i</w:t>
            </w:r>
            <w:proofErr w:type="spellEnd"/>
            <w:r w:rsidRPr="006F244F">
              <w:rPr>
                <w:rFonts w:ascii="Cambria" w:hAnsi="Cambria"/>
                <w:i/>
                <w:iCs/>
                <w:color w:val="000000" w:themeColor="text1"/>
                <w:sz w:val="22"/>
                <w:szCs w:val="22"/>
              </w:rPr>
              <w:t xml:space="preserve">) the probability of loss; and (ii) the magnitude of loss,  in a simple scale: very low, low, low-medium, medium, medium-high, and very high. The two dimensions of the financial risk table should take into account the risk of loss in </w:t>
            </w:r>
            <w:r w:rsidRPr="006F244F">
              <w:rPr>
                <w:rFonts w:ascii="Cambria" w:hAnsi="Cambria"/>
                <w:b/>
                <w:bCs/>
                <w:i/>
                <w:iCs/>
                <w:color w:val="000000" w:themeColor="text1"/>
                <w:sz w:val="22"/>
                <w:szCs w:val="22"/>
              </w:rPr>
              <w:t>real terms</w:t>
            </w:r>
            <w:r w:rsidRPr="006F244F">
              <w:rPr>
                <w:rFonts w:ascii="Cambria" w:hAnsi="Cambria"/>
                <w:i/>
                <w:iCs/>
                <w:color w:val="000000" w:themeColor="text1"/>
                <w:sz w:val="22"/>
                <w:szCs w:val="22"/>
              </w:rPr>
              <w:t xml:space="preserve">, that is taking into account inflation. The risk and reward indicator should be also bi-dimensional.  The first dimension should consider the aggregate risk profile of the product (in accordance with the financial risk table – on the vertical axis) and the </w:t>
            </w:r>
            <w:r w:rsidRPr="006F244F">
              <w:rPr>
                <w:rFonts w:ascii="Cambria" w:hAnsi="Cambria"/>
                <w:b/>
                <w:bCs/>
                <w:i/>
                <w:iCs/>
                <w:color w:val="000000" w:themeColor="text1"/>
                <w:sz w:val="22"/>
                <w:szCs w:val="22"/>
              </w:rPr>
              <w:t>remaining investment horizon</w:t>
            </w:r>
            <w:r w:rsidRPr="006F244F">
              <w:rPr>
                <w:rFonts w:ascii="Cambria" w:hAnsi="Cambria"/>
                <w:i/>
                <w:iCs/>
                <w:color w:val="000000" w:themeColor="text1"/>
                <w:sz w:val="22"/>
                <w:szCs w:val="22"/>
              </w:rPr>
              <w:t xml:space="preserve"> (horizontal axis). The temporal dimension should not end with the target retirement date and should continue in the decumulation phase with the number of years equal to the life expectancy calculated by Eurostat for the country of domicile of the PEPP provider.</w:t>
            </w:r>
          </w:p>
          <w:p w14:paraId="2FA7ECD8" w14:textId="5835E193" w:rsidR="006F244F" w:rsidRDefault="006F244F" w:rsidP="006F244F">
            <w:pPr>
              <w:spacing w:after="120"/>
              <w:ind w:left="567" w:right="567"/>
              <w:jc w:val="both"/>
              <w:rPr>
                <w:rFonts w:ascii="Cambria" w:hAnsi="Cambria"/>
                <w:i/>
                <w:iCs/>
                <w:color w:val="000000" w:themeColor="text1"/>
                <w:sz w:val="22"/>
                <w:szCs w:val="22"/>
              </w:rPr>
            </w:pPr>
          </w:p>
          <w:p w14:paraId="261BACB4" w14:textId="0EBD493D" w:rsidR="006F244F" w:rsidRDefault="006F244F" w:rsidP="006F244F">
            <w:pPr>
              <w:spacing w:after="120"/>
              <w:ind w:left="567" w:right="567"/>
              <w:jc w:val="both"/>
              <w:rPr>
                <w:rFonts w:ascii="Cambria" w:hAnsi="Cambria"/>
                <w:i/>
                <w:iCs/>
                <w:color w:val="000000" w:themeColor="text1"/>
                <w:sz w:val="22"/>
                <w:szCs w:val="22"/>
              </w:rPr>
            </w:pPr>
          </w:p>
          <w:p w14:paraId="0EAF6674" w14:textId="79FA39F1" w:rsidR="006F244F" w:rsidRDefault="006F244F" w:rsidP="006F244F">
            <w:pPr>
              <w:spacing w:after="120"/>
              <w:ind w:left="567" w:right="567"/>
              <w:jc w:val="both"/>
              <w:rPr>
                <w:rFonts w:ascii="Cambria" w:hAnsi="Cambria"/>
                <w:i/>
                <w:iCs/>
                <w:color w:val="000000" w:themeColor="text1"/>
                <w:sz w:val="22"/>
                <w:szCs w:val="22"/>
              </w:rPr>
            </w:pPr>
          </w:p>
          <w:p w14:paraId="0F8DCF89" w14:textId="4E5F6D58" w:rsidR="006F244F" w:rsidRDefault="006F244F" w:rsidP="006F244F">
            <w:pPr>
              <w:spacing w:after="120"/>
              <w:ind w:left="567" w:right="567"/>
              <w:jc w:val="both"/>
              <w:rPr>
                <w:rFonts w:ascii="Cambria" w:hAnsi="Cambria"/>
                <w:i/>
                <w:iCs/>
                <w:color w:val="000000" w:themeColor="text1"/>
                <w:sz w:val="22"/>
                <w:szCs w:val="22"/>
              </w:rPr>
            </w:pPr>
          </w:p>
          <w:p w14:paraId="3DF2BA1C" w14:textId="23DAA8A7" w:rsidR="006F244F" w:rsidRDefault="006F244F" w:rsidP="006F244F">
            <w:pPr>
              <w:spacing w:after="120"/>
              <w:ind w:left="567" w:right="567"/>
              <w:jc w:val="both"/>
              <w:rPr>
                <w:rFonts w:ascii="Cambria" w:hAnsi="Cambria"/>
                <w:i/>
                <w:iCs/>
                <w:color w:val="000000" w:themeColor="text1"/>
                <w:sz w:val="22"/>
                <w:szCs w:val="22"/>
              </w:rPr>
            </w:pPr>
          </w:p>
          <w:p w14:paraId="1684D866" w14:textId="016E90B5" w:rsidR="006F244F" w:rsidRDefault="006F244F" w:rsidP="006F244F">
            <w:pPr>
              <w:spacing w:after="120"/>
              <w:ind w:left="567" w:right="567"/>
              <w:jc w:val="both"/>
              <w:rPr>
                <w:rFonts w:ascii="Cambria" w:hAnsi="Cambria"/>
                <w:i/>
                <w:iCs/>
                <w:color w:val="000000" w:themeColor="text1"/>
                <w:sz w:val="22"/>
                <w:szCs w:val="22"/>
              </w:rPr>
            </w:pPr>
          </w:p>
          <w:p w14:paraId="09B22675" w14:textId="77777777" w:rsidR="006F244F" w:rsidRPr="006F244F" w:rsidRDefault="006F244F" w:rsidP="006F244F">
            <w:pPr>
              <w:spacing w:after="120"/>
              <w:ind w:left="567" w:right="567"/>
              <w:jc w:val="both"/>
              <w:rPr>
                <w:rFonts w:ascii="Cambria" w:hAnsi="Cambria"/>
                <w:i/>
                <w:iCs/>
                <w:color w:val="000000" w:themeColor="text1"/>
                <w:sz w:val="22"/>
                <w:szCs w:val="22"/>
              </w:rPr>
            </w:pPr>
          </w:p>
          <w:p w14:paraId="2D9CE9FC" w14:textId="77777777" w:rsidR="006F244F" w:rsidRPr="006F244F" w:rsidRDefault="006F244F" w:rsidP="006F244F">
            <w:pPr>
              <w:ind w:left="567" w:right="567"/>
              <w:jc w:val="center"/>
              <w:rPr>
                <w:rFonts w:ascii="Cambria" w:hAnsi="Cambria"/>
                <w:b/>
                <w:bCs/>
                <w:i/>
                <w:iCs/>
                <w:color w:val="000000" w:themeColor="text1"/>
                <w:sz w:val="20"/>
                <w:szCs w:val="20"/>
              </w:rPr>
            </w:pPr>
            <w:r w:rsidRPr="006F244F">
              <w:rPr>
                <w:rFonts w:ascii="Cambria" w:hAnsi="Cambria"/>
                <w:b/>
                <w:bCs/>
                <w:i/>
                <w:iCs/>
                <w:color w:val="000000" w:themeColor="text1"/>
                <w:sz w:val="20"/>
                <w:szCs w:val="20"/>
              </w:rPr>
              <w:t>Table 11. Risk and reward indicator</w:t>
            </w:r>
          </w:p>
          <w:tbl>
            <w:tblPr>
              <w:tblW w:w="4752" w:type="dxa"/>
              <w:jc w:val="center"/>
              <w:tblLook w:val="04A0" w:firstRow="1" w:lastRow="0" w:firstColumn="1" w:lastColumn="0" w:noHBand="0" w:noVBand="1"/>
            </w:tblPr>
            <w:tblGrid>
              <w:gridCol w:w="439"/>
              <w:gridCol w:w="338"/>
              <w:gridCol w:w="734"/>
              <w:gridCol w:w="709"/>
              <w:gridCol w:w="709"/>
              <w:gridCol w:w="708"/>
              <w:gridCol w:w="635"/>
              <w:gridCol w:w="635"/>
            </w:tblGrid>
            <w:tr w:rsidR="006F244F" w:rsidRPr="006F244F" w14:paraId="3EC6DD1B" w14:textId="77777777" w:rsidTr="006F244F">
              <w:trPr>
                <w:trHeight w:val="55"/>
                <w:jc w:val="center"/>
              </w:trPr>
              <w:tc>
                <w:tcPr>
                  <w:tcW w:w="284" w:type="dxa"/>
                  <w:shd w:val="clear" w:color="auto" w:fill="305496"/>
                  <w:noWrap/>
                  <w:vAlign w:val="bottom"/>
                  <w:hideMark/>
                </w:tcPr>
                <w:p w14:paraId="77C93FE9" w14:textId="77777777" w:rsidR="006F244F" w:rsidRPr="006F244F" w:rsidRDefault="006F244F" w:rsidP="006F244F">
                  <w:pPr>
                    <w:rPr>
                      <w:rFonts w:ascii="Cambria" w:hAnsi="Cambria"/>
                      <w:b/>
                      <w:bCs/>
                      <w:color w:val="FFFFFF"/>
                      <w:sz w:val="18"/>
                      <w:szCs w:val="18"/>
                      <w:lang w:eastAsia="en-GB"/>
                    </w:rPr>
                  </w:pPr>
                  <w:r w:rsidRPr="006F244F">
                    <w:rPr>
                      <w:rFonts w:ascii="Cambria" w:hAnsi="Cambria"/>
                      <w:b/>
                      <w:bCs/>
                      <w:color w:val="FFFFFF"/>
                      <w:sz w:val="18"/>
                      <w:szCs w:val="18"/>
                      <w:lang w:eastAsia="en-GB"/>
                    </w:rPr>
                    <w:t> </w:t>
                  </w:r>
                </w:p>
              </w:tc>
              <w:tc>
                <w:tcPr>
                  <w:tcW w:w="338" w:type="dxa"/>
                  <w:shd w:val="clear" w:color="auto" w:fill="305496"/>
                  <w:noWrap/>
                  <w:vAlign w:val="bottom"/>
                  <w:hideMark/>
                </w:tcPr>
                <w:p w14:paraId="7EA5C5E7" w14:textId="77777777" w:rsidR="006F244F" w:rsidRPr="006F244F" w:rsidRDefault="006F244F" w:rsidP="006F244F">
                  <w:pPr>
                    <w:rPr>
                      <w:rFonts w:ascii="Cambria" w:hAnsi="Cambria"/>
                      <w:b/>
                      <w:bCs/>
                      <w:color w:val="FFFFFF"/>
                      <w:sz w:val="18"/>
                      <w:szCs w:val="18"/>
                      <w:lang w:eastAsia="en-GB"/>
                    </w:rPr>
                  </w:pPr>
                  <w:r w:rsidRPr="006F244F">
                    <w:rPr>
                      <w:rFonts w:ascii="Cambria" w:hAnsi="Cambria"/>
                      <w:b/>
                      <w:bCs/>
                      <w:color w:val="FFFFFF"/>
                      <w:sz w:val="18"/>
                      <w:szCs w:val="18"/>
                      <w:lang w:eastAsia="en-GB"/>
                    </w:rPr>
                    <w:t> </w:t>
                  </w:r>
                </w:p>
              </w:tc>
              <w:tc>
                <w:tcPr>
                  <w:tcW w:w="2152" w:type="dxa"/>
                  <w:gridSpan w:val="3"/>
                  <w:tcBorders>
                    <w:top w:val="nil"/>
                    <w:left w:val="nil"/>
                    <w:bottom w:val="nil"/>
                    <w:right w:val="single" w:sz="8" w:space="0" w:color="000000"/>
                  </w:tcBorders>
                  <w:shd w:val="clear" w:color="auto" w:fill="305496"/>
                  <w:noWrap/>
                  <w:vAlign w:val="bottom"/>
                  <w:hideMark/>
                </w:tcPr>
                <w:p w14:paraId="38A61D4A" w14:textId="77777777" w:rsidR="006F244F" w:rsidRPr="006F244F" w:rsidRDefault="006F244F" w:rsidP="006F244F">
                  <w:pPr>
                    <w:jc w:val="center"/>
                    <w:rPr>
                      <w:rFonts w:ascii="Cambria" w:hAnsi="Cambria"/>
                      <w:b/>
                      <w:bCs/>
                      <w:color w:val="FFFFFF"/>
                      <w:sz w:val="18"/>
                      <w:szCs w:val="18"/>
                      <w:lang w:eastAsia="en-GB"/>
                    </w:rPr>
                  </w:pPr>
                  <w:r w:rsidRPr="006F244F">
                    <w:rPr>
                      <w:rFonts w:ascii="Cambria" w:hAnsi="Cambria"/>
                      <w:b/>
                      <w:bCs/>
                      <w:color w:val="FFFFFF"/>
                      <w:sz w:val="18"/>
                      <w:szCs w:val="18"/>
                      <w:lang w:eastAsia="en-GB"/>
                    </w:rPr>
                    <w:t>Years to retirement</w:t>
                  </w:r>
                </w:p>
              </w:tc>
              <w:tc>
                <w:tcPr>
                  <w:tcW w:w="1978" w:type="dxa"/>
                  <w:gridSpan w:val="3"/>
                  <w:shd w:val="clear" w:color="auto" w:fill="305496"/>
                  <w:noWrap/>
                  <w:vAlign w:val="bottom"/>
                  <w:hideMark/>
                </w:tcPr>
                <w:p w14:paraId="57BE68C9" w14:textId="77777777" w:rsidR="006F244F" w:rsidRPr="006F244F" w:rsidRDefault="006F244F" w:rsidP="006F244F">
                  <w:pPr>
                    <w:jc w:val="center"/>
                    <w:rPr>
                      <w:rFonts w:ascii="Cambria" w:hAnsi="Cambria"/>
                      <w:b/>
                      <w:bCs/>
                      <w:color w:val="FFFFFF"/>
                      <w:sz w:val="18"/>
                      <w:szCs w:val="18"/>
                      <w:lang w:eastAsia="en-GB"/>
                    </w:rPr>
                  </w:pPr>
                  <w:r w:rsidRPr="006F244F">
                    <w:rPr>
                      <w:rFonts w:ascii="Cambria" w:hAnsi="Cambria"/>
                      <w:b/>
                      <w:bCs/>
                      <w:color w:val="FFFFFF"/>
                      <w:sz w:val="18"/>
                      <w:szCs w:val="18"/>
                      <w:lang w:eastAsia="en-GB"/>
                    </w:rPr>
                    <w:t>Years after retirement</w:t>
                  </w:r>
                </w:p>
              </w:tc>
            </w:tr>
            <w:tr w:rsidR="006F244F" w:rsidRPr="006F244F" w14:paraId="5601F0E8" w14:textId="77777777" w:rsidTr="006F244F">
              <w:trPr>
                <w:trHeight w:val="55"/>
                <w:jc w:val="center"/>
              </w:trPr>
              <w:tc>
                <w:tcPr>
                  <w:tcW w:w="284" w:type="dxa"/>
                  <w:vMerge w:val="restart"/>
                  <w:shd w:val="clear" w:color="auto" w:fill="305496"/>
                  <w:noWrap/>
                  <w:textDirection w:val="btLr"/>
                  <w:vAlign w:val="center"/>
                  <w:hideMark/>
                </w:tcPr>
                <w:p w14:paraId="6E1D38D6" w14:textId="77777777" w:rsidR="006F244F" w:rsidRPr="006F244F" w:rsidRDefault="006F244F" w:rsidP="006F244F">
                  <w:pPr>
                    <w:jc w:val="center"/>
                    <w:rPr>
                      <w:rFonts w:ascii="Cambria" w:hAnsi="Cambria"/>
                      <w:b/>
                      <w:bCs/>
                      <w:color w:val="FFFFFF"/>
                      <w:sz w:val="18"/>
                      <w:szCs w:val="18"/>
                      <w:lang w:eastAsia="en-GB"/>
                    </w:rPr>
                  </w:pPr>
                  <w:r w:rsidRPr="006F244F">
                    <w:rPr>
                      <w:rFonts w:ascii="Cambria" w:hAnsi="Cambria"/>
                      <w:b/>
                      <w:bCs/>
                      <w:color w:val="FFFFFF"/>
                      <w:sz w:val="18"/>
                      <w:szCs w:val="18"/>
                      <w:lang w:eastAsia="en-GB"/>
                    </w:rPr>
                    <w:t>Risk and return level</w:t>
                  </w:r>
                </w:p>
              </w:tc>
              <w:tc>
                <w:tcPr>
                  <w:tcW w:w="338" w:type="dxa"/>
                  <w:shd w:val="clear" w:color="auto" w:fill="FFFFFF"/>
                  <w:noWrap/>
                  <w:vAlign w:val="bottom"/>
                  <w:hideMark/>
                </w:tcPr>
                <w:p w14:paraId="721A5663" w14:textId="77777777" w:rsidR="006F244F" w:rsidRPr="006F244F" w:rsidRDefault="006F244F" w:rsidP="006F244F">
                  <w:pPr>
                    <w:rPr>
                      <w:rFonts w:ascii="Cambria" w:hAnsi="Cambria"/>
                      <w:color w:val="000000"/>
                      <w:sz w:val="18"/>
                      <w:szCs w:val="18"/>
                      <w:lang w:eastAsia="en-GB"/>
                    </w:rPr>
                  </w:pPr>
                  <w:r w:rsidRPr="006F244F">
                    <w:rPr>
                      <w:rFonts w:ascii="Cambria" w:hAnsi="Cambria"/>
                      <w:color w:val="000000"/>
                      <w:sz w:val="18"/>
                      <w:szCs w:val="18"/>
                      <w:lang w:eastAsia="en-GB"/>
                    </w:rPr>
                    <w:t> </w:t>
                  </w:r>
                </w:p>
              </w:tc>
              <w:tc>
                <w:tcPr>
                  <w:tcW w:w="734" w:type="dxa"/>
                  <w:shd w:val="clear" w:color="auto" w:fill="FFFFFF"/>
                  <w:noWrap/>
                  <w:vAlign w:val="bottom"/>
                  <w:hideMark/>
                </w:tcPr>
                <w:p w14:paraId="7770FC7D"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&gt;30 years</w:t>
                  </w:r>
                </w:p>
              </w:tc>
              <w:tc>
                <w:tcPr>
                  <w:tcW w:w="709" w:type="dxa"/>
                  <w:shd w:val="clear" w:color="auto" w:fill="FFFFFF"/>
                  <w:noWrap/>
                  <w:vAlign w:val="bottom"/>
                  <w:hideMark/>
                </w:tcPr>
                <w:p w14:paraId="4493303C"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&gt;20 years</w:t>
                  </w:r>
                </w:p>
              </w:tc>
              <w:tc>
                <w:tcPr>
                  <w:tcW w:w="709" w:type="dxa"/>
                  <w:tcBorders>
                    <w:top w:val="nil"/>
                    <w:left w:val="nil"/>
                    <w:bottom w:val="nil"/>
                    <w:right w:val="single" w:sz="8" w:space="0" w:color="000000"/>
                  </w:tcBorders>
                  <w:shd w:val="clear" w:color="auto" w:fill="FFFFFF"/>
                  <w:noWrap/>
                  <w:vAlign w:val="bottom"/>
                  <w:hideMark/>
                </w:tcPr>
                <w:p w14:paraId="5DAE4C21"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&gt;10 years</w:t>
                  </w:r>
                </w:p>
              </w:tc>
              <w:tc>
                <w:tcPr>
                  <w:tcW w:w="708" w:type="dxa"/>
                  <w:shd w:val="clear" w:color="auto" w:fill="FFFFFF"/>
                  <w:noWrap/>
                  <w:vAlign w:val="bottom"/>
                  <w:hideMark/>
                </w:tcPr>
                <w:p w14:paraId="02AB8222"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&gt;10 years</w:t>
                  </w:r>
                </w:p>
              </w:tc>
              <w:tc>
                <w:tcPr>
                  <w:tcW w:w="635" w:type="dxa"/>
                  <w:shd w:val="clear" w:color="auto" w:fill="FFFFFF"/>
                  <w:noWrap/>
                  <w:vAlign w:val="bottom"/>
                  <w:hideMark/>
                </w:tcPr>
                <w:p w14:paraId="08ABF44C"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&gt;20 years</w:t>
                  </w:r>
                </w:p>
              </w:tc>
              <w:tc>
                <w:tcPr>
                  <w:tcW w:w="635" w:type="dxa"/>
                  <w:shd w:val="clear" w:color="auto" w:fill="FFFFFF"/>
                  <w:noWrap/>
                  <w:vAlign w:val="bottom"/>
                  <w:hideMark/>
                </w:tcPr>
                <w:p w14:paraId="47C7C5F4"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25 years</w:t>
                  </w:r>
                </w:p>
              </w:tc>
            </w:tr>
            <w:tr w:rsidR="006F244F" w:rsidRPr="006F244F" w14:paraId="0A4238F9" w14:textId="77777777" w:rsidTr="006F244F">
              <w:trPr>
                <w:trHeight w:val="45"/>
                <w:jc w:val="center"/>
              </w:trPr>
              <w:tc>
                <w:tcPr>
                  <w:tcW w:w="284" w:type="dxa"/>
                  <w:vMerge/>
                  <w:vAlign w:val="center"/>
                  <w:hideMark/>
                </w:tcPr>
                <w:p w14:paraId="2383C595" w14:textId="77777777" w:rsidR="006F244F" w:rsidRPr="006F244F" w:rsidRDefault="006F244F" w:rsidP="006F244F">
                  <w:pPr>
                    <w:rPr>
                      <w:rFonts w:ascii="Cambria" w:hAnsi="Cambria"/>
                      <w:b/>
                      <w:bCs/>
                      <w:color w:val="FFFFFF"/>
                      <w:sz w:val="18"/>
                      <w:szCs w:val="18"/>
                      <w:lang w:eastAsia="en-GB"/>
                    </w:rPr>
                  </w:pPr>
                </w:p>
              </w:tc>
              <w:tc>
                <w:tcPr>
                  <w:tcW w:w="338" w:type="dxa"/>
                  <w:shd w:val="clear" w:color="auto" w:fill="FFFFFF"/>
                  <w:noWrap/>
                  <w:vAlign w:val="bottom"/>
                  <w:hideMark/>
                </w:tcPr>
                <w:p w14:paraId="113F9BAE"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1</w:t>
                  </w:r>
                </w:p>
              </w:tc>
              <w:tc>
                <w:tcPr>
                  <w:tcW w:w="734" w:type="dxa"/>
                  <w:tcBorders>
                    <w:top w:val="single" w:sz="4" w:space="0" w:color="FFFFFF"/>
                    <w:left w:val="single" w:sz="4" w:space="0" w:color="FFFFFF"/>
                    <w:bottom w:val="single" w:sz="4" w:space="0" w:color="FFFFFF"/>
                    <w:right w:val="single" w:sz="4" w:space="0" w:color="FFFFFF"/>
                  </w:tcBorders>
                  <w:shd w:val="clear" w:color="auto" w:fill="8EA9DB"/>
                  <w:noWrap/>
                  <w:vAlign w:val="bottom"/>
                  <w:hideMark/>
                </w:tcPr>
                <w:p w14:paraId="50441EAD"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709" w:type="dxa"/>
                  <w:tcBorders>
                    <w:top w:val="single" w:sz="4" w:space="0" w:color="FFFFFF"/>
                    <w:left w:val="nil"/>
                    <w:bottom w:val="single" w:sz="4" w:space="0" w:color="FFFFFF"/>
                    <w:right w:val="single" w:sz="4" w:space="0" w:color="FFFFFF"/>
                  </w:tcBorders>
                  <w:shd w:val="clear" w:color="auto" w:fill="8EA9DB"/>
                  <w:noWrap/>
                  <w:vAlign w:val="bottom"/>
                  <w:hideMark/>
                </w:tcPr>
                <w:p w14:paraId="6059C317"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709" w:type="dxa"/>
                  <w:tcBorders>
                    <w:top w:val="single" w:sz="4" w:space="0" w:color="FFFFFF"/>
                    <w:left w:val="nil"/>
                    <w:bottom w:val="single" w:sz="4" w:space="0" w:color="FFFFFF"/>
                    <w:right w:val="single" w:sz="8" w:space="0" w:color="000000"/>
                  </w:tcBorders>
                  <w:shd w:val="clear" w:color="auto" w:fill="8EA9DB"/>
                  <w:noWrap/>
                  <w:vAlign w:val="bottom"/>
                  <w:hideMark/>
                </w:tcPr>
                <w:p w14:paraId="6E9E26F0"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708" w:type="dxa"/>
                  <w:tcBorders>
                    <w:top w:val="single" w:sz="4" w:space="0" w:color="FFFFFF"/>
                    <w:left w:val="nil"/>
                    <w:bottom w:val="single" w:sz="4" w:space="0" w:color="FFFFFF"/>
                    <w:right w:val="single" w:sz="4" w:space="0" w:color="FFFFFF"/>
                  </w:tcBorders>
                  <w:shd w:val="clear" w:color="auto" w:fill="8EA9DB"/>
                  <w:noWrap/>
                  <w:vAlign w:val="bottom"/>
                  <w:hideMark/>
                </w:tcPr>
                <w:p w14:paraId="4448C05F"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635" w:type="dxa"/>
                  <w:tcBorders>
                    <w:top w:val="single" w:sz="4" w:space="0" w:color="FFFFFF"/>
                    <w:left w:val="nil"/>
                    <w:bottom w:val="single" w:sz="4" w:space="0" w:color="FFFFFF"/>
                    <w:right w:val="single" w:sz="4" w:space="0" w:color="FFFFFF"/>
                  </w:tcBorders>
                  <w:shd w:val="clear" w:color="auto" w:fill="8EA9DB"/>
                  <w:noWrap/>
                  <w:vAlign w:val="bottom"/>
                  <w:hideMark/>
                </w:tcPr>
                <w:p w14:paraId="3608C7AA"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635" w:type="dxa"/>
                  <w:tcBorders>
                    <w:top w:val="single" w:sz="4" w:space="0" w:color="FFFFFF"/>
                    <w:left w:val="nil"/>
                    <w:bottom w:val="single" w:sz="4" w:space="0" w:color="FFFFFF"/>
                    <w:right w:val="single" w:sz="4" w:space="0" w:color="FFFFFF"/>
                  </w:tcBorders>
                  <w:shd w:val="clear" w:color="auto" w:fill="8EA9DB"/>
                  <w:noWrap/>
                  <w:vAlign w:val="bottom"/>
                  <w:hideMark/>
                </w:tcPr>
                <w:p w14:paraId="09E0A5B8"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r>
            <w:tr w:rsidR="006F244F" w:rsidRPr="006F244F" w14:paraId="4022C1BF" w14:textId="77777777" w:rsidTr="006F244F">
              <w:trPr>
                <w:trHeight w:val="70"/>
                <w:jc w:val="center"/>
              </w:trPr>
              <w:tc>
                <w:tcPr>
                  <w:tcW w:w="284" w:type="dxa"/>
                  <w:vMerge/>
                  <w:vAlign w:val="center"/>
                  <w:hideMark/>
                </w:tcPr>
                <w:p w14:paraId="2990539E" w14:textId="77777777" w:rsidR="006F244F" w:rsidRPr="006F244F" w:rsidRDefault="006F244F" w:rsidP="006F244F">
                  <w:pPr>
                    <w:rPr>
                      <w:rFonts w:ascii="Cambria" w:hAnsi="Cambria"/>
                      <w:b/>
                      <w:bCs/>
                      <w:color w:val="FFFFFF"/>
                      <w:sz w:val="18"/>
                      <w:szCs w:val="18"/>
                      <w:lang w:eastAsia="en-GB"/>
                    </w:rPr>
                  </w:pPr>
                </w:p>
              </w:tc>
              <w:tc>
                <w:tcPr>
                  <w:tcW w:w="338" w:type="dxa"/>
                  <w:shd w:val="clear" w:color="auto" w:fill="FFFFFF"/>
                  <w:noWrap/>
                  <w:vAlign w:val="bottom"/>
                  <w:hideMark/>
                </w:tcPr>
                <w:p w14:paraId="20E49FDA"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2</w:t>
                  </w:r>
                </w:p>
              </w:tc>
              <w:tc>
                <w:tcPr>
                  <w:tcW w:w="734" w:type="dxa"/>
                  <w:tcBorders>
                    <w:top w:val="nil"/>
                    <w:left w:val="single" w:sz="4" w:space="0" w:color="FFFFFF"/>
                    <w:bottom w:val="single" w:sz="4" w:space="0" w:color="FFFFFF"/>
                    <w:right w:val="single" w:sz="4" w:space="0" w:color="FFFFFF"/>
                  </w:tcBorders>
                  <w:shd w:val="clear" w:color="auto" w:fill="8EA9DB"/>
                  <w:noWrap/>
                  <w:vAlign w:val="bottom"/>
                  <w:hideMark/>
                </w:tcPr>
                <w:p w14:paraId="7DD544A9"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709" w:type="dxa"/>
                  <w:tcBorders>
                    <w:top w:val="nil"/>
                    <w:left w:val="nil"/>
                    <w:bottom w:val="single" w:sz="4" w:space="0" w:color="FFFFFF"/>
                    <w:right w:val="single" w:sz="4" w:space="0" w:color="FFFFFF"/>
                  </w:tcBorders>
                  <w:shd w:val="clear" w:color="auto" w:fill="8EA9DB"/>
                  <w:noWrap/>
                  <w:vAlign w:val="bottom"/>
                  <w:hideMark/>
                </w:tcPr>
                <w:p w14:paraId="79B7F8C2"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709" w:type="dxa"/>
                  <w:tcBorders>
                    <w:top w:val="nil"/>
                    <w:left w:val="nil"/>
                    <w:bottom w:val="single" w:sz="4" w:space="0" w:color="FFFFFF"/>
                    <w:right w:val="single" w:sz="8" w:space="0" w:color="000000"/>
                  </w:tcBorders>
                  <w:shd w:val="clear" w:color="auto" w:fill="8EA9DB"/>
                  <w:noWrap/>
                  <w:vAlign w:val="bottom"/>
                  <w:hideMark/>
                </w:tcPr>
                <w:p w14:paraId="21CF23F0"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708" w:type="dxa"/>
                  <w:tcBorders>
                    <w:top w:val="nil"/>
                    <w:left w:val="nil"/>
                    <w:bottom w:val="single" w:sz="4" w:space="0" w:color="FFFFFF"/>
                    <w:right w:val="single" w:sz="4" w:space="0" w:color="FFFFFF"/>
                  </w:tcBorders>
                  <w:shd w:val="clear" w:color="auto" w:fill="8EA9DB"/>
                  <w:noWrap/>
                  <w:vAlign w:val="bottom"/>
                  <w:hideMark/>
                </w:tcPr>
                <w:p w14:paraId="22A27299"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635" w:type="dxa"/>
                  <w:tcBorders>
                    <w:top w:val="nil"/>
                    <w:left w:val="nil"/>
                    <w:bottom w:val="single" w:sz="4" w:space="0" w:color="FFFFFF"/>
                    <w:right w:val="single" w:sz="4" w:space="0" w:color="FFFFFF"/>
                  </w:tcBorders>
                  <w:shd w:val="clear" w:color="auto" w:fill="8EA9DB"/>
                  <w:noWrap/>
                  <w:vAlign w:val="bottom"/>
                  <w:hideMark/>
                </w:tcPr>
                <w:p w14:paraId="4D132B34"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635" w:type="dxa"/>
                  <w:tcBorders>
                    <w:top w:val="nil"/>
                    <w:left w:val="nil"/>
                    <w:bottom w:val="single" w:sz="4" w:space="0" w:color="FFFFFF"/>
                    <w:right w:val="single" w:sz="4" w:space="0" w:color="FFFFFF"/>
                  </w:tcBorders>
                  <w:shd w:val="clear" w:color="auto" w:fill="B2A1C7" w:themeFill="accent4" w:themeFillTint="99"/>
                  <w:noWrap/>
                  <w:vAlign w:val="bottom"/>
                  <w:hideMark/>
                </w:tcPr>
                <w:p w14:paraId="736D38A3"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2</w:t>
                  </w:r>
                </w:p>
              </w:tc>
            </w:tr>
            <w:tr w:rsidR="006F244F" w:rsidRPr="006F244F" w14:paraId="56D0EA39" w14:textId="77777777" w:rsidTr="006F244F">
              <w:trPr>
                <w:trHeight w:val="45"/>
                <w:jc w:val="center"/>
              </w:trPr>
              <w:tc>
                <w:tcPr>
                  <w:tcW w:w="284" w:type="dxa"/>
                  <w:vMerge/>
                  <w:vAlign w:val="center"/>
                  <w:hideMark/>
                </w:tcPr>
                <w:p w14:paraId="106F9208" w14:textId="77777777" w:rsidR="006F244F" w:rsidRPr="006F244F" w:rsidRDefault="006F244F" w:rsidP="006F244F">
                  <w:pPr>
                    <w:rPr>
                      <w:rFonts w:ascii="Cambria" w:hAnsi="Cambria"/>
                      <w:b/>
                      <w:bCs/>
                      <w:color w:val="FFFFFF"/>
                      <w:sz w:val="18"/>
                      <w:szCs w:val="18"/>
                      <w:lang w:eastAsia="en-GB"/>
                    </w:rPr>
                  </w:pPr>
                </w:p>
              </w:tc>
              <w:tc>
                <w:tcPr>
                  <w:tcW w:w="338" w:type="dxa"/>
                  <w:shd w:val="clear" w:color="auto" w:fill="FFFFFF"/>
                  <w:noWrap/>
                  <w:vAlign w:val="bottom"/>
                  <w:hideMark/>
                </w:tcPr>
                <w:p w14:paraId="234207FD"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3</w:t>
                  </w:r>
                </w:p>
              </w:tc>
              <w:tc>
                <w:tcPr>
                  <w:tcW w:w="734" w:type="dxa"/>
                  <w:tcBorders>
                    <w:top w:val="nil"/>
                    <w:left w:val="single" w:sz="4" w:space="0" w:color="FFFFFF"/>
                    <w:bottom w:val="single" w:sz="4" w:space="0" w:color="FFFFFF"/>
                    <w:right w:val="single" w:sz="4" w:space="0" w:color="FFFFFF"/>
                  </w:tcBorders>
                  <w:shd w:val="clear" w:color="auto" w:fill="8EA9DB"/>
                  <w:noWrap/>
                  <w:vAlign w:val="bottom"/>
                  <w:hideMark/>
                </w:tcPr>
                <w:p w14:paraId="37392889"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709" w:type="dxa"/>
                  <w:tcBorders>
                    <w:top w:val="nil"/>
                    <w:left w:val="nil"/>
                    <w:bottom w:val="single" w:sz="4" w:space="0" w:color="FFFFFF"/>
                    <w:right w:val="single" w:sz="4" w:space="0" w:color="FFFFFF"/>
                  </w:tcBorders>
                  <w:shd w:val="clear" w:color="auto" w:fill="8EA9DB"/>
                  <w:noWrap/>
                  <w:vAlign w:val="bottom"/>
                  <w:hideMark/>
                </w:tcPr>
                <w:p w14:paraId="26D4EF61"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709" w:type="dxa"/>
                  <w:tcBorders>
                    <w:top w:val="nil"/>
                    <w:left w:val="nil"/>
                    <w:bottom w:val="single" w:sz="4" w:space="0" w:color="FFFFFF"/>
                    <w:right w:val="single" w:sz="8" w:space="0" w:color="000000"/>
                  </w:tcBorders>
                  <w:shd w:val="clear" w:color="auto" w:fill="8EA9DB"/>
                  <w:noWrap/>
                  <w:vAlign w:val="bottom"/>
                  <w:hideMark/>
                </w:tcPr>
                <w:p w14:paraId="51F02D63"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708" w:type="dxa"/>
                  <w:tcBorders>
                    <w:top w:val="nil"/>
                    <w:left w:val="nil"/>
                    <w:bottom w:val="single" w:sz="4" w:space="0" w:color="FFFFFF"/>
                    <w:right w:val="single" w:sz="4" w:space="0" w:color="FFFFFF"/>
                  </w:tcBorders>
                  <w:shd w:val="clear" w:color="auto" w:fill="FFD966"/>
                  <w:noWrap/>
                  <w:vAlign w:val="bottom"/>
                  <w:hideMark/>
                </w:tcPr>
                <w:p w14:paraId="0609FDF1"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3</w:t>
                  </w:r>
                </w:p>
              </w:tc>
              <w:tc>
                <w:tcPr>
                  <w:tcW w:w="635" w:type="dxa"/>
                  <w:tcBorders>
                    <w:top w:val="nil"/>
                    <w:left w:val="nil"/>
                    <w:bottom w:val="single" w:sz="4" w:space="0" w:color="FFFFFF"/>
                    <w:right w:val="single" w:sz="4" w:space="0" w:color="FFFFFF"/>
                  </w:tcBorders>
                  <w:shd w:val="clear" w:color="auto" w:fill="FFD966"/>
                  <w:noWrap/>
                  <w:vAlign w:val="bottom"/>
                  <w:hideMark/>
                </w:tcPr>
                <w:p w14:paraId="485FCB43"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3</w:t>
                  </w:r>
                </w:p>
              </w:tc>
              <w:tc>
                <w:tcPr>
                  <w:tcW w:w="635" w:type="dxa"/>
                  <w:tcBorders>
                    <w:top w:val="nil"/>
                    <w:left w:val="nil"/>
                    <w:bottom w:val="single" w:sz="4" w:space="0" w:color="FFFFFF"/>
                    <w:right w:val="single" w:sz="4" w:space="0" w:color="FFFFFF"/>
                  </w:tcBorders>
                  <w:shd w:val="clear" w:color="auto" w:fill="8EA9DB"/>
                  <w:noWrap/>
                  <w:vAlign w:val="bottom"/>
                  <w:hideMark/>
                </w:tcPr>
                <w:p w14:paraId="1E059279"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r>
            <w:tr w:rsidR="006F244F" w:rsidRPr="006F244F" w14:paraId="2D0E31B4" w14:textId="77777777" w:rsidTr="006F244F">
              <w:trPr>
                <w:trHeight w:val="149"/>
                <w:jc w:val="center"/>
              </w:trPr>
              <w:tc>
                <w:tcPr>
                  <w:tcW w:w="284" w:type="dxa"/>
                  <w:vMerge/>
                  <w:vAlign w:val="center"/>
                  <w:hideMark/>
                </w:tcPr>
                <w:p w14:paraId="27B66460" w14:textId="77777777" w:rsidR="006F244F" w:rsidRPr="006F244F" w:rsidRDefault="006F244F" w:rsidP="006F244F">
                  <w:pPr>
                    <w:rPr>
                      <w:rFonts w:ascii="Cambria" w:hAnsi="Cambria"/>
                      <w:b/>
                      <w:bCs/>
                      <w:color w:val="FFFFFF"/>
                      <w:sz w:val="18"/>
                      <w:szCs w:val="18"/>
                      <w:lang w:eastAsia="en-GB"/>
                    </w:rPr>
                  </w:pPr>
                </w:p>
              </w:tc>
              <w:tc>
                <w:tcPr>
                  <w:tcW w:w="338" w:type="dxa"/>
                  <w:shd w:val="clear" w:color="auto" w:fill="FFFFFF"/>
                  <w:noWrap/>
                  <w:vAlign w:val="bottom"/>
                  <w:hideMark/>
                </w:tcPr>
                <w:p w14:paraId="1B357E49"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4</w:t>
                  </w:r>
                </w:p>
              </w:tc>
              <w:tc>
                <w:tcPr>
                  <w:tcW w:w="734" w:type="dxa"/>
                  <w:tcBorders>
                    <w:top w:val="nil"/>
                    <w:left w:val="single" w:sz="4" w:space="0" w:color="FFFFFF"/>
                    <w:bottom w:val="single" w:sz="4" w:space="0" w:color="FFFFFF"/>
                    <w:right w:val="single" w:sz="4" w:space="0" w:color="FFFFFF"/>
                  </w:tcBorders>
                  <w:shd w:val="clear" w:color="auto" w:fill="8EA9DB"/>
                  <w:noWrap/>
                  <w:vAlign w:val="bottom"/>
                  <w:hideMark/>
                </w:tcPr>
                <w:p w14:paraId="6E3A6DF7"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709" w:type="dxa"/>
                  <w:tcBorders>
                    <w:top w:val="nil"/>
                    <w:left w:val="nil"/>
                    <w:bottom w:val="single" w:sz="4" w:space="0" w:color="FFFFFF"/>
                    <w:right w:val="single" w:sz="4" w:space="0" w:color="FFFFFF"/>
                  </w:tcBorders>
                  <w:shd w:val="clear" w:color="auto" w:fill="8EA9DB"/>
                  <w:noWrap/>
                  <w:vAlign w:val="bottom"/>
                  <w:hideMark/>
                </w:tcPr>
                <w:p w14:paraId="52998674"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709" w:type="dxa"/>
                  <w:tcBorders>
                    <w:top w:val="nil"/>
                    <w:left w:val="nil"/>
                    <w:bottom w:val="single" w:sz="4" w:space="0" w:color="FFFFFF"/>
                    <w:right w:val="single" w:sz="8" w:space="0" w:color="000000"/>
                  </w:tcBorders>
                  <w:shd w:val="clear" w:color="auto" w:fill="FFD966"/>
                  <w:noWrap/>
                  <w:vAlign w:val="bottom"/>
                  <w:hideMark/>
                </w:tcPr>
                <w:p w14:paraId="66C7F55E"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4</w:t>
                  </w:r>
                </w:p>
              </w:tc>
              <w:tc>
                <w:tcPr>
                  <w:tcW w:w="708" w:type="dxa"/>
                  <w:tcBorders>
                    <w:top w:val="nil"/>
                    <w:left w:val="nil"/>
                    <w:bottom w:val="single" w:sz="4" w:space="0" w:color="FFFFFF"/>
                    <w:right w:val="single" w:sz="4" w:space="0" w:color="FFFFFF"/>
                  </w:tcBorders>
                  <w:shd w:val="clear" w:color="auto" w:fill="8EA9DB"/>
                  <w:noWrap/>
                  <w:vAlign w:val="bottom"/>
                  <w:hideMark/>
                </w:tcPr>
                <w:p w14:paraId="201D0033"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635" w:type="dxa"/>
                  <w:tcBorders>
                    <w:top w:val="nil"/>
                    <w:left w:val="nil"/>
                    <w:bottom w:val="single" w:sz="4" w:space="0" w:color="FFFFFF"/>
                    <w:right w:val="single" w:sz="4" w:space="0" w:color="FFFFFF"/>
                  </w:tcBorders>
                  <w:shd w:val="clear" w:color="auto" w:fill="8EA9DB"/>
                  <w:noWrap/>
                  <w:vAlign w:val="bottom"/>
                  <w:hideMark/>
                </w:tcPr>
                <w:p w14:paraId="139D7155"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635" w:type="dxa"/>
                  <w:tcBorders>
                    <w:top w:val="nil"/>
                    <w:left w:val="nil"/>
                    <w:bottom w:val="single" w:sz="4" w:space="0" w:color="FFFFFF"/>
                    <w:right w:val="single" w:sz="4" w:space="0" w:color="FFFFFF"/>
                  </w:tcBorders>
                  <w:shd w:val="clear" w:color="auto" w:fill="95B3D7" w:themeFill="accent1" w:themeFillTint="99"/>
                  <w:noWrap/>
                  <w:vAlign w:val="bottom"/>
                  <w:hideMark/>
                </w:tcPr>
                <w:p w14:paraId="1A118453" w14:textId="77777777" w:rsidR="006F244F" w:rsidRPr="006F244F" w:rsidRDefault="006F244F" w:rsidP="006F244F">
                  <w:pPr>
                    <w:rPr>
                      <w:rFonts w:ascii="Cambria" w:hAnsi="Cambria"/>
                      <w:color w:val="000000"/>
                      <w:sz w:val="18"/>
                      <w:szCs w:val="18"/>
                      <w:lang w:eastAsia="en-GB"/>
                    </w:rPr>
                  </w:pPr>
                </w:p>
              </w:tc>
            </w:tr>
            <w:tr w:rsidR="006F244F" w:rsidRPr="006F244F" w14:paraId="67150C23" w14:textId="77777777" w:rsidTr="006F244F">
              <w:trPr>
                <w:trHeight w:val="45"/>
                <w:jc w:val="center"/>
              </w:trPr>
              <w:tc>
                <w:tcPr>
                  <w:tcW w:w="284" w:type="dxa"/>
                  <w:vMerge/>
                  <w:vAlign w:val="center"/>
                  <w:hideMark/>
                </w:tcPr>
                <w:p w14:paraId="1495A028" w14:textId="77777777" w:rsidR="006F244F" w:rsidRPr="006F244F" w:rsidRDefault="006F244F" w:rsidP="006F244F">
                  <w:pPr>
                    <w:rPr>
                      <w:rFonts w:ascii="Cambria" w:hAnsi="Cambria"/>
                      <w:b/>
                      <w:bCs/>
                      <w:color w:val="FFFFFF"/>
                      <w:sz w:val="18"/>
                      <w:szCs w:val="18"/>
                      <w:lang w:eastAsia="en-GB"/>
                    </w:rPr>
                  </w:pPr>
                </w:p>
              </w:tc>
              <w:tc>
                <w:tcPr>
                  <w:tcW w:w="338" w:type="dxa"/>
                  <w:shd w:val="clear" w:color="auto" w:fill="FFFFFF"/>
                  <w:noWrap/>
                  <w:vAlign w:val="bottom"/>
                  <w:hideMark/>
                </w:tcPr>
                <w:p w14:paraId="4B2DE93C"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5</w:t>
                  </w:r>
                </w:p>
              </w:tc>
              <w:tc>
                <w:tcPr>
                  <w:tcW w:w="734" w:type="dxa"/>
                  <w:tcBorders>
                    <w:top w:val="nil"/>
                    <w:left w:val="single" w:sz="4" w:space="0" w:color="FFFFFF"/>
                    <w:bottom w:val="single" w:sz="4" w:space="0" w:color="FFFFFF"/>
                    <w:right w:val="single" w:sz="4" w:space="0" w:color="FFFFFF"/>
                  </w:tcBorders>
                  <w:shd w:val="clear" w:color="auto" w:fill="8EA9DB"/>
                  <w:noWrap/>
                  <w:vAlign w:val="bottom"/>
                  <w:hideMark/>
                </w:tcPr>
                <w:p w14:paraId="3B59804F"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709" w:type="dxa"/>
                  <w:tcBorders>
                    <w:top w:val="nil"/>
                    <w:left w:val="nil"/>
                    <w:bottom w:val="single" w:sz="4" w:space="0" w:color="FFFFFF"/>
                    <w:right w:val="single" w:sz="4" w:space="0" w:color="FFFFFF"/>
                  </w:tcBorders>
                  <w:shd w:val="clear" w:color="auto" w:fill="FFD966"/>
                  <w:noWrap/>
                  <w:vAlign w:val="bottom"/>
                  <w:hideMark/>
                </w:tcPr>
                <w:p w14:paraId="739C248C"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5</w:t>
                  </w:r>
                </w:p>
              </w:tc>
              <w:tc>
                <w:tcPr>
                  <w:tcW w:w="709" w:type="dxa"/>
                  <w:tcBorders>
                    <w:top w:val="nil"/>
                    <w:left w:val="nil"/>
                    <w:bottom w:val="single" w:sz="4" w:space="0" w:color="FFFFFF"/>
                    <w:right w:val="single" w:sz="8" w:space="0" w:color="000000"/>
                  </w:tcBorders>
                  <w:shd w:val="clear" w:color="auto" w:fill="8EA9DB"/>
                  <w:noWrap/>
                  <w:vAlign w:val="bottom"/>
                  <w:hideMark/>
                </w:tcPr>
                <w:p w14:paraId="4833047F"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708" w:type="dxa"/>
                  <w:tcBorders>
                    <w:top w:val="nil"/>
                    <w:left w:val="nil"/>
                    <w:bottom w:val="single" w:sz="4" w:space="0" w:color="FFFFFF"/>
                    <w:right w:val="single" w:sz="4" w:space="0" w:color="FFFFFF"/>
                  </w:tcBorders>
                  <w:shd w:val="clear" w:color="auto" w:fill="8EA9DB"/>
                  <w:noWrap/>
                  <w:vAlign w:val="bottom"/>
                  <w:hideMark/>
                </w:tcPr>
                <w:p w14:paraId="68405CDE"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635" w:type="dxa"/>
                  <w:tcBorders>
                    <w:top w:val="nil"/>
                    <w:left w:val="nil"/>
                    <w:bottom w:val="single" w:sz="4" w:space="0" w:color="FFFFFF"/>
                    <w:right w:val="single" w:sz="4" w:space="0" w:color="FFFFFF"/>
                  </w:tcBorders>
                  <w:shd w:val="clear" w:color="auto" w:fill="8EA9DB"/>
                  <w:noWrap/>
                  <w:vAlign w:val="bottom"/>
                  <w:hideMark/>
                </w:tcPr>
                <w:p w14:paraId="08379D99"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635" w:type="dxa"/>
                  <w:tcBorders>
                    <w:top w:val="nil"/>
                    <w:left w:val="nil"/>
                    <w:bottom w:val="single" w:sz="4" w:space="0" w:color="FFFFFF"/>
                    <w:right w:val="single" w:sz="4" w:space="0" w:color="FFFFFF"/>
                  </w:tcBorders>
                  <w:shd w:val="clear" w:color="auto" w:fill="8EA9DB"/>
                  <w:noWrap/>
                  <w:vAlign w:val="bottom"/>
                  <w:hideMark/>
                </w:tcPr>
                <w:p w14:paraId="58A5AE1A"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r>
            <w:tr w:rsidR="006F244F" w:rsidRPr="006F244F" w14:paraId="6FBF2550" w14:textId="77777777" w:rsidTr="006F244F">
              <w:trPr>
                <w:trHeight w:val="45"/>
                <w:jc w:val="center"/>
              </w:trPr>
              <w:tc>
                <w:tcPr>
                  <w:tcW w:w="284" w:type="dxa"/>
                  <w:vMerge/>
                  <w:vAlign w:val="center"/>
                  <w:hideMark/>
                </w:tcPr>
                <w:p w14:paraId="2D7F7BC0" w14:textId="77777777" w:rsidR="006F244F" w:rsidRPr="006F244F" w:rsidRDefault="006F244F" w:rsidP="006F244F">
                  <w:pPr>
                    <w:rPr>
                      <w:rFonts w:ascii="Cambria" w:hAnsi="Cambria"/>
                      <w:b/>
                      <w:bCs/>
                      <w:color w:val="FFFFFF"/>
                      <w:sz w:val="18"/>
                      <w:szCs w:val="18"/>
                      <w:lang w:eastAsia="en-GB"/>
                    </w:rPr>
                  </w:pPr>
                </w:p>
              </w:tc>
              <w:tc>
                <w:tcPr>
                  <w:tcW w:w="338" w:type="dxa"/>
                  <w:shd w:val="clear" w:color="auto" w:fill="FFFFFF"/>
                  <w:noWrap/>
                  <w:vAlign w:val="bottom"/>
                  <w:hideMark/>
                </w:tcPr>
                <w:p w14:paraId="0EBB30D9"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6</w:t>
                  </w:r>
                </w:p>
              </w:tc>
              <w:tc>
                <w:tcPr>
                  <w:tcW w:w="734" w:type="dxa"/>
                  <w:tcBorders>
                    <w:top w:val="nil"/>
                    <w:left w:val="single" w:sz="4" w:space="0" w:color="FFFFFF"/>
                    <w:bottom w:val="single" w:sz="4" w:space="0" w:color="FFFFFF"/>
                    <w:right w:val="single" w:sz="4" w:space="0" w:color="FFFFFF"/>
                  </w:tcBorders>
                  <w:shd w:val="clear" w:color="auto" w:fill="FFD966"/>
                  <w:noWrap/>
                  <w:vAlign w:val="bottom"/>
                  <w:hideMark/>
                </w:tcPr>
                <w:p w14:paraId="3E4D9BDF"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6</w:t>
                  </w:r>
                </w:p>
              </w:tc>
              <w:tc>
                <w:tcPr>
                  <w:tcW w:w="709" w:type="dxa"/>
                  <w:tcBorders>
                    <w:top w:val="nil"/>
                    <w:left w:val="nil"/>
                    <w:bottom w:val="single" w:sz="4" w:space="0" w:color="FFFFFF"/>
                    <w:right w:val="single" w:sz="4" w:space="0" w:color="FFFFFF"/>
                  </w:tcBorders>
                  <w:shd w:val="clear" w:color="auto" w:fill="8EA9DB"/>
                  <w:noWrap/>
                  <w:vAlign w:val="bottom"/>
                  <w:hideMark/>
                </w:tcPr>
                <w:p w14:paraId="426185D7"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709" w:type="dxa"/>
                  <w:tcBorders>
                    <w:top w:val="nil"/>
                    <w:left w:val="nil"/>
                    <w:bottom w:val="single" w:sz="4" w:space="0" w:color="FFFFFF"/>
                    <w:right w:val="single" w:sz="8" w:space="0" w:color="000000"/>
                  </w:tcBorders>
                  <w:shd w:val="clear" w:color="auto" w:fill="8EA9DB"/>
                  <w:noWrap/>
                  <w:vAlign w:val="bottom"/>
                  <w:hideMark/>
                </w:tcPr>
                <w:p w14:paraId="32585C0D"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708" w:type="dxa"/>
                  <w:tcBorders>
                    <w:top w:val="nil"/>
                    <w:left w:val="nil"/>
                    <w:bottom w:val="single" w:sz="4" w:space="0" w:color="FFFFFF"/>
                    <w:right w:val="single" w:sz="4" w:space="0" w:color="FFFFFF"/>
                  </w:tcBorders>
                  <w:shd w:val="clear" w:color="auto" w:fill="8EA9DB"/>
                  <w:noWrap/>
                  <w:vAlign w:val="bottom"/>
                  <w:hideMark/>
                </w:tcPr>
                <w:p w14:paraId="02D03B7D"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635" w:type="dxa"/>
                  <w:tcBorders>
                    <w:top w:val="nil"/>
                    <w:left w:val="nil"/>
                    <w:bottom w:val="single" w:sz="4" w:space="0" w:color="FFFFFF"/>
                    <w:right w:val="single" w:sz="4" w:space="0" w:color="FFFFFF"/>
                  </w:tcBorders>
                  <w:shd w:val="clear" w:color="auto" w:fill="8EA9DB"/>
                  <w:noWrap/>
                  <w:vAlign w:val="bottom"/>
                  <w:hideMark/>
                </w:tcPr>
                <w:p w14:paraId="0986D8F2"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635" w:type="dxa"/>
                  <w:tcBorders>
                    <w:top w:val="nil"/>
                    <w:left w:val="nil"/>
                    <w:bottom w:val="single" w:sz="4" w:space="0" w:color="FFFFFF"/>
                    <w:right w:val="single" w:sz="4" w:space="0" w:color="FFFFFF"/>
                  </w:tcBorders>
                  <w:shd w:val="clear" w:color="auto" w:fill="8EA9DB"/>
                  <w:noWrap/>
                  <w:vAlign w:val="bottom"/>
                  <w:hideMark/>
                </w:tcPr>
                <w:p w14:paraId="153D67AD"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r>
            <w:tr w:rsidR="006F244F" w:rsidRPr="006F244F" w14:paraId="403DB0B0" w14:textId="77777777" w:rsidTr="006F244F">
              <w:trPr>
                <w:trHeight w:val="45"/>
                <w:jc w:val="center"/>
              </w:trPr>
              <w:tc>
                <w:tcPr>
                  <w:tcW w:w="284" w:type="dxa"/>
                  <w:vMerge/>
                  <w:vAlign w:val="center"/>
                  <w:hideMark/>
                </w:tcPr>
                <w:p w14:paraId="130757FA" w14:textId="77777777" w:rsidR="006F244F" w:rsidRPr="006F244F" w:rsidRDefault="006F244F" w:rsidP="006F244F">
                  <w:pPr>
                    <w:rPr>
                      <w:rFonts w:ascii="Cambria" w:hAnsi="Cambria"/>
                      <w:b/>
                      <w:bCs/>
                      <w:color w:val="FFFFFF"/>
                      <w:sz w:val="18"/>
                      <w:szCs w:val="18"/>
                      <w:lang w:eastAsia="en-GB"/>
                    </w:rPr>
                  </w:pPr>
                </w:p>
              </w:tc>
              <w:tc>
                <w:tcPr>
                  <w:tcW w:w="338" w:type="dxa"/>
                  <w:shd w:val="clear" w:color="auto" w:fill="FFFFFF"/>
                  <w:noWrap/>
                  <w:vAlign w:val="bottom"/>
                  <w:hideMark/>
                </w:tcPr>
                <w:p w14:paraId="1BC6CEE4"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7</w:t>
                  </w:r>
                </w:p>
              </w:tc>
              <w:tc>
                <w:tcPr>
                  <w:tcW w:w="734" w:type="dxa"/>
                  <w:tcBorders>
                    <w:top w:val="nil"/>
                    <w:left w:val="single" w:sz="4" w:space="0" w:color="FFFFFF"/>
                    <w:bottom w:val="single" w:sz="4" w:space="0" w:color="FFFFFF"/>
                    <w:right w:val="single" w:sz="4" w:space="0" w:color="FFFFFF"/>
                  </w:tcBorders>
                  <w:shd w:val="clear" w:color="auto" w:fill="8EA9DB"/>
                  <w:noWrap/>
                  <w:vAlign w:val="bottom"/>
                  <w:hideMark/>
                </w:tcPr>
                <w:p w14:paraId="34FBB5BA"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709" w:type="dxa"/>
                  <w:tcBorders>
                    <w:top w:val="nil"/>
                    <w:left w:val="nil"/>
                    <w:bottom w:val="single" w:sz="4" w:space="0" w:color="FFFFFF"/>
                    <w:right w:val="single" w:sz="4" w:space="0" w:color="FFFFFF"/>
                  </w:tcBorders>
                  <w:shd w:val="clear" w:color="auto" w:fill="8EA9DB"/>
                  <w:noWrap/>
                  <w:vAlign w:val="bottom"/>
                  <w:hideMark/>
                </w:tcPr>
                <w:p w14:paraId="3777838D"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709" w:type="dxa"/>
                  <w:tcBorders>
                    <w:top w:val="nil"/>
                    <w:left w:val="nil"/>
                    <w:bottom w:val="single" w:sz="4" w:space="0" w:color="FFFFFF"/>
                    <w:right w:val="single" w:sz="8" w:space="0" w:color="000000"/>
                  </w:tcBorders>
                  <w:shd w:val="clear" w:color="auto" w:fill="8EA9DB"/>
                  <w:noWrap/>
                  <w:vAlign w:val="bottom"/>
                  <w:hideMark/>
                </w:tcPr>
                <w:p w14:paraId="7EFE9009"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708" w:type="dxa"/>
                  <w:tcBorders>
                    <w:top w:val="nil"/>
                    <w:left w:val="nil"/>
                    <w:bottom w:val="single" w:sz="4" w:space="0" w:color="FFFFFF"/>
                    <w:right w:val="single" w:sz="4" w:space="0" w:color="FFFFFF"/>
                  </w:tcBorders>
                  <w:shd w:val="clear" w:color="auto" w:fill="8EA9DB"/>
                  <w:noWrap/>
                  <w:vAlign w:val="bottom"/>
                  <w:hideMark/>
                </w:tcPr>
                <w:p w14:paraId="06E8A4FB"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635" w:type="dxa"/>
                  <w:tcBorders>
                    <w:top w:val="nil"/>
                    <w:left w:val="nil"/>
                    <w:bottom w:val="single" w:sz="4" w:space="0" w:color="FFFFFF"/>
                    <w:right w:val="single" w:sz="4" w:space="0" w:color="FFFFFF"/>
                  </w:tcBorders>
                  <w:shd w:val="clear" w:color="auto" w:fill="8EA9DB"/>
                  <w:noWrap/>
                  <w:vAlign w:val="bottom"/>
                  <w:hideMark/>
                </w:tcPr>
                <w:p w14:paraId="260DE077"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c>
                <w:tcPr>
                  <w:tcW w:w="635" w:type="dxa"/>
                  <w:tcBorders>
                    <w:top w:val="nil"/>
                    <w:left w:val="nil"/>
                    <w:bottom w:val="single" w:sz="4" w:space="0" w:color="FFFFFF"/>
                    <w:right w:val="single" w:sz="4" w:space="0" w:color="FFFFFF"/>
                  </w:tcBorders>
                  <w:shd w:val="clear" w:color="auto" w:fill="8EA9DB"/>
                  <w:noWrap/>
                  <w:vAlign w:val="bottom"/>
                  <w:hideMark/>
                </w:tcPr>
                <w:p w14:paraId="7D69004E" w14:textId="77777777" w:rsidR="006F244F" w:rsidRPr="006F244F" w:rsidRDefault="006F244F" w:rsidP="006F244F">
                  <w:pPr>
                    <w:jc w:val="center"/>
                    <w:rPr>
                      <w:rFonts w:ascii="Cambria" w:hAnsi="Cambria"/>
                      <w:color w:val="000000"/>
                      <w:sz w:val="18"/>
                      <w:szCs w:val="18"/>
                      <w:lang w:eastAsia="en-GB"/>
                    </w:rPr>
                  </w:pPr>
                  <w:r w:rsidRPr="006F244F">
                    <w:rPr>
                      <w:rFonts w:ascii="Cambria" w:hAnsi="Cambria"/>
                      <w:color w:val="000000"/>
                      <w:sz w:val="18"/>
                      <w:szCs w:val="18"/>
                      <w:lang w:eastAsia="en-GB"/>
                    </w:rPr>
                    <w:t> </w:t>
                  </w:r>
                </w:p>
              </w:tc>
            </w:tr>
          </w:tbl>
          <w:p w14:paraId="19B02FA0" w14:textId="77777777" w:rsidR="006F244F" w:rsidRPr="006F244F" w:rsidRDefault="006F244F" w:rsidP="006F244F">
            <w:pPr>
              <w:spacing w:after="120"/>
              <w:ind w:left="1287" w:right="567" w:firstLine="153"/>
              <w:jc w:val="both"/>
              <w:rPr>
                <w:rFonts w:ascii="Cambria" w:eastAsiaTheme="minorHAnsi" w:hAnsi="Cambria" w:cstheme="minorBidi"/>
                <w:i/>
                <w:iCs/>
                <w:color w:val="000000" w:themeColor="text1"/>
                <w:sz w:val="22"/>
                <w:szCs w:val="22"/>
                <w:lang w:eastAsia="en-US"/>
              </w:rPr>
            </w:pPr>
            <w:r w:rsidRPr="006F244F">
              <w:rPr>
                <w:rFonts w:ascii="Cambria" w:hAnsi="Cambria"/>
                <w:i/>
                <w:iCs/>
                <w:color w:val="000000" w:themeColor="text1"/>
                <w:sz w:val="22"/>
                <w:szCs w:val="22"/>
                <w:u w:val="single"/>
              </w:rPr>
              <w:t>Source</w:t>
            </w:r>
            <w:r w:rsidRPr="006F244F">
              <w:rPr>
                <w:rFonts w:ascii="Cambria" w:hAnsi="Cambria"/>
                <w:i/>
                <w:iCs/>
                <w:color w:val="000000" w:themeColor="text1"/>
                <w:sz w:val="22"/>
                <w:szCs w:val="22"/>
              </w:rPr>
              <w:t>: BETTER FINANCE own composition</w:t>
            </w:r>
          </w:p>
          <w:p w14:paraId="171FBEE1" w14:textId="77777777" w:rsidR="006F244F" w:rsidRPr="006F244F" w:rsidRDefault="006F244F" w:rsidP="006F244F">
            <w:pPr>
              <w:spacing w:after="120"/>
              <w:ind w:left="567" w:right="567"/>
              <w:jc w:val="both"/>
              <w:rPr>
                <w:rFonts w:ascii="Cambria" w:hAnsi="Cambria"/>
                <w:i/>
                <w:iCs/>
                <w:sz w:val="22"/>
                <w:szCs w:val="22"/>
              </w:rPr>
            </w:pPr>
            <w:r w:rsidRPr="006F244F">
              <w:rPr>
                <w:rFonts w:ascii="Cambria" w:hAnsi="Cambria"/>
                <w:i/>
                <w:iCs/>
                <w:sz w:val="22"/>
                <w:szCs w:val="22"/>
              </w:rPr>
              <w:t>The two tables should be presented on the left-hand side of the section, and on the right-hand side the narrative explanation and the prominent warning should be disclosed.</w:t>
            </w:r>
          </w:p>
          <w:tbl>
            <w:tblPr>
              <w:tblStyle w:val="TableGrid"/>
              <w:tblW w:w="5292" w:type="dxa"/>
              <w:jc w:val="center"/>
              <w:tblLook w:val="04A0" w:firstRow="1" w:lastRow="0" w:firstColumn="1" w:lastColumn="0" w:noHBand="0" w:noVBand="1"/>
            </w:tblPr>
            <w:tblGrid>
              <w:gridCol w:w="1529"/>
              <w:gridCol w:w="703"/>
              <w:gridCol w:w="601"/>
              <w:gridCol w:w="872"/>
              <w:gridCol w:w="1581"/>
              <w:gridCol w:w="6"/>
            </w:tblGrid>
            <w:tr w:rsidR="006F244F" w:rsidRPr="006F244F" w14:paraId="3B86F44E" w14:textId="77777777" w:rsidTr="006F244F">
              <w:trPr>
                <w:trHeight w:val="130"/>
                <w:jc w:val="center"/>
              </w:trPr>
              <w:tc>
                <w:tcPr>
                  <w:tcW w:w="5292" w:type="dxa"/>
                  <w:gridSpan w:val="6"/>
                  <w:tcBorders>
                    <w:top w:val="nil"/>
                    <w:left w:val="nil"/>
                    <w:bottom w:val="single" w:sz="4" w:space="0" w:color="auto"/>
                    <w:right w:val="nil"/>
                  </w:tcBorders>
                  <w:shd w:val="clear" w:color="auto" w:fill="365F91" w:themeFill="accent1" w:themeFillShade="BF"/>
                  <w:hideMark/>
                </w:tcPr>
                <w:p w14:paraId="37EA8898" w14:textId="77777777" w:rsidR="006F244F" w:rsidRPr="006F244F" w:rsidRDefault="006F244F" w:rsidP="006F244F">
                  <w:pPr>
                    <w:jc w:val="center"/>
                    <w:rPr>
                      <w:rFonts w:ascii="Cambria" w:hAnsi="Cambria"/>
                      <w:b/>
                      <w:bCs/>
                      <w:i/>
                      <w:iCs/>
                      <w:sz w:val="18"/>
                      <w:szCs w:val="18"/>
                    </w:rPr>
                  </w:pPr>
                  <w:r w:rsidRPr="006F244F">
                    <w:rPr>
                      <w:rFonts w:ascii="Cambria" w:hAnsi="Cambria"/>
                      <w:b/>
                      <w:bCs/>
                      <w:i/>
                      <w:iCs/>
                      <w:color w:val="FFFFFF" w:themeColor="background1"/>
                      <w:sz w:val="18"/>
                      <w:szCs w:val="18"/>
                    </w:rPr>
                    <w:t xml:space="preserve">Table 12. Financial risk table </w:t>
                  </w:r>
                  <w:r w:rsidRPr="006F244F">
                    <w:rPr>
                      <w:rFonts w:ascii="Cambria" w:hAnsi="Cambria"/>
                      <w:i/>
                      <w:iCs/>
                      <w:color w:val="FFFFFF" w:themeColor="background1"/>
                      <w:sz w:val="18"/>
                      <w:szCs w:val="18"/>
                    </w:rPr>
                    <w:t>(risk of loss in real terms)</w:t>
                  </w:r>
                </w:p>
              </w:tc>
            </w:tr>
            <w:tr w:rsidR="006F244F" w:rsidRPr="006F244F" w14:paraId="18AE58BB" w14:textId="77777777" w:rsidTr="006F244F">
              <w:trPr>
                <w:gridAfter w:val="1"/>
                <w:wAfter w:w="7" w:type="dxa"/>
                <w:trHeight w:val="77"/>
                <w:jc w:val="center"/>
              </w:trPr>
              <w:tc>
                <w:tcPr>
                  <w:tcW w:w="2340" w:type="dxa"/>
                  <w:gridSpan w:val="2"/>
                  <w:tcBorders>
                    <w:top w:val="nil"/>
                    <w:left w:val="nil"/>
                    <w:bottom w:val="nil"/>
                    <w:right w:val="nil"/>
                  </w:tcBorders>
                  <w:shd w:val="clear" w:color="auto" w:fill="B8CCE4" w:themeFill="accent1" w:themeFillTint="66"/>
                </w:tcPr>
                <w:p w14:paraId="435719F2" w14:textId="77777777" w:rsidR="006F244F" w:rsidRPr="006F244F" w:rsidRDefault="006F244F" w:rsidP="006F244F">
                  <w:pPr>
                    <w:rPr>
                      <w:rFonts w:ascii="Cambria" w:hAnsi="Cambria"/>
                      <w:i/>
                      <w:iCs/>
                      <w:sz w:val="18"/>
                      <w:szCs w:val="18"/>
                    </w:rPr>
                  </w:pPr>
                </w:p>
              </w:tc>
              <w:tc>
                <w:tcPr>
                  <w:tcW w:w="2945" w:type="dxa"/>
                  <w:gridSpan w:val="3"/>
                  <w:tcBorders>
                    <w:top w:val="nil"/>
                    <w:left w:val="nil"/>
                    <w:bottom w:val="dashSmallGap" w:sz="4" w:space="0" w:color="auto"/>
                    <w:right w:val="nil"/>
                  </w:tcBorders>
                  <w:shd w:val="clear" w:color="auto" w:fill="B8CCE4" w:themeFill="accent1" w:themeFillTint="66"/>
                  <w:hideMark/>
                </w:tcPr>
                <w:p w14:paraId="7F8B28EF"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Holding period</w:t>
                  </w:r>
                </w:p>
              </w:tc>
            </w:tr>
            <w:tr w:rsidR="006F244F" w:rsidRPr="006F244F" w14:paraId="747E4C9F" w14:textId="77777777" w:rsidTr="006F244F">
              <w:trPr>
                <w:gridAfter w:val="1"/>
                <w:wAfter w:w="6" w:type="dxa"/>
                <w:trHeight w:val="87"/>
                <w:jc w:val="center"/>
              </w:trPr>
              <w:tc>
                <w:tcPr>
                  <w:tcW w:w="1632" w:type="dxa"/>
                  <w:tcBorders>
                    <w:top w:val="dashSmallGap" w:sz="4" w:space="0" w:color="auto"/>
                    <w:left w:val="nil"/>
                    <w:bottom w:val="double" w:sz="4" w:space="0" w:color="auto"/>
                    <w:right w:val="nil"/>
                  </w:tcBorders>
                  <w:shd w:val="clear" w:color="auto" w:fill="B8CCE4" w:themeFill="accent1" w:themeFillTint="66"/>
                  <w:hideMark/>
                </w:tcPr>
                <w:p w14:paraId="738EB3CE"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Asset class / product</w:t>
                  </w:r>
                </w:p>
              </w:tc>
              <w:tc>
                <w:tcPr>
                  <w:tcW w:w="708" w:type="dxa"/>
                  <w:tcBorders>
                    <w:top w:val="dashSmallGap" w:sz="4" w:space="0" w:color="auto"/>
                    <w:left w:val="nil"/>
                    <w:bottom w:val="double" w:sz="4" w:space="0" w:color="auto"/>
                    <w:right w:val="dashSmallGap" w:sz="4" w:space="0" w:color="auto"/>
                  </w:tcBorders>
                  <w:shd w:val="clear" w:color="auto" w:fill="B8CCE4" w:themeFill="accent1" w:themeFillTint="66"/>
                  <w:hideMark/>
                </w:tcPr>
                <w:p w14:paraId="4494D6AE"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Risk</w:t>
                  </w:r>
                </w:p>
              </w:tc>
              <w:tc>
                <w:tcPr>
                  <w:tcW w:w="601" w:type="dxa"/>
                  <w:tcBorders>
                    <w:top w:val="dashSmallGap" w:sz="4" w:space="0" w:color="auto"/>
                    <w:left w:val="dashSmallGap" w:sz="4" w:space="0" w:color="auto"/>
                    <w:bottom w:val="double" w:sz="4" w:space="0" w:color="auto"/>
                    <w:right w:val="nil"/>
                  </w:tcBorders>
                  <w:shd w:val="clear" w:color="auto" w:fill="B8CCE4" w:themeFill="accent1" w:themeFillTint="66"/>
                  <w:hideMark/>
                </w:tcPr>
                <w:p w14:paraId="1CFC99F8"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1 year</w:t>
                  </w:r>
                </w:p>
              </w:tc>
              <w:tc>
                <w:tcPr>
                  <w:tcW w:w="658" w:type="dxa"/>
                  <w:tcBorders>
                    <w:top w:val="dashSmallGap" w:sz="4" w:space="0" w:color="auto"/>
                    <w:left w:val="nil"/>
                    <w:bottom w:val="double" w:sz="4" w:space="0" w:color="auto"/>
                    <w:right w:val="nil"/>
                  </w:tcBorders>
                  <w:shd w:val="clear" w:color="auto" w:fill="B8CCE4" w:themeFill="accent1" w:themeFillTint="66"/>
                  <w:hideMark/>
                </w:tcPr>
                <w:p w14:paraId="21AB80E2"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5 year</w:t>
                  </w:r>
                </w:p>
              </w:tc>
              <w:tc>
                <w:tcPr>
                  <w:tcW w:w="1687" w:type="dxa"/>
                  <w:tcBorders>
                    <w:top w:val="dashSmallGap" w:sz="4" w:space="0" w:color="auto"/>
                    <w:left w:val="nil"/>
                    <w:bottom w:val="double" w:sz="4" w:space="0" w:color="auto"/>
                    <w:right w:val="nil"/>
                  </w:tcBorders>
                  <w:shd w:val="clear" w:color="auto" w:fill="B8CCE4" w:themeFill="accent1" w:themeFillTint="66"/>
                  <w:hideMark/>
                </w:tcPr>
                <w:p w14:paraId="4B7C2402"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 xml:space="preserve">+ 20 years </w:t>
                  </w:r>
                </w:p>
              </w:tc>
            </w:tr>
            <w:tr w:rsidR="006F244F" w:rsidRPr="006F244F" w14:paraId="7A3B4CFF" w14:textId="77777777" w:rsidTr="006F244F">
              <w:trPr>
                <w:gridAfter w:val="1"/>
                <w:wAfter w:w="6" w:type="dxa"/>
                <w:trHeight w:val="233"/>
                <w:jc w:val="center"/>
              </w:trPr>
              <w:tc>
                <w:tcPr>
                  <w:tcW w:w="1632" w:type="dxa"/>
                  <w:tcBorders>
                    <w:top w:val="double" w:sz="4" w:space="0" w:color="auto"/>
                    <w:left w:val="nil"/>
                    <w:bottom w:val="nil"/>
                    <w:right w:val="nil"/>
                  </w:tcBorders>
                  <w:hideMark/>
                </w:tcPr>
                <w:p w14:paraId="2C4E5F2E"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 xml:space="preserve">MMF </w:t>
                  </w:r>
                </w:p>
              </w:tc>
              <w:tc>
                <w:tcPr>
                  <w:tcW w:w="708" w:type="dxa"/>
                  <w:tcBorders>
                    <w:top w:val="double" w:sz="4" w:space="0" w:color="auto"/>
                    <w:left w:val="nil"/>
                    <w:bottom w:val="nil"/>
                    <w:right w:val="dashSmallGap" w:sz="4" w:space="0" w:color="auto"/>
                  </w:tcBorders>
                  <w:hideMark/>
                </w:tcPr>
                <w:p w14:paraId="55A64572"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MAG</w:t>
                  </w:r>
                </w:p>
              </w:tc>
              <w:tc>
                <w:tcPr>
                  <w:tcW w:w="601" w:type="dxa"/>
                  <w:tcBorders>
                    <w:top w:val="double" w:sz="4" w:space="0" w:color="auto"/>
                    <w:left w:val="dashSmallGap" w:sz="4" w:space="0" w:color="auto"/>
                    <w:bottom w:val="nil"/>
                    <w:right w:val="nil"/>
                  </w:tcBorders>
                  <w:hideMark/>
                </w:tcPr>
                <w:p w14:paraId="66C3092B"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Low</w:t>
                  </w:r>
                </w:p>
              </w:tc>
              <w:tc>
                <w:tcPr>
                  <w:tcW w:w="658" w:type="dxa"/>
                  <w:tcBorders>
                    <w:top w:val="double" w:sz="4" w:space="0" w:color="auto"/>
                    <w:left w:val="nil"/>
                    <w:bottom w:val="nil"/>
                    <w:right w:val="nil"/>
                  </w:tcBorders>
                  <w:hideMark/>
                </w:tcPr>
                <w:p w14:paraId="63439FE5"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Medium</w:t>
                  </w:r>
                </w:p>
              </w:tc>
              <w:tc>
                <w:tcPr>
                  <w:tcW w:w="1687" w:type="dxa"/>
                  <w:tcBorders>
                    <w:top w:val="double" w:sz="4" w:space="0" w:color="auto"/>
                    <w:left w:val="nil"/>
                    <w:bottom w:val="nil"/>
                    <w:right w:val="nil"/>
                  </w:tcBorders>
                  <w:hideMark/>
                </w:tcPr>
                <w:p w14:paraId="3459F5E6"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High</w:t>
                  </w:r>
                </w:p>
              </w:tc>
            </w:tr>
            <w:tr w:rsidR="006F244F" w:rsidRPr="006F244F" w14:paraId="0874C7BB" w14:textId="77777777" w:rsidTr="006F244F">
              <w:trPr>
                <w:gridAfter w:val="1"/>
                <w:wAfter w:w="6" w:type="dxa"/>
                <w:trHeight w:val="102"/>
                <w:jc w:val="center"/>
              </w:trPr>
              <w:tc>
                <w:tcPr>
                  <w:tcW w:w="1632" w:type="dxa"/>
                  <w:tcBorders>
                    <w:top w:val="nil"/>
                    <w:left w:val="nil"/>
                    <w:bottom w:val="double" w:sz="4" w:space="0" w:color="auto"/>
                    <w:right w:val="nil"/>
                  </w:tcBorders>
                  <w:shd w:val="clear" w:color="auto" w:fill="FFFFFF" w:themeFill="background1"/>
                  <w:hideMark/>
                </w:tcPr>
                <w:p w14:paraId="5005C7AD"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(money market fund)</w:t>
                  </w:r>
                </w:p>
              </w:tc>
              <w:tc>
                <w:tcPr>
                  <w:tcW w:w="708" w:type="dxa"/>
                  <w:tcBorders>
                    <w:top w:val="nil"/>
                    <w:left w:val="nil"/>
                    <w:bottom w:val="double" w:sz="4" w:space="0" w:color="auto"/>
                    <w:right w:val="dashSmallGap" w:sz="4" w:space="0" w:color="auto"/>
                  </w:tcBorders>
                  <w:shd w:val="clear" w:color="auto" w:fill="DBE5F1" w:themeFill="accent1" w:themeFillTint="33"/>
                  <w:hideMark/>
                </w:tcPr>
                <w:p w14:paraId="08CA0733"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PROB</w:t>
                  </w:r>
                </w:p>
              </w:tc>
              <w:tc>
                <w:tcPr>
                  <w:tcW w:w="601" w:type="dxa"/>
                  <w:tcBorders>
                    <w:top w:val="nil"/>
                    <w:left w:val="dashSmallGap" w:sz="4" w:space="0" w:color="auto"/>
                    <w:bottom w:val="double" w:sz="4" w:space="0" w:color="auto"/>
                    <w:right w:val="nil"/>
                  </w:tcBorders>
                  <w:shd w:val="clear" w:color="auto" w:fill="DBE5F1" w:themeFill="accent1" w:themeFillTint="33"/>
                  <w:hideMark/>
                </w:tcPr>
                <w:p w14:paraId="4982F0B7"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Very high</w:t>
                  </w:r>
                </w:p>
              </w:tc>
              <w:tc>
                <w:tcPr>
                  <w:tcW w:w="658" w:type="dxa"/>
                  <w:tcBorders>
                    <w:top w:val="nil"/>
                    <w:left w:val="nil"/>
                    <w:bottom w:val="double" w:sz="4" w:space="0" w:color="auto"/>
                    <w:right w:val="nil"/>
                  </w:tcBorders>
                  <w:shd w:val="clear" w:color="auto" w:fill="DBE5F1" w:themeFill="accent1" w:themeFillTint="33"/>
                  <w:hideMark/>
                </w:tcPr>
                <w:p w14:paraId="3F59775E"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Very high</w:t>
                  </w:r>
                </w:p>
              </w:tc>
              <w:tc>
                <w:tcPr>
                  <w:tcW w:w="1687" w:type="dxa"/>
                  <w:tcBorders>
                    <w:top w:val="nil"/>
                    <w:left w:val="nil"/>
                    <w:bottom w:val="double" w:sz="4" w:space="0" w:color="auto"/>
                    <w:right w:val="nil"/>
                  </w:tcBorders>
                  <w:shd w:val="clear" w:color="auto" w:fill="DBE5F1" w:themeFill="accent1" w:themeFillTint="33"/>
                  <w:hideMark/>
                </w:tcPr>
                <w:p w14:paraId="664537A6"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Very High</w:t>
                  </w:r>
                </w:p>
              </w:tc>
            </w:tr>
            <w:tr w:rsidR="006F244F" w:rsidRPr="006F244F" w14:paraId="652AEB99" w14:textId="77777777" w:rsidTr="006F244F">
              <w:trPr>
                <w:gridAfter w:val="1"/>
                <w:wAfter w:w="6" w:type="dxa"/>
                <w:trHeight w:val="132"/>
                <w:jc w:val="center"/>
              </w:trPr>
              <w:tc>
                <w:tcPr>
                  <w:tcW w:w="1632" w:type="dxa"/>
                  <w:tcBorders>
                    <w:top w:val="double" w:sz="4" w:space="0" w:color="auto"/>
                    <w:left w:val="nil"/>
                    <w:bottom w:val="nil"/>
                    <w:right w:val="nil"/>
                  </w:tcBorders>
                  <w:hideMark/>
                </w:tcPr>
                <w:p w14:paraId="031EFE0B"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Large* equity</w:t>
                  </w:r>
                </w:p>
              </w:tc>
              <w:tc>
                <w:tcPr>
                  <w:tcW w:w="708" w:type="dxa"/>
                  <w:tcBorders>
                    <w:top w:val="double" w:sz="4" w:space="0" w:color="auto"/>
                    <w:left w:val="nil"/>
                    <w:bottom w:val="nil"/>
                    <w:right w:val="dashSmallGap" w:sz="4" w:space="0" w:color="auto"/>
                  </w:tcBorders>
                  <w:hideMark/>
                </w:tcPr>
                <w:p w14:paraId="5704ACCF"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MAG</w:t>
                  </w:r>
                </w:p>
              </w:tc>
              <w:tc>
                <w:tcPr>
                  <w:tcW w:w="601" w:type="dxa"/>
                  <w:tcBorders>
                    <w:top w:val="double" w:sz="4" w:space="0" w:color="auto"/>
                    <w:left w:val="dashSmallGap" w:sz="4" w:space="0" w:color="auto"/>
                    <w:bottom w:val="nil"/>
                    <w:right w:val="nil"/>
                  </w:tcBorders>
                  <w:hideMark/>
                </w:tcPr>
                <w:p w14:paraId="69665F9C"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High</w:t>
                  </w:r>
                </w:p>
              </w:tc>
              <w:tc>
                <w:tcPr>
                  <w:tcW w:w="658" w:type="dxa"/>
                  <w:tcBorders>
                    <w:top w:val="double" w:sz="4" w:space="0" w:color="auto"/>
                    <w:left w:val="nil"/>
                    <w:bottom w:val="nil"/>
                    <w:right w:val="nil"/>
                  </w:tcBorders>
                  <w:hideMark/>
                </w:tcPr>
                <w:p w14:paraId="176ECF6C"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High</w:t>
                  </w:r>
                </w:p>
              </w:tc>
              <w:tc>
                <w:tcPr>
                  <w:tcW w:w="1687" w:type="dxa"/>
                  <w:tcBorders>
                    <w:top w:val="double" w:sz="4" w:space="0" w:color="auto"/>
                    <w:left w:val="nil"/>
                    <w:bottom w:val="nil"/>
                    <w:right w:val="nil"/>
                  </w:tcBorders>
                  <w:hideMark/>
                </w:tcPr>
                <w:p w14:paraId="11181D5B"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High</w:t>
                  </w:r>
                </w:p>
              </w:tc>
            </w:tr>
            <w:tr w:rsidR="006F244F" w:rsidRPr="006F244F" w14:paraId="18DC057F" w14:textId="77777777" w:rsidTr="006F244F">
              <w:trPr>
                <w:gridAfter w:val="1"/>
                <w:wAfter w:w="6" w:type="dxa"/>
                <w:trHeight w:val="82"/>
                <w:jc w:val="center"/>
              </w:trPr>
              <w:tc>
                <w:tcPr>
                  <w:tcW w:w="1632" w:type="dxa"/>
                  <w:tcBorders>
                    <w:top w:val="nil"/>
                    <w:left w:val="nil"/>
                    <w:bottom w:val="double" w:sz="4" w:space="0" w:color="auto"/>
                    <w:right w:val="nil"/>
                  </w:tcBorders>
                  <w:hideMark/>
                </w:tcPr>
                <w:p w14:paraId="3A9D279F"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Index fund</w:t>
                  </w:r>
                </w:p>
              </w:tc>
              <w:tc>
                <w:tcPr>
                  <w:tcW w:w="708" w:type="dxa"/>
                  <w:tcBorders>
                    <w:top w:val="nil"/>
                    <w:left w:val="nil"/>
                    <w:bottom w:val="double" w:sz="4" w:space="0" w:color="auto"/>
                    <w:right w:val="dashSmallGap" w:sz="4" w:space="0" w:color="auto"/>
                  </w:tcBorders>
                  <w:shd w:val="clear" w:color="auto" w:fill="DBE5F1" w:themeFill="accent1" w:themeFillTint="33"/>
                  <w:hideMark/>
                </w:tcPr>
                <w:p w14:paraId="3A05CCD6"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PROB</w:t>
                  </w:r>
                </w:p>
              </w:tc>
              <w:tc>
                <w:tcPr>
                  <w:tcW w:w="601" w:type="dxa"/>
                  <w:tcBorders>
                    <w:top w:val="nil"/>
                    <w:left w:val="dashSmallGap" w:sz="4" w:space="0" w:color="auto"/>
                    <w:bottom w:val="double" w:sz="4" w:space="0" w:color="auto"/>
                    <w:right w:val="nil"/>
                  </w:tcBorders>
                  <w:shd w:val="clear" w:color="auto" w:fill="DBE5F1" w:themeFill="accent1" w:themeFillTint="33"/>
                  <w:hideMark/>
                </w:tcPr>
                <w:p w14:paraId="0B9011ED"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High</w:t>
                  </w:r>
                </w:p>
              </w:tc>
              <w:tc>
                <w:tcPr>
                  <w:tcW w:w="658" w:type="dxa"/>
                  <w:tcBorders>
                    <w:top w:val="nil"/>
                    <w:left w:val="nil"/>
                    <w:bottom w:val="double" w:sz="4" w:space="0" w:color="auto"/>
                    <w:right w:val="nil"/>
                  </w:tcBorders>
                  <w:shd w:val="clear" w:color="auto" w:fill="DBE5F1" w:themeFill="accent1" w:themeFillTint="33"/>
                  <w:hideMark/>
                </w:tcPr>
                <w:p w14:paraId="310C5EF4"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High</w:t>
                  </w:r>
                </w:p>
              </w:tc>
              <w:tc>
                <w:tcPr>
                  <w:tcW w:w="1687" w:type="dxa"/>
                  <w:tcBorders>
                    <w:top w:val="nil"/>
                    <w:left w:val="nil"/>
                    <w:bottom w:val="double" w:sz="4" w:space="0" w:color="auto"/>
                    <w:right w:val="nil"/>
                  </w:tcBorders>
                  <w:shd w:val="clear" w:color="auto" w:fill="DBE5F1" w:themeFill="accent1" w:themeFillTint="33"/>
                  <w:hideMark/>
                </w:tcPr>
                <w:p w14:paraId="42A396C6" w14:textId="77777777" w:rsidR="006F244F" w:rsidRPr="006F244F" w:rsidRDefault="006F244F" w:rsidP="006F244F">
                  <w:pPr>
                    <w:jc w:val="center"/>
                    <w:rPr>
                      <w:rFonts w:ascii="Cambria" w:hAnsi="Cambria"/>
                      <w:b/>
                      <w:bCs/>
                      <w:i/>
                      <w:iCs/>
                      <w:sz w:val="18"/>
                      <w:szCs w:val="18"/>
                    </w:rPr>
                  </w:pPr>
                  <w:r w:rsidRPr="006F244F">
                    <w:rPr>
                      <w:rFonts w:ascii="Cambria" w:hAnsi="Cambria"/>
                      <w:b/>
                      <w:bCs/>
                      <w:i/>
                      <w:iCs/>
                      <w:sz w:val="18"/>
                      <w:szCs w:val="18"/>
                    </w:rPr>
                    <w:t>Low to medium</w:t>
                  </w:r>
                </w:p>
              </w:tc>
            </w:tr>
          </w:tbl>
          <w:p w14:paraId="4BCB8B43" w14:textId="77777777" w:rsidR="006F244F" w:rsidRPr="006F244F" w:rsidRDefault="006F244F" w:rsidP="006F244F">
            <w:pPr>
              <w:spacing w:after="120"/>
              <w:ind w:left="567" w:right="567"/>
              <w:jc w:val="both"/>
              <w:rPr>
                <w:rFonts w:ascii="Cambria" w:hAnsi="Cambria" w:cstheme="minorBidi"/>
                <w:i/>
                <w:iCs/>
                <w:sz w:val="22"/>
                <w:szCs w:val="22"/>
                <w:lang w:eastAsia="en-US"/>
              </w:rPr>
            </w:pPr>
            <w:r w:rsidRPr="006F244F">
              <w:rPr>
                <w:rFonts w:ascii="Cambria" w:hAnsi="Cambria"/>
                <w:i/>
                <w:iCs/>
                <w:sz w:val="22"/>
                <w:szCs w:val="22"/>
                <w:u w:val="single"/>
              </w:rPr>
              <w:t>Source</w:t>
            </w:r>
            <w:r w:rsidRPr="006F244F">
              <w:rPr>
                <w:rFonts w:ascii="Cambria" w:hAnsi="Cambria"/>
                <w:i/>
                <w:iCs/>
                <w:sz w:val="22"/>
                <w:szCs w:val="22"/>
              </w:rPr>
              <w:t xml:space="preserve">: BETTER FINANCE own composition; </w:t>
            </w:r>
            <w:r w:rsidRPr="006F244F">
              <w:rPr>
                <w:rFonts w:ascii="Cambria" w:hAnsi="Cambria"/>
                <w:b/>
                <w:bCs/>
                <w:i/>
                <w:iCs/>
                <w:sz w:val="22"/>
                <w:szCs w:val="22"/>
              </w:rPr>
              <w:t xml:space="preserve">Note: </w:t>
            </w:r>
            <w:r w:rsidRPr="006F244F">
              <w:rPr>
                <w:rFonts w:ascii="Cambria" w:hAnsi="Cambria"/>
                <w:i/>
                <w:iCs/>
                <w:sz w:val="22"/>
                <w:szCs w:val="22"/>
              </w:rPr>
              <w:t xml:space="preserve">MAG = Magnitude of the risk (Low: &lt;10%; Medium &lt;50%; High &gt;50%); PROB= Probability of the risk happening (Low: &lt;10% probability; Medium &lt;50%; High &gt;50%; Very high = 100%); *large index: hundreds or thousands of index components (as opposed to “narrow” indices such as </w:t>
            </w:r>
            <w:proofErr w:type="spellStart"/>
            <w:r w:rsidRPr="006F244F">
              <w:rPr>
                <w:rFonts w:ascii="Cambria" w:hAnsi="Cambria"/>
                <w:i/>
                <w:iCs/>
                <w:sz w:val="22"/>
                <w:szCs w:val="22"/>
              </w:rPr>
              <w:t>Stoxx</w:t>
            </w:r>
            <w:proofErr w:type="spellEnd"/>
            <w:r w:rsidRPr="006F244F">
              <w:rPr>
                <w:rFonts w:ascii="Cambria" w:hAnsi="Cambria"/>
                <w:i/>
                <w:iCs/>
                <w:sz w:val="22"/>
                <w:szCs w:val="22"/>
              </w:rPr>
              <w:t xml:space="preserve"> 50 or DAX 30 which are not representing the equity markets, and are not diversified into mid and small caps).</w:t>
            </w:r>
          </w:p>
          <w:p w14:paraId="5AAA7709" w14:textId="77777777" w:rsidR="006F244F" w:rsidRPr="006F244F" w:rsidRDefault="006F244F" w:rsidP="006F244F">
            <w:pPr>
              <w:spacing w:after="120"/>
              <w:ind w:left="567" w:right="567"/>
              <w:jc w:val="both"/>
              <w:rPr>
                <w:rFonts w:ascii="Cambria" w:hAnsi="Cambria"/>
                <w:i/>
                <w:iCs/>
                <w:sz w:val="22"/>
                <w:szCs w:val="22"/>
              </w:rPr>
            </w:pPr>
            <w:r w:rsidRPr="006F244F">
              <w:rPr>
                <w:rFonts w:ascii="Cambria" w:hAnsi="Cambria"/>
                <w:i/>
                <w:iCs/>
                <w:sz w:val="22"/>
                <w:szCs w:val="22"/>
              </w:rPr>
              <w:t>The summary risk indicator should contain the following warning, depending on the type of product:</w:t>
            </w:r>
          </w:p>
          <w:p w14:paraId="58A56B1C" w14:textId="77777777" w:rsidR="006F244F" w:rsidRPr="006F244F" w:rsidRDefault="006F244F" w:rsidP="006F244F">
            <w:pPr>
              <w:spacing w:after="120"/>
              <w:ind w:left="567" w:right="567"/>
              <w:jc w:val="both"/>
              <w:rPr>
                <w:rFonts w:ascii="Cambria" w:hAnsi="Cambria"/>
                <w:i/>
                <w:iCs/>
                <w:color w:val="000000" w:themeColor="text1"/>
                <w:sz w:val="22"/>
                <w:szCs w:val="22"/>
              </w:rPr>
            </w:pPr>
            <w:r w:rsidRPr="006F244F">
              <w:rPr>
                <w:rFonts w:ascii="Cambria" w:hAnsi="Cambria"/>
                <w:i/>
                <w:iCs/>
                <w:sz w:val="22"/>
                <w:szCs w:val="22"/>
              </w:rPr>
              <w:t>“</w:t>
            </w:r>
            <w:r w:rsidRPr="006F244F">
              <w:rPr>
                <w:rFonts w:ascii="Cambria" w:hAnsi="Cambria"/>
                <w:b/>
                <w:bCs/>
                <w:i/>
                <w:iCs/>
                <w:color w:val="FF0000"/>
                <w:sz w:val="22"/>
                <w:szCs w:val="22"/>
              </w:rPr>
              <w:t xml:space="preserve">Warning! This product does not provide a capital guarantee, nor inflation protection </w:t>
            </w:r>
            <w:r w:rsidRPr="006F244F">
              <w:rPr>
                <w:rFonts w:ascii="Cambria" w:hAnsi="Cambria"/>
                <w:i/>
                <w:iCs/>
                <w:color w:val="000000" w:themeColor="text1"/>
                <w:sz w:val="22"/>
                <w:szCs w:val="22"/>
              </w:rPr>
              <w:t>[if applicable]</w:t>
            </w:r>
            <w:r w:rsidRPr="006F244F">
              <w:rPr>
                <w:rFonts w:ascii="Cambria" w:hAnsi="Cambria"/>
                <w:b/>
                <w:bCs/>
                <w:i/>
                <w:iCs/>
                <w:color w:val="FF0000"/>
                <w:sz w:val="22"/>
                <w:szCs w:val="22"/>
              </w:rPr>
              <w:t>. A low level of risk does not mean no risk at all. Investments are subject to market fluctuations and financial loss and you may lose all your money.</w:t>
            </w:r>
            <w:r w:rsidRPr="006F244F">
              <w:rPr>
                <w:rFonts w:ascii="Cambria" w:hAnsi="Cambria"/>
                <w:i/>
                <w:iCs/>
                <w:color w:val="000000" w:themeColor="text1"/>
                <w:sz w:val="22"/>
                <w:szCs w:val="22"/>
              </w:rPr>
              <w:t>”.</w:t>
            </w:r>
          </w:p>
          <w:p w14:paraId="5D0AFF04" w14:textId="77777777" w:rsidR="006F244F" w:rsidRPr="006F244F" w:rsidRDefault="006F244F" w:rsidP="006F244F">
            <w:pPr>
              <w:spacing w:after="120"/>
              <w:ind w:left="567" w:right="567"/>
              <w:jc w:val="both"/>
              <w:rPr>
                <w:rFonts w:ascii="Cambria" w:hAnsi="Cambria"/>
                <w:color w:val="000000" w:themeColor="text1"/>
                <w:sz w:val="22"/>
                <w:szCs w:val="22"/>
              </w:rPr>
            </w:pPr>
            <w:r w:rsidRPr="006F244F">
              <w:rPr>
                <w:rFonts w:ascii="Cambria" w:hAnsi="Cambria"/>
                <w:i/>
                <w:iCs/>
                <w:color w:val="000000" w:themeColor="text1"/>
                <w:sz w:val="22"/>
                <w:szCs w:val="22"/>
              </w:rPr>
              <w:t>For long-term savings products, there should be an objective (for example: achieving a certain level of savings, certain level of individual replacement ratio or certain level of down payments – monthly benefits after reaching a defined age). For this objective, the risk is defined as a probability of not achieving this target (objective). Therefore, the risk mitigation techniques should reflect both risks – short-term investment risk as well as long-term risk of not achieving the objective (target). This approach then provides absolutely new and more transparent</w:t>
            </w:r>
            <w:r w:rsidRPr="006F244F">
              <w:rPr>
                <w:rFonts w:ascii="Cambria" w:hAnsi="Cambria"/>
                <w:color w:val="000000" w:themeColor="text1"/>
                <w:sz w:val="22"/>
                <w:szCs w:val="22"/>
              </w:rPr>
              <w:t xml:space="preserve"> </w:t>
            </w:r>
            <w:r w:rsidRPr="006F244F">
              <w:rPr>
                <w:rFonts w:ascii="Cambria" w:hAnsi="Cambria"/>
                <w:i/>
                <w:iCs/>
                <w:color w:val="000000" w:themeColor="text1"/>
                <w:sz w:val="22"/>
                <w:szCs w:val="22"/>
              </w:rPr>
              <w:t xml:space="preserve">way of understanding the long-term savings (investment-based or insurance-based) products. </w:t>
            </w:r>
            <w:r w:rsidRPr="006F244F">
              <w:rPr>
                <w:rFonts w:ascii="Cambria" w:hAnsi="Cambria"/>
                <w:color w:val="000000" w:themeColor="text1"/>
                <w:sz w:val="22"/>
                <w:szCs w:val="22"/>
              </w:rPr>
              <w:t>”</w:t>
            </w:r>
          </w:p>
          <w:p w14:paraId="09E6213C" w14:textId="77777777" w:rsidR="006F244F" w:rsidRPr="006F244F" w:rsidRDefault="006F244F" w:rsidP="006F244F">
            <w:pPr>
              <w:spacing w:line="276" w:lineRule="auto"/>
              <w:jc w:val="both"/>
              <w:rPr>
                <w:rFonts w:ascii="Cambria" w:hAnsi="Cambria"/>
                <w:sz w:val="22"/>
                <w:szCs w:val="22"/>
              </w:rPr>
            </w:pPr>
            <w:r w:rsidRPr="006F244F">
              <w:rPr>
                <w:rFonts w:ascii="Cambria" w:hAnsi="Cambria"/>
                <w:sz w:val="22"/>
                <w:szCs w:val="22"/>
              </w:rPr>
              <w:t>In terms of legal feasibility, whereas the PEPP Regulation (Level 1) does not prescribe one risk-mitigation technique in particular to be used, we believe that EIOPA can establish through the RTS a risk-reward profile or a range in which PEPP providers can design their risk-mitigation techniques. Our experience, backed by academic research, shows that most regulated DIOs invest mainly or only in bonds, which is neither efficient, nor particularly safe. Therefore, EIOPA should consider regulating a DIO harmonised strategy based on the risk-mitigation techniques that is optimal for savers. For instance, it could prescribe the maximum allocation in equities for life-cycling, it could require a certain return guarantee or a certain smoothing level.</w:t>
            </w:r>
          </w:p>
          <w:p w14:paraId="5C95BA09" w14:textId="77777777" w:rsidR="006F244F" w:rsidRPr="006F244F" w:rsidRDefault="006F244F" w:rsidP="006F244F">
            <w:pPr>
              <w:pStyle w:val="Heading2"/>
              <w:spacing w:before="120" w:after="120"/>
              <w:rPr>
                <w:rFonts w:ascii="Cambria" w:hAnsi="Cambria"/>
                <w:color w:val="0070C0"/>
                <w:sz w:val="22"/>
                <w:szCs w:val="22"/>
              </w:rPr>
            </w:pPr>
            <w:bookmarkStart w:id="8" w:name="_Toc33566159"/>
            <w:r w:rsidRPr="006F244F">
              <w:rPr>
                <w:rFonts w:ascii="Cambria" w:hAnsi="Cambria"/>
                <w:i w:val="0"/>
                <w:iCs w:val="0"/>
                <w:color w:val="0070C0"/>
                <w:sz w:val="22"/>
                <w:szCs w:val="22"/>
              </w:rPr>
              <w:t>Standardisation approach for the basic PEPP</w:t>
            </w:r>
            <w:bookmarkEnd w:id="8"/>
          </w:p>
          <w:p w14:paraId="770ED0CB" w14:textId="77777777" w:rsidR="006F244F" w:rsidRPr="006F244F" w:rsidRDefault="006F244F" w:rsidP="006F244F">
            <w:pPr>
              <w:spacing w:line="276" w:lineRule="auto"/>
              <w:jc w:val="both"/>
              <w:rPr>
                <w:rFonts w:ascii="Cambria" w:hAnsi="Cambria"/>
                <w:sz w:val="22"/>
                <w:szCs w:val="22"/>
              </w:rPr>
            </w:pPr>
            <w:r w:rsidRPr="006F244F">
              <w:rPr>
                <w:rFonts w:ascii="Cambria" w:hAnsi="Cambria"/>
                <w:sz w:val="22"/>
                <w:szCs w:val="22"/>
              </w:rPr>
              <w:t>We believe that a DIO should have a conservative or defensive approach. In essence, since the DIO is primarily designed for all savers who do not take an active decision regardless of the risk tolerance, it should therefore embody a risk-reward profile that represents a “one-size-fits-all” approach. Whereas the “safest” way not to cause detriment to the financial interests of savers by exposing to too much risk is to choose a defensive strategy and asset allocation – creating the lowest risk of loss, both from a probability and magnitude standpoint – we believe that a two-stage approach could also be useful.</w:t>
            </w:r>
          </w:p>
          <w:p w14:paraId="0E6D00AC" w14:textId="77777777" w:rsidR="006F244F" w:rsidRPr="006F244F" w:rsidRDefault="006F244F" w:rsidP="006F244F">
            <w:pPr>
              <w:spacing w:line="276" w:lineRule="auto"/>
              <w:jc w:val="both"/>
              <w:rPr>
                <w:rFonts w:ascii="Cambria" w:hAnsi="Cambria"/>
                <w:sz w:val="22"/>
                <w:szCs w:val="22"/>
              </w:rPr>
            </w:pPr>
            <w:r w:rsidRPr="006F244F">
              <w:rPr>
                <w:rFonts w:ascii="Cambria" w:hAnsi="Cambria"/>
                <w:sz w:val="22"/>
                <w:szCs w:val="22"/>
              </w:rPr>
              <w:t>International experience can also be useful. An older article (2006) noted that the U.S. Department of Labour prescribed three “qualified default investment alternatives”, i.e.: a conservative, a balanced and a life-cycle fund.</w:t>
            </w:r>
            <w:r w:rsidRPr="006F244F">
              <w:rPr>
                <w:rStyle w:val="FootnoteReference"/>
                <w:rFonts w:ascii="Cambria" w:hAnsi="Cambria"/>
                <w:sz w:val="22"/>
                <w:szCs w:val="22"/>
              </w:rPr>
              <w:footnoteReference w:id="38"/>
            </w:r>
            <w:r w:rsidRPr="006F244F">
              <w:rPr>
                <w:rFonts w:ascii="Cambria" w:hAnsi="Cambria"/>
                <w:sz w:val="22"/>
                <w:szCs w:val="22"/>
              </w:rPr>
              <w:t xml:space="preserve"> While the author noted that the conservative fund was more likely to outperform the life-cycle one, it exposed the pension plan participant to loss at the near-retirement stages of his investments, making the life-cycle approach more suitable from a hedging and yield point of view. Although an OECD publication argued that there wasn’t a “</w:t>
            </w:r>
            <w:r w:rsidRPr="006F244F">
              <w:rPr>
                <w:rFonts w:ascii="Cambria" w:hAnsi="Cambria"/>
                <w:i/>
                <w:iCs/>
                <w:sz w:val="22"/>
                <w:szCs w:val="22"/>
              </w:rPr>
              <w:t>one-size-fits-all</w:t>
            </w:r>
            <w:r w:rsidRPr="006F244F">
              <w:rPr>
                <w:rFonts w:ascii="Cambria" w:hAnsi="Cambria"/>
                <w:sz w:val="22"/>
                <w:szCs w:val="22"/>
              </w:rPr>
              <w:t xml:space="preserve">” DIO – view which is shared by several authors - since all researched investment strategies have merits in different simulations, numerous publications propose the </w:t>
            </w:r>
            <w:r w:rsidRPr="006F244F">
              <w:rPr>
                <w:rFonts w:ascii="Cambria" w:hAnsi="Cambria"/>
                <w:i/>
                <w:iCs/>
                <w:sz w:val="22"/>
                <w:szCs w:val="22"/>
              </w:rPr>
              <w:t xml:space="preserve">life-cycling strategy </w:t>
            </w:r>
            <w:r w:rsidRPr="006F244F">
              <w:rPr>
                <w:rFonts w:ascii="Cambria" w:hAnsi="Cambria"/>
                <w:sz w:val="22"/>
                <w:szCs w:val="22"/>
              </w:rPr>
              <w:t>as the optimal one,</w:t>
            </w:r>
            <w:r w:rsidRPr="006F244F">
              <w:rPr>
                <w:rStyle w:val="FootnoteReference"/>
                <w:rFonts w:ascii="Cambria" w:hAnsi="Cambria"/>
                <w:sz w:val="22"/>
                <w:szCs w:val="22"/>
              </w:rPr>
              <w:footnoteReference w:id="39"/>
            </w:r>
            <w:r w:rsidRPr="006F244F">
              <w:rPr>
                <w:rFonts w:ascii="Cambria" w:hAnsi="Cambria"/>
                <w:sz w:val="22"/>
                <w:szCs w:val="22"/>
              </w:rPr>
              <w:t xml:space="preserve"> although there is still a lot of discussion on the actual composition of it.</w:t>
            </w:r>
          </w:p>
          <w:p w14:paraId="06BF82F5" w14:textId="77777777" w:rsidR="006F244F" w:rsidRPr="006F244F" w:rsidRDefault="006F244F" w:rsidP="006F244F">
            <w:pPr>
              <w:spacing w:line="276" w:lineRule="auto"/>
              <w:jc w:val="both"/>
              <w:rPr>
                <w:rFonts w:ascii="Cambria" w:hAnsi="Cambria"/>
                <w:sz w:val="22"/>
                <w:szCs w:val="22"/>
              </w:rPr>
            </w:pPr>
            <w:r w:rsidRPr="006F244F">
              <w:rPr>
                <w:rFonts w:ascii="Cambria" w:hAnsi="Cambria"/>
                <w:sz w:val="22"/>
                <w:szCs w:val="22"/>
              </w:rPr>
              <w:t>However, BETTER FINANCE’s research on life-cycle pension funds demonstrated that allocation styles (initial composition, glidepath and final composition) vary very much in the European market. The initial allocation by asset class varied from 50% to 100% in equities and in the portfolio re-adjustment rate, portraying very different strategies. Some funds use formulas for de risking (e.g. initial equity allocation of 75% and a 1.25% reduction in favour of bonds over the next 40 years), some “block” the allocations for a certain period etc.</w:t>
            </w:r>
            <w:r w:rsidRPr="006F244F">
              <w:rPr>
                <w:rStyle w:val="FootnoteReference"/>
                <w:rFonts w:ascii="Cambria" w:hAnsi="Cambria"/>
                <w:sz w:val="22"/>
                <w:szCs w:val="22"/>
              </w:rPr>
              <w:footnoteReference w:id="40"/>
            </w:r>
            <w:r w:rsidRPr="006F244F">
              <w:rPr>
                <w:rFonts w:ascii="Cambria" w:hAnsi="Cambria"/>
                <w:sz w:val="22"/>
                <w:szCs w:val="22"/>
              </w:rPr>
              <w:t xml:space="preserve"> Therefore, the French model we describe below (</w:t>
            </w:r>
            <w:r w:rsidRPr="006F244F">
              <w:rPr>
                <w:rFonts w:ascii="Cambria" w:hAnsi="Cambria"/>
                <w:i/>
                <w:iCs/>
                <w:sz w:val="22"/>
                <w:szCs w:val="22"/>
              </w:rPr>
              <w:t>good practices sub-section</w:t>
            </w:r>
            <w:r w:rsidRPr="006F244F">
              <w:rPr>
                <w:rFonts w:ascii="Cambria" w:hAnsi="Cambria"/>
                <w:sz w:val="22"/>
                <w:szCs w:val="22"/>
              </w:rPr>
              <w:t>) is all the more relevant and useful in this context as it would help streamline and harmonise – to an extent that still encourages competition, diversity, but accommodates the requirement of simplicity – allocation strategies for life cycle pension products.</w:t>
            </w:r>
          </w:p>
          <w:p w14:paraId="7C0F9484" w14:textId="77777777" w:rsidR="006F244F" w:rsidRPr="006F244F" w:rsidRDefault="006F244F" w:rsidP="006F244F">
            <w:pPr>
              <w:spacing w:after="120" w:line="276" w:lineRule="auto"/>
              <w:jc w:val="both"/>
              <w:rPr>
                <w:rFonts w:ascii="Cambria" w:hAnsi="Cambria"/>
                <w:sz w:val="22"/>
                <w:szCs w:val="22"/>
              </w:rPr>
            </w:pPr>
            <w:r w:rsidRPr="006F244F">
              <w:rPr>
                <w:rFonts w:ascii="Cambria" w:hAnsi="Cambria"/>
                <w:sz w:val="22"/>
                <w:szCs w:val="22"/>
              </w:rPr>
              <w:t>Some authors argue that the de-risking strategy in a life-cycle plan should be modelled by the age of the pension saver,</w:t>
            </w:r>
            <w:r w:rsidRPr="006F244F">
              <w:rPr>
                <w:rStyle w:val="FootnoteReference"/>
                <w:rFonts w:ascii="Cambria" w:hAnsi="Cambria"/>
                <w:sz w:val="22"/>
                <w:szCs w:val="22"/>
              </w:rPr>
              <w:footnoteReference w:id="41"/>
            </w:r>
            <w:r w:rsidRPr="006F244F">
              <w:rPr>
                <w:rFonts w:ascii="Cambria" w:hAnsi="Cambria"/>
                <w:sz w:val="22"/>
                <w:szCs w:val="22"/>
              </w:rPr>
              <w:t xml:space="preserve"> while others claim that the optimal strategy depends on the type of pay-outs.</w:t>
            </w:r>
            <w:r w:rsidRPr="006F244F">
              <w:rPr>
                <w:rStyle w:val="FootnoteReference"/>
                <w:rFonts w:ascii="Cambria" w:hAnsi="Cambria"/>
                <w:sz w:val="22"/>
                <w:szCs w:val="22"/>
              </w:rPr>
              <w:footnoteReference w:id="42"/>
            </w:r>
            <w:r w:rsidRPr="006F244F">
              <w:rPr>
                <w:rFonts w:ascii="Cambria" w:hAnsi="Cambria"/>
                <w:sz w:val="22"/>
                <w:szCs w:val="22"/>
              </w:rPr>
              <w:t xml:space="preserve"> A study done in 2019 for the Slovak Ministry of Finance shows that, while “</w:t>
            </w:r>
            <w:r w:rsidRPr="006F244F">
              <w:rPr>
                <w:rFonts w:ascii="Cambria" w:hAnsi="Cambria"/>
                <w:i/>
                <w:iCs/>
                <w:sz w:val="22"/>
                <w:szCs w:val="22"/>
              </w:rPr>
              <w:t>piecewise and dynamic strategies are almost always dominated by other strategies</w:t>
            </w:r>
            <w:r w:rsidRPr="006F244F">
              <w:rPr>
                <w:rFonts w:ascii="Cambria" w:hAnsi="Cambria"/>
                <w:sz w:val="22"/>
                <w:szCs w:val="22"/>
              </w:rPr>
              <w:t>”, stepwise life-cycling strategies are safer but yield lower expected returns than accumulation ones.</w:t>
            </w:r>
            <w:r w:rsidRPr="006F244F">
              <w:rPr>
                <w:rStyle w:val="FootnoteReference"/>
                <w:rFonts w:ascii="Cambria" w:hAnsi="Cambria"/>
                <w:sz w:val="22"/>
                <w:szCs w:val="22"/>
              </w:rPr>
              <w:footnoteReference w:id="43"/>
            </w:r>
            <w:r w:rsidRPr="006F244F">
              <w:rPr>
                <w:rFonts w:ascii="Cambria" w:hAnsi="Cambria"/>
                <w:sz w:val="22"/>
                <w:szCs w:val="22"/>
              </w:rPr>
              <w:t xml:space="preserve"> The same authors found that the </w:t>
            </w:r>
            <w:r w:rsidRPr="006F244F">
              <w:rPr>
                <w:rFonts w:ascii="Cambria" w:hAnsi="Cambria"/>
                <w:b/>
                <w:bCs/>
                <w:sz w:val="22"/>
                <w:szCs w:val="22"/>
              </w:rPr>
              <w:t>cost of a guarantee</w:t>
            </w:r>
            <w:r w:rsidRPr="006F244F">
              <w:rPr>
                <w:rFonts w:ascii="Cambria" w:hAnsi="Cambria"/>
                <w:sz w:val="22"/>
                <w:szCs w:val="22"/>
              </w:rPr>
              <w:t xml:space="preserve"> for positive nominal returns would be only 4 basis points.</w:t>
            </w:r>
            <w:r w:rsidRPr="006F244F">
              <w:rPr>
                <w:rStyle w:val="FootnoteReference"/>
                <w:rFonts w:ascii="Cambria" w:hAnsi="Cambria"/>
                <w:sz w:val="22"/>
                <w:szCs w:val="22"/>
              </w:rPr>
              <w:footnoteReference w:id="44"/>
            </w:r>
          </w:p>
          <w:p w14:paraId="7CC18FE6" w14:textId="77777777" w:rsidR="006F244F" w:rsidRPr="006F244F" w:rsidRDefault="006F244F" w:rsidP="006F244F">
            <w:pPr>
              <w:spacing w:after="120" w:line="276" w:lineRule="auto"/>
              <w:jc w:val="both"/>
              <w:rPr>
                <w:rFonts w:ascii="Cambria" w:hAnsi="Cambria"/>
                <w:i/>
                <w:iCs/>
                <w:sz w:val="22"/>
                <w:szCs w:val="22"/>
              </w:rPr>
            </w:pPr>
            <w:r w:rsidRPr="006F244F">
              <w:rPr>
                <w:rFonts w:ascii="Cambria" w:hAnsi="Cambria"/>
                <w:sz w:val="22"/>
                <w:szCs w:val="22"/>
              </w:rPr>
              <w:t xml:space="preserve">However, we contend that the de-risking strategy must take into account the type and duration of the pay out, as a lump sum drawdown will require a different strategy from an annuity strategy which could allow a fairly higher risk-capital allocation near-retirement in consideration of the longer investment horizon. </w:t>
            </w:r>
          </w:p>
          <w:p w14:paraId="28BA65D0" w14:textId="77777777" w:rsidR="006F244F" w:rsidRPr="006F244F" w:rsidRDefault="006F244F" w:rsidP="006F244F">
            <w:pPr>
              <w:spacing w:after="120" w:line="276" w:lineRule="auto"/>
              <w:jc w:val="both"/>
              <w:rPr>
                <w:rFonts w:ascii="Cambria" w:hAnsi="Cambria"/>
                <w:sz w:val="22"/>
                <w:szCs w:val="22"/>
              </w:rPr>
            </w:pPr>
            <w:r w:rsidRPr="006F244F">
              <w:rPr>
                <w:rFonts w:ascii="Cambria" w:hAnsi="Cambria"/>
                <w:sz w:val="22"/>
                <w:szCs w:val="22"/>
              </w:rPr>
              <w:t xml:space="preserve">In our view, the risk-reward profile of the DIO should be placed in the lower part of a risk scale (lowest to balanced, or 1/7 to 3/7 etc.). </w:t>
            </w:r>
          </w:p>
          <w:p w14:paraId="11E0AEC3" w14:textId="77777777" w:rsidR="006F244F" w:rsidRPr="006F244F" w:rsidRDefault="006F244F" w:rsidP="006F244F">
            <w:pPr>
              <w:spacing w:after="120" w:line="276" w:lineRule="auto"/>
              <w:jc w:val="both"/>
              <w:rPr>
                <w:rFonts w:ascii="Cambria" w:hAnsi="Cambria"/>
                <w:i/>
                <w:iCs/>
                <w:color w:val="0070C0"/>
                <w:sz w:val="22"/>
                <w:szCs w:val="22"/>
                <w:u w:val="single"/>
              </w:rPr>
            </w:pPr>
            <w:r w:rsidRPr="006F244F">
              <w:rPr>
                <w:rFonts w:ascii="Cambria" w:hAnsi="Cambria"/>
                <w:i/>
                <w:iCs/>
                <w:color w:val="0070C0"/>
                <w:sz w:val="22"/>
                <w:szCs w:val="22"/>
                <w:u w:val="single"/>
              </w:rPr>
              <w:t>Good practices example</w:t>
            </w:r>
          </w:p>
          <w:p w14:paraId="739D2C47" w14:textId="77777777" w:rsidR="006F244F" w:rsidRPr="006F244F" w:rsidRDefault="006F244F" w:rsidP="006F244F">
            <w:pPr>
              <w:spacing w:line="276" w:lineRule="auto"/>
              <w:jc w:val="both"/>
              <w:rPr>
                <w:rFonts w:ascii="Cambria" w:hAnsi="Cambria"/>
                <w:sz w:val="22"/>
                <w:szCs w:val="22"/>
              </w:rPr>
            </w:pPr>
            <w:r w:rsidRPr="006F244F">
              <w:rPr>
                <w:rFonts w:ascii="Cambria" w:hAnsi="Cambria"/>
                <w:sz w:val="22"/>
                <w:szCs w:val="22"/>
              </w:rPr>
              <w:t>We wish to highlight a real-case example of risk-reward profile standardisation for the default investment option. In France, following the legislative reform for personal pension products (PPPs) last year (2019), the disclosure and methodology for PPPs’ risk-mitigation techniques have been standardised in order to be clear and intelligible for pension savers, and streamline investment strategies. This standardisation is limited, so as to allow diversity for pension product providers, as it requires minimum asset allocations by the type of strategy. As such, if the saver does not make a choice with regards to the pension products’ investment profile (which can be either prudent, balanced, or dynamic), by law he will be automatically assigned to the “balanced pension horizon”, which represents a low risk investment profile. Moreover, this investment profile is prescribed under a few, simple, investment and de-risking guidelines. Therefore, the capital of the pension plan must be allocated into “low-risk” (as defined in EU rules) assets:</w:t>
            </w:r>
          </w:p>
          <w:p w14:paraId="6FB89DE5" w14:textId="77777777" w:rsidR="006F244F" w:rsidRPr="006F244F" w:rsidRDefault="006F244F" w:rsidP="007C358E">
            <w:pPr>
              <w:pStyle w:val="ListParagraph"/>
              <w:numPr>
                <w:ilvl w:val="0"/>
                <w:numId w:val="20"/>
              </w:numPr>
              <w:spacing w:after="160" w:line="276" w:lineRule="auto"/>
              <w:contextualSpacing/>
              <w:jc w:val="both"/>
              <w:rPr>
                <w:rFonts w:ascii="Cambria" w:hAnsi="Cambria"/>
                <w:sz w:val="22"/>
                <w:szCs w:val="22"/>
              </w:rPr>
            </w:pPr>
            <w:r w:rsidRPr="006F244F">
              <w:rPr>
                <w:rFonts w:ascii="Cambria" w:hAnsi="Cambria"/>
                <w:sz w:val="22"/>
                <w:szCs w:val="22"/>
              </w:rPr>
              <w:t>At least 20%, starting 10 years before the planned retirement date;</w:t>
            </w:r>
          </w:p>
          <w:p w14:paraId="188E4F02" w14:textId="77777777" w:rsidR="006F244F" w:rsidRPr="006F244F" w:rsidRDefault="006F244F" w:rsidP="007C358E">
            <w:pPr>
              <w:pStyle w:val="ListParagraph"/>
              <w:numPr>
                <w:ilvl w:val="0"/>
                <w:numId w:val="20"/>
              </w:numPr>
              <w:spacing w:after="160" w:line="276" w:lineRule="auto"/>
              <w:contextualSpacing/>
              <w:jc w:val="both"/>
              <w:rPr>
                <w:rFonts w:ascii="Cambria" w:hAnsi="Cambria"/>
                <w:sz w:val="22"/>
                <w:szCs w:val="22"/>
              </w:rPr>
            </w:pPr>
            <w:r w:rsidRPr="006F244F">
              <w:rPr>
                <w:rFonts w:ascii="Cambria" w:hAnsi="Cambria"/>
                <w:sz w:val="22"/>
                <w:szCs w:val="22"/>
              </w:rPr>
              <w:t>At least 50%, starting 5 years before the planned retirement date;</w:t>
            </w:r>
          </w:p>
          <w:p w14:paraId="2679BA19" w14:textId="77777777" w:rsidR="006F244F" w:rsidRPr="006F244F" w:rsidRDefault="006F244F" w:rsidP="007C358E">
            <w:pPr>
              <w:pStyle w:val="ListParagraph"/>
              <w:numPr>
                <w:ilvl w:val="0"/>
                <w:numId w:val="20"/>
              </w:numPr>
              <w:spacing w:after="160" w:line="276" w:lineRule="auto"/>
              <w:contextualSpacing/>
              <w:jc w:val="both"/>
              <w:rPr>
                <w:rFonts w:ascii="Cambria" w:hAnsi="Cambria"/>
                <w:sz w:val="22"/>
                <w:szCs w:val="22"/>
              </w:rPr>
            </w:pPr>
            <w:r w:rsidRPr="006F244F">
              <w:rPr>
                <w:rFonts w:ascii="Cambria" w:hAnsi="Cambria"/>
                <w:sz w:val="22"/>
                <w:szCs w:val="22"/>
              </w:rPr>
              <w:t>At least 70%, starting 2 years before the planned retirement date.</w:t>
            </w:r>
            <w:r w:rsidRPr="006F244F">
              <w:rPr>
                <w:rStyle w:val="FootnoteReference"/>
                <w:rFonts w:ascii="Cambria" w:hAnsi="Cambria"/>
                <w:sz w:val="22"/>
                <w:szCs w:val="22"/>
              </w:rPr>
              <w:footnoteReference w:id="45"/>
            </w:r>
          </w:p>
          <w:p w14:paraId="26E517AB" w14:textId="77777777" w:rsidR="006F244F" w:rsidRPr="006F244F" w:rsidRDefault="006F244F" w:rsidP="006F244F">
            <w:pPr>
              <w:spacing w:line="276" w:lineRule="auto"/>
              <w:jc w:val="both"/>
              <w:rPr>
                <w:rFonts w:ascii="Cambria" w:hAnsi="Cambria"/>
                <w:sz w:val="22"/>
                <w:szCs w:val="22"/>
              </w:rPr>
            </w:pPr>
            <w:r w:rsidRPr="006F244F">
              <w:rPr>
                <w:rFonts w:ascii="Cambria" w:hAnsi="Cambria"/>
                <w:sz w:val="22"/>
                <w:szCs w:val="22"/>
              </w:rPr>
              <w:t>We call on EIOPA not to suffer from the “NIH” (“not invented here “ syndrome, like the Level I EU Authorities, who barely looked at the much simpler, efficient, effective, and time-tested US solution (the IRA – Individual Retirement Account) when drafting the PEEP Regulation.</w:t>
            </w:r>
          </w:p>
          <w:p w14:paraId="3DC9B2A5" w14:textId="77777777" w:rsidR="006F244F" w:rsidRPr="006F244F" w:rsidRDefault="006F244F" w:rsidP="006F244F">
            <w:pPr>
              <w:spacing w:line="276" w:lineRule="auto"/>
              <w:jc w:val="both"/>
              <w:rPr>
                <w:rFonts w:ascii="Cambria" w:hAnsi="Cambria"/>
                <w:sz w:val="22"/>
                <w:szCs w:val="22"/>
              </w:rPr>
            </w:pPr>
            <w:r w:rsidRPr="006F244F">
              <w:rPr>
                <w:rFonts w:ascii="Cambria" w:hAnsi="Cambria"/>
                <w:sz w:val="22"/>
                <w:szCs w:val="22"/>
              </w:rPr>
              <w:t>Also we wish to remind EIOPA about its legal mandate to promote simplicity , and not to “reinvent the wheel”, by drawing upon other PPP experiences that work and that are intelligible by pension savers the French PPP risk mitigation technique takes 3 lines of text in the rules: Can EIOPA live up to its simplicity mandate and do as well ?</w:t>
            </w:r>
          </w:p>
          <w:p w14:paraId="5C56326B" w14:textId="19A925C4" w:rsidR="005A05A0" w:rsidRPr="006F244F" w:rsidRDefault="005A05A0" w:rsidP="005A05A0">
            <w:pPr>
              <w:jc w:val="both"/>
              <w:rPr>
                <w:rFonts w:ascii="Verdana" w:hAnsi="Verdana" w:cstheme="minorHAnsi"/>
                <w:sz w:val="22"/>
                <w:szCs w:val="22"/>
              </w:rPr>
            </w:pPr>
          </w:p>
        </w:tc>
        <w:tc>
          <w:tcPr>
            <w:tcW w:w="3739" w:type="dxa"/>
          </w:tcPr>
          <w:p w14:paraId="71D91D1E" w14:textId="77777777" w:rsidR="005A05A0" w:rsidRDefault="005A05A0" w:rsidP="005A05A0">
            <w:pPr>
              <w:spacing w:before="120"/>
              <w:rPr>
                <w:rFonts w:ascii="Verdana" w:hAnsi="Verdana"/>
                <w:bCs/>
                <w:sz w:val="20"/>
                <w:szCs w:val="20"/>
              </w:rPr>
            </w:pPr>
          </w:p>
        </w:tc>
      </w:tr>
      <w:tr w:rsidR="00C26AE2" w:rsidRPr="00544A26" w14:paraId="1B223043" w14:textId="77777777" w:rsidTr="00AD328A">
        <w:tblPrEx>
          <w:tblLook w:val="00A0" w:firstRow="1" w:lastRow="0" w:firstColumn="1" w:lastColumn="0" w:noHBand="0" w:noVBand="0"/>
        </w:tblPrEx>
        <w:trPr>
          <w:trHeight w:val="432"/>
        </w:trPr>
        <w:tc>
          <w:tcPr>
            <w:tcW w:w="947" w:type="dxa"/>
          </w:tcPr>
          <w:p w14:paraId="2548966C" w14:textId="77777777" w:rsidR="005A05A0" w:rsidRPr="00E51970" w:rsidRDefault="005A05A0" w:rsidP="005A05A0">
            <w:pPr>
              <w:numPr>
                <w:ilvl w:val="0"/>
                <w:numId w:val="6"/>
              </w:numPr>
              <w:spacing w:before="120"/>
              <w:jc w:val="both"/>
              <w:rPr>
                <w:rFonts w:ascii="Verdana" w:hAnsi="Verdana"/>
                <w:b/>
                <w:bCs/>
                <w:sz w:val="20"/>
                <w:szCs w:val="20"/>
              </w:rPr>
            </w:pPr>
          </w:p>
        </w:tc>
        <w:tc>
          <w:tcPr>
            <w:tcW w:w="1302" w:type="dxa"/>
            <w:gridSpan w:val="2"/>
            <w:tcBorders>
              <w:top w:val="single" w:sz="4" w:space="0" w:color="auto"/>
              <w:left w:val="single" w:sz="4" w:space="0" w:color="auto"/>
              <w:bottom w:val="single" w:sz="4" w:space="0" w:color="auto"/>
              <w:right w:val="single" w:sz="4" w:space="0" w:color="auto"/>
            </w:tcBorders>
          </w:tcPr>
          <w:p w14:paraId="3640D9F7" w14:textId="77777777" w:rsidR="00BC71BB" w:rsidRDefault="00BC71BB" w:rsidP="00BC71BB">
            <w:pPr>
              <w:spacing w:before="120"/>
              <w:rPr>
                <w:rFonts w:ascii="Verdana" w:hAnsi="Verdana"/>
                <w:bCs/>
                <w:sz w:val="20"/>
                <w:szCs w:val="20"/>
              </w:rPr>
            </w:pPr>
            <w:r>
              <w:rPr>
                <w:rFonts w:ascii="Verdana" w:hAnsi="Verdana"/>
                <w:bCs/>
                <w:sz w:val="20"/>
                <w:szCs w:val="20"/>
              </w:rPr>
              <w:t>BETTER FINANCE</w:t>
            </w:r>
          </w:p>
          <w:p w14:paraId="6CBF6428" w14:textId="70F6B15E" w:rsidR="005A05A0" w:rsidRDefault="00BC71BB" w:rsidP="00BC71BB">
            <w:pPr>
              <w:spacing w:before="120"/>
              <w:rPr>
                <w:rFonts w:ascii="Verdana" w:hAnsi="Verdana"/>
                <w:bCs/>
                <w:color w:val="000000"/>
                <w:sz w:val="20"/>
                <w:szCs w:val="20"/>
              </w:rPr>
            </w:pPr>
            <w:r>
              <w:rPr>
                <w:rFonts w:ascii="Verdana" w:hAnsi="Verdana"/>
                <w:bCs/>
                <w:sz w:val="20"/>
                <w:szCs w:val="20"/>
              </w:rPr>
              <w:t>Belgium</w:t>
            </w:r>
          </w:p>
        </w:tc>
        <w:tc>
          <w:tcPr>
            <w:tcW w:w="3275" w:type="dxa"/>
            <w:tcBorders>
              <w:top w:val="single" w:sz="4" w:space="0" w:color="auto"/>
              <w:left w:val="single" w:sz="4" w:space="0" w:color="auto"/>
              <w:bottom w:val="single" w:sz="4" w:space="0" w:color="auto"/>
              <w:right w:val="single" w:sz="4" w:space="0" w:color="auto"/>
            </w:tcBorders>
          </w:tcPr>
          <w:p w14:paraId="26718CAB" w14:textId="77777777" w:rsidR="00E360BA" w:rsidRPr="00E360BA" w:rsidRDefault="00E360BA" w:rsidP="00E360BA">
            <w:pPr>
              <w:spacing w:before="120"/>
              <w:rPr>
                <w:rFonts w:ascii="Verdana" w:hAnsi="Verdana"/>
                <w:bCs/>
                <w:sz w:val="20"/>
                <w:szCs w:val="20"/>
              </w:rPr>
            </w:pPr>
            <w:r w:rsidRPr="00E360BA">
              <w:rPr>
                <w:rFonts w:ascii="Verdana" w:hAnsi="Verdana"/>
                <w:bCs/>
                <w:sz w:val="20"/>
                <w:szCs w:val="20"/>
              </w:rPr>
              <w:t>Q8. Do you have any comments on the draft Impact Assessment? Do you have any evidence which could further enrich the draft Impact Assessment?</w:t>
            </w:r>
          </w:p>
          <w:p w14:paraId="057231D8" w14:textId="0E4C86FF" w:rsidR="005A05A0" w:rsidRDefault="005A05A0" w:rsidP="00E360BA">
            <w:pPr>
              <w:spacing w:before="120"/>
              <w:rPr>
                <w:rFonts w:ascii="Verdana" w:hAnsi="Verdana"/>
                <w:bCs/>
                <w:sz w:val="20"/>
                <w:szCs w:val="20"/>
              </w:rPr>
            </w:pPr>
          </w:p>
        </w:tc>
        <w:tc>
          <w:tcPr>
            <w:tcW w:w="5294" w:type="dxa"/>
            <w:tcBorders>
              <w:top w:val="single" w:sz="4" w:space="0" w:color="auto"/>
              <w:left w:val="single" w:sz="4" w:space="0" w:color="auto"/>
              <w:bottom w:val="single" w:sz="4" w:space="0" w:color="auto"/>
              <w:right w:val="single" w:sz="4" w:space="0" w:color="auto"/>
            </w:tcBorders>
          </w:tcPr>
          <w:p w14:paraId="4C673522" w14:textId="77777777" w:rsidR="00A24931" w:rsidRPr="00A24931" w:rsidRDefault="00A24931" w:rsidP="00A24931">
            <w:pPr>
              <w:spacing w:line="276" w:lineRule="auto"/>
              <w:jc w:val="both"/>
              <w:rPr>
                <w:rFonts w:ascii="Cambria" w:hAnsi="Cambria"/>
                <w:sz w:val="18"/>
                <w:szCs w:val="18"/>
                <w:lang w:eastAsia="en-US"/>
              </w:rPr>
            </w:pPr>
            <w:r w:rsidRPr="00A24931">
              <w:rPr>
                <w:rFonts w:ascii="Cambria" w:hAnsi="Cambria"/>
                <w:sz w:val="20"/>
                <w:szCs w:val="20"/>
              </w:rPr>
              <w:t xml:space="preserve">BETTER FINANCE strongly supports policy option 2 for the cost section by which the summary cost indicator would be expressed as a Reduction-in-Wealth (otherwise referred to as </w:t>
            </w:r>
            <w:r w:rsidRPr="00A24931">
              <w:rPr>
                <w:rFonts w:ascii="Cambria" w:hAnsi="Cambria"/>
                <w:i/>
                <w:iCs/>
                <w:sz w:val="20"/>
                <w:szCs w:val="20"/>
              </w:rPr>
              <w:t xml:space="preserve">Wealth-Reduction-Ratio, </w:t>
            </w:r>
            <w:r w:rsidRPr="00A24931">
              <w:rPr>
                <w:rFonts w:ascii="Cambria" w:hAnsi="Cambria"/>
                <w:sz w:val="20"/>
                <w:szCs w:val="20"/>
              </w:rPr>
              <w:t xml:space="preserve">WRR, </w:t>
            </w:r>
            <w:r w:rsidRPr="00A24931">
              <w:rPr>
                <w:rFonts w:ascii="Cambria" w:hAnsi="Cambria"/>
                <w:i/>
                <w:iCs/>
                <w:sz w:val="20"/>
                <w:szCs w:val="20"/>
              </w:rPr>
              <w:t>or Charges Ratio</w:t>
            </w:r>
            <w:r w:rsidRPr="00A24931">
              <w:rPr>
                <w:rFonts w:ascii="Cambria" w:hAnsi="Cambria"/>
                <w:sz w:val="20"/>
                <w:szCs w:val="20"/>
              </w:rPr>
              <w:t xml:space="preserve">, CR). More information on the design and methodology of the </w:t>
            </w:r>
            <w:proofErr w:type="spellStart"/>
            <w:r w:rsidRPr="00A24931">
              <w:rPr>
                <w:rFonts w:ascii="Cambria" w:hAnsi="Cambria"/>
                <w:sz w:val="20"/>
                <w:szCs w:val="20"/>
              </w:rPr>
              <w:t>RiW</w:t>
            </w:r>
            <w:proofErr w:type="spellEnd"/>
            <w:r w:rsidRPr="00A24931">
              <w:rPr>
                <w:rFonts w:ascii="Cambria" w:hAnsi="Cambria"/>
                <w:sz w:val="20"/>
                <w:szCs w:val="20"/>
              </w:rPr>
              <w:t xml:space="preserve"> can be found in the BETTER FINANCE Technical Working Paper on PEPP (1/2020).</w:t>
            </w:r>
            <w:r w:rsidRPr="00A24931">
              <w:rPr>
                <w:rStyle w:val="FootnoteReference"/>
                <w:rFonts w:ascii="Cambria" w:hAnsi="Cambria"/>
                <w:sz w:val="20"/>
                <w:szCs w:val="20"/>
              </w:rPr>
              <w:footnoteReference w:id="46"/>
            </w:r>
          </w:p>
          <w:p w14:paraId="08EEE0BF" w14:textId="46B44F21" w:rsidR="005A05A0" w:rsidRDefault="005A05A0" w:rsidP="005A05A0">
            <w:pPr>
              <w:jc w:val="both"/>
              <w:rPr>
                <w:rFonts w:ascii="Verdana" w:hAnsi="Verdana" w:cstheme="minorHAnsi"/>
                <w:sz w:val="20"/>
                <w:szCs w:val="20"/>
              </w:rPr>
            </w:pPr>
          </w:p>
        </w:tc>
        <w:tc>
          <w:tcPr>
            <w:tcW w:w="3739" w:type="dxa"/>
          </w:tcPr>
          <w:p w14:paraId="4F30B87B" w14:textId="77777777" w:rsidR="005A05A0" w:rsidRDefault="005A05A0" w:rsidP="005A05A0">
            <w:pPr>
              <w:spacing w:before="120"/>
              <w:rPr>
                <w:rFonts w:ascii="Verdana" w:hAnsi="Verdana"/>
                <w:bCs/>
                <w:sz w:val="20"/>
                <w:szCs w:val="20"/>
              </w:rPr>
            </w:pPr>
          </w:p>
        </w:tc>
      </w:tr>
      <w:tr w:rsidR="00C26AE2" w:rsidRPr="00544A26" w14:paraId="6619BDD2" w14:textId="77777777" w:rsidTr="00AD328A">
        <w:tblPrEx>
          <w:tblLook w:val="00A0" w:firstRow="1" w:lastRow="0" w:firstColumn="1" w:lastColumn="0" w:noHBand="0" w:noVBand="0"/>
        </w:tblPrEx>
        <w:trPr>
          <w:trHeight w:val="432"/>
        </w:trPr>
        <w:tc>
          <w:tcPr>
            <w:tcW w:w="947" w:type="dxa"/>
          </w:tcPr>
          <w:p w14:paraId="29AE3E13" w14:textId="77777777" w:rsidR="005A05A0" w:rsidRPr="00E51970" w:rsidRDefault="005A05A0" w:rsidP="005A05A0">
            <w:pPr>
              <w:numPr>
                <w:ilvl w:val="0"/>
                <w:numId w:val="6"/>
              </w:numPr>
              <w:spacing w:before="120"/>
              <w:jc w:val="both"/>
              <w:rPr>
                <w:rFonts w:ascii="Verdana" w:hAnsi="Verdana"/>
                <w:b/>
                <w:bCs/>
                <w:sz w:val="20"/>
                <w:szCs w:val="20"/>
              </w:rPr>
            </w:pPr>
          </w:p>
        </w:tc>
        <w:tc>
          <w:tcPr>
            <w:tcW w:w="1302" w:type="dxa"/>
            <w:gridSpan w:val="2"/>
            <w:tcBorders>
              <w:top w:val="single" w:sz="4" w:space="0" w:color="auto"/>
              <w:left w:val="single" w:sz="4" w:space="0" w:color="auto"/>
              <w:bottom w:val="single" w:sz="4" w:space="0" w:color="auto"/>
              <w:right w:val="single" w:sz="4" w:space="0" w:color="auto"/>
            </w:tcBorders>
          </w:tcPr>
          <w:p w14:paraId="345DE1F3" w14:textId="77777777" w:rsidR="00613908" w:rsidRDefault="00613908" w:rsidP="00613908">
            <w:pPr>
              <w:spacing w:before="120"/>
              <w:rPr>
                <w:rFonts w:ascii="Verdana" w:hAnsi="Verdana"/>
                <w:bCs/>
                <w:sz w:val="20"/>
                <w:szCs w:val="20"/>
              </w:rPr>
            </w:pPr>
            <w:r>
              <w:rPr>
                <w:rFonts w:ascii="Verdana" w:hAnsi="Verdana"/>
                <w:bCs/>
                <w:sz w:val="20"/>
                <w:szCs w:val="20"/>
              </w:rPr>
              <w:t>BETTER FINANCE</w:t>
            </w:r>
          </w:p>
          <w:p w14:paraId="1C902C28" w14:textId="10B1F368" w:rsidR="005A05A0" w:rsidRDefault="00613908" w:rsidP="00613908">
            <w:pPr>
              <w:spacing w:before="120"/>
              <w:rPr>
                <w:rFonts w:ascii="Verdana" w:hAnsi="Verdana"/>
                <w:bCs/>
                <w:sz w:val="20"/>
                <w:szCs w:val="20"/>
              </w:rPr>
            </w:pPr>
            <w:r>
              <w:rPr>
                <w:rFonts w:ascii="Verdana" w:hAnsi="Verdana"/>
                <w:bCs/>
                <w:sz w:val="20"/>
                <w:szCs w:val="20"/>
              </w:rPr>
              <w:t>Belgium</w:t>
            </w:r>
          </w:p>
        </w:tc>
        <w:tc>
          <w:tcPr>
            <w:tcW w:w="3275" w:type="dxa"/>
            <w:tcBorders>
              <w:top w:val="single" w:sz="4" w:space="0" w:color="auto"/>
              <w:left w:val="single" w:sz="4" w:space="0" w:color="auto"/>
              <w:bottom w:val="single" w:sz="4" w:space="0" w:color="auto"/>
              <w:right w:val="single" w:sz="4" w:space="0" w:color="auto"/>
            </w:tcBorders>
          </w:tcPr>
          <w:p w14:paraId="7DB33466" w14:textId="77777777" w:rsidR="00E360BA" w:rsidRPr="00E360BA" w:rsidRDefault="00E360BA" w:rsidP="00E360BA">
            <w:pPr>
              <w:spacing w:before="120"/>
              <w:rPr>
                <w:rFonts w:ascii="Verdana" w:hAnsi="Verdana"/>
                <w:bCs/>
                <w:sz w:val="20"/>
                <w:szCs w:val="20"/>
              </w:rPr>
            </w:pPr>
            <w:r w:rsidRPr="00E360BA">
              <w:rPr>
                <w:rFonts w:ascii="Verdana" w:hAnsi="Verdana"/>
                <w:bCs/>
                <w:sz w:val="20"/>
                <w:szCs w:val="20"/>
              </w:rPr>
              <w:t>Q9. Do you have any other general comments to the proposed approaches?</w:t>
            </w:r>
          </w:p>
          <w:p w14:paraId="61FAB86C" w14:textId="40FB7BD8" w:rsidR="005A05A0" w:rsidRDefault="005A05A0" w:rsidP="00E360BA">
            <w:pPr>
              <w:spacing w:before="120"/>
              <w:rPr>
                <w:rFonts w:ascii="Verdana" w:hAnsi="Verdana"/>
                <w:bCs/>
                <w:sz w:val="20"/>
                <w:szCs w:val="20"/>
              </w:rPr>
            </w:pPr>
          </w:p>
        </w:tc>
        <w:tc>
          <w:tcPr>
            <w:tcW w:w="5294" w:type="dxa"/>
            <w:tcBorders>
              <w:top w:val="single" w:sz="4" w:space="0" w:color="auto"/>
              <w:left w:val="single" w:sz="4" w:space="0" w:color="auto"/>
              <w:bottom w:val="single" w:sz="4" w:space="0" w:color="auto"/>
              <w:right w:val="single" w:sz="4" w:space="0" w:color="auto"/>
            </w:tcBorders>
          </w:tcPr>
          <w:p w14:paraId="6A81E26B" w14:textId="41ADBB69" w:rsidR="005A05A0" w:rsidRDefault="005A05A0" w:rsidP="005A05A0">
            <w:pPr>
              <w:jc w:val="both"/>
              <w:rPr>
                <w:rFonts w:ascii="Verdana" w:hAnsi="Verdana"/>
                <w:bCs/>
                <w:sz w:val="20"/>
                <w:szCs w:val="20"/>
              </w:rPr>
            </w:pPr>
          </w:p>
        </w:tc>
        <w:tc>
          <w:tcPr>
            <w:tcW w:w="3739" w:type="dxa"/>
          </w:tcPr>
          <w:p w14:paraId="13D82540" w14:textId="74F7985A" w:rsidR="005A05A0" w:rsidRDefault="005A05A0" w:rsidP="005A05A0">
            <w:pPr>
              <w:spacing w:before="120"/>
              <w:rPr>
                <w:rFonts w:ascii="Verdana" w:hAnsi="Verdana"/>
                <w:bCs/>
                <w:sz w:val="20"/>
                <w:szCs w:val="20"/>
              </w:rPr>
            </w:pPr>
          </w:p>
        </w:tc>
      </w:tr>
      <w:tr w:rsidR="00C26AE2" w:rsidRPr="00544A26" w14:paraId="73CAE8A1" w14:textId="77777777" w:rsidTr="00AD328A">
        <w:tblPrEx>
          <w:tblLook w:val="00A0" w:firstRow="1" w:lastRow="0" w:firstColumn="1" w:lastColumn="0" w:noHBand="0" w:noVBand="0"/>
        </w:tblPrEx>
        <w:trPr>
          <w:trHeight w:val="432"/>
        </w:trPr>
        <w:tc>
          <w:tcPr>
            <w:tcW w:w="947" w:type="dxa"/>
          </w:tcPr>
          <w:p w14:paraId="00A241B5" w14:textId="77777777" w:rsidR="005A05A0" w:rsidRPr="00E51970" w:rsidRDefault="005A05A0" w:rsidP="005A05A0">
            <w:pPr>
              <w:numPr>
                <w:ilvl w:val="0"/>
                <w:numId w:val="6"/>
              </w:numPr>
              <w:spacing w:before="120"/>
              <w:jc w:val="both"/>
              <w:rPr>
                <w:rFonts w:ascii="Verdana" w:hAnsi="Verdana"/>
                <w:b/>
                <w:bCs/>
                <w:sz w:val="20"/>
                <w:szCs w:val="20"/>
              </w:rPr>
            </w:pPr>
          </w:p>
        </w:tc>
        <w:tc>
          <w:tcPr>
            <w:tcW w:w="1302" w:type="dxa"/>
            <w:gridSpan w:val="2"/>
            <w:tcBorders>
              <w:top w:val="single" w:sz="4" w:space="0" w:color="auto"/>
              <w:left w:val="single" w:sz="4" w:space="0" w:color="auto"/>
              <w:bottom w:val="single" w:sz="4" w:space="0" w:color="auto"/>
              <w:right w:val="single" w:sz="4" w:space="0" w:color="auto"/>
            </w:tcBorders>
          </w:tcPr>
          <w:p w14:paraId="15D3A53D" w14:textId="77777777" w:rsidR="00613908" w:rsidRDefault="00613908" w:rsidP="00613908">
            <w:pPr>
              <w:spacing w:before="120"/>
              <w:rPr>
                <w:rFonts w:ascii="Verdana" w:hAnsi="Verdana"/>
                <w:bCs/>
                <w:sz w:val="20"/>
                <w:szCs w:val="20"/>
              </w:rPr>
            </w:pPr>
            <w:r>
              <w:rPr>
                <w:rFonts w:ascii="Verdana" w:hAnsi="Verdana"/>
                <w:bCs/>
                <w:sz w:val="20"/>
                <w:szCs w:val="20"/>
              </w:rPr>
              <w:t>BETTER FINANCE</w:t>
            </w:r>
          </w:p>
          <w:p w14:paraId="6BBF6596" w14:textId="7376E16F" w:rsidR="005A05A0" w:rsidRDefault="00613908" w:rsidP="00613908">
            <w:pPr>
              <w:spacing w:before="120"/>
              <w:rPr>
                <w:rFonts w:ascii="Verdana" w:hAnsi="Verdana"/>
                <w:bCs/>
                <w:sz w:val="20"/>
                <w:szCs w:val="20"/>
              </w:rPr>
            </w:pPr>
            <w:r>
              <w:rPr>
                <w:rFonts w:ascii="Verdana" w:hAnsi="Verdana"/>
                <w:bCs/>
                <w:sz w:val="20"/>
                <w:szCs w:val="20"/>
              </w:rPr>
              <w:t>Belgium</w:t>
            </w:r>
          </w:p>
        </w:tc>
        <w:tc>
          <w:tcPr>
            <w:tcW w:w="3275" w:type="dxa"/>
            <w:tcBorders>
              <w:top w:val="single" w:sz="4" w:space="0" w:color="auto"/>
              <w:left w:val="single" w:sz="4" w:space="0" w:color="auto"/>
              <w:bottom w:val="single" w:sz="4" w:space="0" w:color="auto"/>
              <w:right w:val="single" w:sz="4" w:space="0" w:color="auto"/>
            </w:tcBorders>
          </w:tcPr>
          <w:p w14:paraId="5DA29DD9" w14:textId="77777777" w:rsidR="00E360BA" w:rsidRPr="00E360BA" w:rsidRDefault="00E360BA" w:rsidP="00E360BA">
            <w:pPr>
              <w:spacing w:before="120"/>
              <w:rPr>
                <w:rFonts w:ascii="Verdana" w:hAnsi="Verdana"/>
                <w:bCs/>
                <w:sz w:val="20"/>
                <w:szCs w:val="20"/>
              </w:rPr>
            </w:pPr>
            <w:r w:rsidRPr="00E360BA">
              <w:rPr>
                <w:rFonts w:ascii="Verdana" w:hAnsi="Verdana"/>
                <w:bCs/>
                <w:sz w:val="20"/>
                <w:szCs w:val="20"/>
              </w:rPr>
              <w:t>Q10. Do you have any views on the opportunities for PEPP in a digital environment, for example regarding digital information provision and online distribution?</w:t>
            </w:r>
          </w:p>
          <w:p w14:paraId="28A92B79" w14:textId="74517BC8" w:rsidR="005A05A0" w:rsidRDefault="005A05A0" w:rsidP="005A05A0">
            <w:pPr>
              <w:spacing w:before="120"/>
              <w:rPr>
                <w:rFonts w:ascii="Verdana" w:hAnsi="Verdana"/>
                <w:bCs/>
                <w:sz w:val="20"/>
                <w:szCs w:val="20"/>
              </w:rPr>
            </w:pPr>
          </w:p>
        </w:tc>
        <w:tc>
          <w:tcPr>
            <w:tcW w:w="5294" w:type="dxa"/>
            <w:tcBorders>
              <w:top w:val="single" w:sz="4" w:space="0" w:color="auto"/>
              <w:left w:val="single" w:sz="4" w:space="0" w:color="auto"/>
              <w:bottom w:val="single" w:sz="4" w:space="0" w:color="auto"/>
              <w:right w:val="single" w:sz="4" w:space="0" w:color="auto"/>
            </w:tcBorders>
          </w:tcPr>
          <w:p w14:paraId="25085BC2" w14:textId="77777777" w:rsidR="002E096F" w:rsidRPr="002E096F" w:rsidRDefault="002E096F" w:rsidP="002E096F">
            <w:pPr>
              <w:pStyle w:val="Heading2"/>
              <w:spacing w:before="0" w:after="120" w:line="276" w:lineRule="auto"/>
              <w:rPr>
                <w:rFonts w:ascii="Cambria" w:hAnsi="Cambria"/>
                <w:color w:val="0070C0"/>
                <w:sz w:val="20"/>
                <w:szCs w:val="20"/>
                <w:lang w:eastAsia="en-US"/>
              </w:rPr>
            </w:pPr>
            <w:bookmarkStart w:id="9" w:name="_Toc33566147"/>
            <w:r w:rsidRPr="002E096F">
              <w:rPr>
                <w:rFonts w:ascii="Cambria" w:hAnsi="Cambria"/>
                <w:i w:val="0"/>
                <w:iCs w:val="0"/>
                <w:color w:val="0070C0"/>
                <w:sz w:val="20"/>
                <w:szCs w:val="20"/>
              </w:rPr>
              <w:t>Layering and use of digital tools</w:t>
            </w:r>
            <w:bookmarkEnd w:id="9"/>
          </w:p>
          <w:p w14:paraId="4CB4E450" w14:textId="77777777" w:rsidR="002E096F" w:rsidRPr="002E096F" w:rsidRDefault="002E096F" w:rsidP="002E096F">
            <w:pPr>
              <w:spacing w:line="276" w:lineRule="auto"/>
              <w:jc w:val="both"/>
              <w:rPr>
                <w:rFonts w:ascii="Cambria" w:hAnsi="Cambria"/>
                <w:sz w:val="20"/>
                <w:szCs w:val="20"/>
              </w:rPr>
            </w:pPr>
            <w:r w:rsidRPr="002E096F">
              <w:rPr>
                <w:rFonts w:ascii="Cambria" w:hAnsi="Cambria"/>
                <w:sz w:val="20"/>
                <w:szCs w:val="20"/>
              </w:rPr>
              <w:t>The response to Question 1 above highlights most guidelines in formatting and presenting the PEPP KID. Layering is another very important element in reaching the stated purpose of the KID. Explained at large in the Technical Working Paper (1/2020), layering of information using digital tools should achieve several functions:</w:t>
            </w:r>
          </w:p>
          <w:p w14:paraId="52A7ABCD" w14:textId="77777777" w:rsidR="002E096F" w:rsidRPr="002E096F" w:rsidRDefault="002E096F" w:rsidP="007C358E">
            <w:pPr>
              <w:pStyle w:val="ListParagraph"/>
              <w:numPr>
                <w:ilvl w:val="0"/>
                <w:numId w:val="19"/>
              </w:numPr>
              <w:spacing w:after="160" w:line="276" w:lineRule="auto"/>
              <w:contextualSpacing/>
              <w:jc w:val="both"/>
              <w:rPr>
                <w:rFonts w:ascii="Cambria" w:hAnsi="Cambria"/>
                <w:sz w:val="20"/>
                <w:szCs w:val="20"/>
              </w:rPr>
            </w:pPr>
            <w:r w:rsidRPr="002E096F">
              <w:rPr>
                <w:rFonts w:ascii="Cambria" w:hAnsi="Cambria"/>
                <w:sz w:val="20"/>
                <w:szCs w:val="20"/>
              </w:rPr>
              <w:t xml:space="preserve">include more complex information; </w:t>
            </w:r>
          </w:p>
          <w:p w14:paraId="0576B00B" w14:textId="77777777" w:rsidR="002E096F" w:rsidRPr="002E096F" w:rsidRDefault="002E096F" w:rsidP="007C358E">
            <w:pPr>
              <w:pStyle w:val="ListParagraph"/>
              <w:numPr>
                <w:ilvl w:val="0"/>
                <w:numId w:val="19"/>
              </w:numPr>
              <w:spacing w:after="160" w:line="276" w:lineRule="auto"/>
              <w:contextualSpacing/>
              <w:jc w:val="both"/>
              <w:rPr>
                <w:rFonts w:ascii="Cambria" w:hAnsi="Cambria"/>
                <w:sz w:val="20"/>
                <w:szCs w:val="20"/>
              </w:rPr>
            </w:pPr>
            <w:r w:rsidRPr="002E096F">
              <w:rPr>
                <w:rFonts w:ascii="Cambria" w:hAnsi="Cambria"/>
                <w:sz w:val="20"/>
                <w:szCs w:val="20"/>
              </w:rPr>
              <w:t>structure information from simpler to more technical;</w:t>
            </w:r>
          </w:p>
          <w:p w14:paraId="354C3DEF" w14:textId="77777777" w:rsidR="002E096F" w:rsidRPr="002E096F" w:rsidRDefault="002E096F" w:rsidP="007C358E">
            <w:pPr>
              <w:pStyle w:val="ListParagraph"/>
              <w:numPr>
                <w:ilvl w:val="0"/>
                <w:numId w:val="19"/>
              </w:numPr>
              <w:spacing w:after="160" w:line="276" w:lineRule="auto"/>
              <w:contextualSpacing/>
              <w:jc w:val="both"/>
              <w:rPr>
                <w:rFonts w:ascii="Cambria" w:hAnsi="Cambria"/>
                <w:sz w:val="20"/>
                <w:szCs w:val="20"/>
              </w:rPr>
            </w:pPr>
            <w:r w:rsidRPr="002E096F">
              <w:rPr>
                <w:rFonts w:ascii="Cambria" w:hAnsi="Cambria"/>
                <w:sz w:val="20"/>
                <w:szCs w:val="20"/>
              </w:rPr>
              <w:t>combine text with graphical or other interactive features;</w:t>
            </w:r>
          </w:p>
          <w:p w14:paraId="48F0CC8B" w14:textId="77777777" w:rsidR="002E096F" w:rsidRPr="002E096F" w:rsidRDefault="002E096F" w:rsidP="007C358E">
            <w:pPr>
              <w:pStyle w:val="ListParagraph"/>
              <w:numPr>
                <w:ilvl w:val="0"/>
                <w:numId w:val="19"/>
              </w:numPr>
              <w:spacing w:after="160" w:line="276" w:lineRule="auto"/>
              <w:contextualSpacing/>
              <w:jc w:val="both"/>
              <w:rPr>
                <w:rFonts w:ascii="Cambria" w:hAnsi="Cambria"/>
                <w:sz w:val="20"/>
                <w:szCs w:val="20"/>
              </w:rPr>
            </w:pPr>
            <w:r w:rsidRPr="002E096F">
              <w:rPr>
                <w:rFonts w:ascii="Cambria" w:hAnsi="Cambria"/>
                <w:sz w:val="20"/>
                <w:szCs w:val="20"/>
              </w:rPr>
              <w:t>incorporate other digital features.</w:t>
            </w:r>
          </w:p>
          <w:p w14:paraId="58E3DEB7" w14:textId="77777777" w:rsidR="002E096F" w:rsidRPr="002E096F" w:rsidRDefault="002E096F" w:rsidP="002E096F">
            <w:pPr>
              <w:spacing w:line="276" w:lineRule="auto"/>
              <w:jc w:val="both"/>
              <w:rPr>
                <w:rFonts w:ascii="Cambria" w:hAnsi="Cambria"/>
                <w:sz w:val="20"/>
                <w:szCs w:val="20"/>
              </w:rPr>
            </w:pPr>
            <w:r w:rsidRPr="002E096F">
              <w:rPr>
                <w:rFonts w:ascii="Cambria" w:hAnsi="Cambria"/>
                <w:sz w:val="20"/>
                <w:szCs w:val="20"/>
              </w:rPr>
              <w:t>EIOPA rightly identifies in the Consultation Paper that the format, content and presentation of PEPP information documents must be approached “digital first”. BETTER FINANCE agrees with the EIOPA proposals on layering the information and making the document interactive online. This would also facilitate online distribution of the PEPP, which would significantly reduce costs and stimulate competition.</w:t>
            </w:r>
          </w:p>
          <w:p w14:paraId="38E3F3BD" w14:textId="74DFB1D1" w:rsidR="002E096F" w:rsidRDefault="002E096F" w:rsidP="002E096F">
            <w:pPr>
              <w:spacing w:line="276" w:lineRule="auto"/>
              <w:jc w:val="both"/>
              <w:rPr>
                <w:rFonts w:ascii="Cambria" w:hAnsi="Cambria"/>
                <w:sz w:val="20"/>
                <w:szCs w:val="20"/>
              </w:rPr>
            </w:pPr>
            <w:r w:rsidRPr="002E096F">
              <w:rPr>
                <w:rFonts w:ascii="Cambria" w:hAnsi="Cambria"/>
                <w:sz w:val="20"/>
                <w:szCs w:val="20"/>
              </w:rPr>
              <w:t>An easily implementable solution to address this strong deterrent for savers is to make use of digital tools and layering techniques (both for the KID and PBS) so as to maintain focus or engagement of consumers with information documents and also stimulate the cognitive process of question making. As indicated in the Technical Working Paper (1/2020), an online or digital presentation of the PEPP KID, BS and distribution of the product would allow use of digital tools that ease comprehension for the non-professional investor. Moreover, layering allows to still include complex information – such as abstract, legal or technical details – at the lower levels and “substantially improve information efficiency”.</w:t>
            </w:r>
          </w:p>
          <w:p w14:paraId="44B58E58" w14:textId="77777777" w:rsidR="001163FF" w:rsidRPr="002E096F" w:rsidRDefault="001163FF" w:rsidP="002E096F">
            <w:pPr>
              <w:spacing w:line="276" w:lineRule="auto"/>
              <w:jc w:val="both"/>
              <w:rPr>
                <w:rFonts w:ascii="Cambria" w:hAnsi="Cambria"/>
                <w:sz w:val="20"/>
                <w:szCs w:val="20"/>
              </w:rPr>
            </w:pPr>
          </w:p>
          <w:p w14:paraId="1C0A6AA9" w14:textId="77777777" w:rsidR="002E096F" w:rsidRPr="002E096F" w:rsidRDefault="002E096F" w:rsidP="002E096F">
            <w:pPr>
              <w:pStyle w:val="Heading2"/>
              <w:spacing w:before="0" w:after="120" w:line="276" w:lineRule="auto"/>
              <w:rPr>
                <w:rFonts w:ascii="Cambria" w:hAnsi="Cambria"/>
                <w:color w:val="0070C0"/>
                <w:sz w:val="20"/>
                <w:szCs w:val="20"/>
              </w:rPr>
            </w:pPr>
            <w:bookmarkStart w:id="10" w:name="_Toc33566148"/>
            <w:r w:rsidRPr="002E096F">
              <w:rPr>
                <w:rFonts w:ascii="Cambria" w:hAnsi="Cambria"/>
                <w:i w:val="0"/>
                <w:iCs w:val="0"/>
                <w:color w:val="0070C0"/>
                <w:sz w:val="20"/>
                <w:szCs w:val="20"/>
              </w:rPr>
              <w:t>EIOPA Central Registry</w:t>
            </w:r>
            <w:bookmarkEnd w:id="10"/>
          </w:p>
          <w:p w14:paraId="56AA966E" w14:textId="77777777" w:rsidR="002E096F" w:rsidRPr="002E096F" w:rsidRDefault="002E096F" w:rsidP="002E096F">
            <w:pPr>
              <w:spacing w:line="276" w:lineRule="auto"/>
              <w:jc w:val="both"/>
              <w:rPr>
                <w:rFonts w:ascii="Cambria" w:hAnsi="Cambria"/>
                <w:sz w:val="20"/>
                <w:szCs w:val="20"/>
              </w:rPr>
            </w:pPr>
            <w:r w:rsidRPr="002E096F">
              <w:rPr>
                <w:rFonts w:ascii="Cambria" w:hAnsi="Cambria"/>
                <w:sz w:val="20"/>
                <w:szCs w:val="20"/>
              </w:rPr>
              <w:t>In this context, BETTER FINANCE firmly supports EIOPA in developing machine readable PEPP KIDs and BSs and make full use of the powers granted in Art. 13 PEPP Regulation in order to create a public-authority online web-comparison tool for individual, non-professional investors. As the requirements of Art. 13(1) are minimum requirements, EIOPA should take a supplementary step in asking national competent authorities to either communicate the information documents to the central registry or share the data therein to EIOPA for this purpose.</w:t>
            </w:r>
          </w:p>
          <w:p w14:paraId="6959ED46" w14:textId="77777777" w:rsidR="002E096F" w:rsidRPr="002E096F" w:rsidRDefault="002E096F" w:rsidP="002E096F">
            <w:pPr>
              <w:spacing w:line="276" w:lineRule="auto"/>
              <w:jc w:val="both"/>
              <w:rPr>
                <w:rFonts w:ascii="Cambria" w:hAnsi="Cambria"/>
                <w:sz w:val="20"/>
                <w:szCs w:val="20"/>
              </w:rPr>
            </w:pPr>
            <w:r w:rsidRPr="002E096F">
              <w:rPr>
                <w:rFonts w:ascii="Cambria" w:hAnsi="Cambria"/>
                <w:sz w:val="20"/>
                <w:szCs w:val="20"/>
              </w:rPr>
              <w:t>As BETTER FINANCE highlighted on many occasions and was included in the EU Commission’s Mid-Term Review of the CMU Action Plan, consumers of financial services and products are in dire need of objective and comprehensive web comparison tools for investment products. Although these platforms exist at national levels, they differ in scope of coverage or information provided. This also the subject of an ongoing action taken by the EU Commission in order to stimulate the emergence of such platforms.</w:t>
            </w:r>
          </w:p>
          <w:p w14:paraId="39F0852D" w14:textId="0422A3B5" w:rsidR="002E096F" w:rsidRDefault="002E096F" w:rsidP="002E096F">
            <w:pPr>
              <w:spacing w:line="276" w:lineRule="auto"/>
              <w:jc w:val="both"/>
              <w:rPr>
                <w:rFonts w:ascii="Cambria" w:hAnsi="Cambria"/>
                <w:sz w:val="20"/>
                <w:szCs w:val="20"/>
              </w:rPr>
            </w:pPr>
            <w:r w:rsidRPr="002E096F">
              <w:rPr>
                <w:rFonts w:ascii="Cambria" w:hAnsi="Cambria"/>
                <w:sz w:val="20"/>
                <w:szCs w:val="20"/>
              </w:rPr>
              <w:t>We firmly believe that an online, publicly available registry provided by EIOPA that includes machine-extracted information from PEPP KIDs and BSs would bring a significant improvement in terms of consumer awareness, engagement and comprehension of PEPPs. Moreover, by essence, it would stimulate non-professional savers in their active decision-making process for retirement provision planning and add an additional incentive to trust. This registry would also be available through the websites of ESMA and EBA, and national competent authorities, in order to promote accessibility and outreach to savers across the EU.</w:t>
            </w:r>
          </w:p>
          <w:p w14:paraId="3FEF1325" w14:textId="77777777" w:rsidR="001163FF" w:rsidRPr="002E096F" w:rsidRDefault="001163FF" w:rsidP="002E096F">
            <w:pPr>
              <w:spacing w:line="276" w:lineRule="auto"/>
              <w:jc w:val="both"/>
              <w:rPr>
                <w:rFonts w:ascii="Cambria" w:hAnsi="Cambria"/>
                <w:sz w:val="20"/>
                <w:szCs w:val="20"/>
              </w:rPr>
            </w:pPr>
          </w:p>
          <w:p w14:paraId="5B31D4A8" w14:textId="77777777" w:rsidR="002E096F" w:rsidRPr="002E096F" w:rsidRDefault="002E096F" w:rsidP="002E096F">
            <w:pPr>
              <w:pStyle w:val="Heading2"/>
              <w:spacing w:before="0" w:after="120" w:line="276" w:lineRule="auto"/>
              <w:rPr>
                <w:rFonts w:ascii="Cambria" w:hAnsi="Cambria"/>
                <w:color w:val="0070C0"/>
                <w:sz w:val="20"/>
                <w:szCs w:val="20"/>
              </w:rPr>
            </w:pPr>
            <w:bookmarkStart w:id="11" w:name="_Toc33566149"/>
            <w:r w:rsidRPr="002E096F">
              <w:rPr>
                <w:rFonts w:ascii="Cambria" w:hAnsi="Cambria"/>
                <w:i w:val="0"/>
                <w:iCs w:val="0"/>
                <w:color w:val="0070C0"/>
                <w:sz w:val="20"/>
                <w:szCs w:val="20"/>
              </w:rPr>
              <w:t xml:space="preserve">Online distribution through </w:t>
            </w:r>
            <w:proofErr w:type="spellStart"/>
            <w:r w:rsidRPr="002E096F">
              <w:rPr>
                <w:rFonts w:ascii="Cambria" w:hAnsi="Cambria"/>
                <w:i w:val="0"/>
                <w:iCs w:val="0"/>
                <w:color w:val="0070C0"/>
                <w:sz w:val="20"/>
                <w:szCs w:val="20"/>
              </w:rPr>
              <w:t>robo</w:t>
            </w:r>
            <w:proofErr w:type="spellEnd"/>
            <w:r w:rsidRPr="002E096F">
              <w:rPr>
                <w:rFonts w:ascii="Cambria" w:hAnsi="Cambria"/>
                <w:i w:val="0"/>
                <w:iCs w:val="0"/>
                <w:color w:val="0070C0"/>
                <w:sz w:val="20"/>
                <w:szCs w:val="20"/>
              </w:rPr>
              <w:t>-platforms</w:t>
            </w:r>
            <w:bookmarkEnd w:id="11"/>
          </w:p>
          <w:p w14:paraId="21B80B8C" w14:textId="77777777" w:rsidR="002E096F" w:rsidRPr="002E096F" w:rsidRDefault="002E096F" w:rsidP="002E096F">
            <w:pPr>
              <w:spacing w:line="276" w:lineRule="auto"/>
              <w:jc w:val="both"/>
              <w:rPr>
                <w:rFonts w:ascii="Cambria" w:hAnsi="Cambria"/>
                <w:sz w:val="20"/>
                <w:szCs w:val="20"/>
              </w:rPr>
            </w:pPr>
            <w:r w:rsidRPr="002E096F">
              <w:rPr>
                <w:rFonts w:ascii="Cambria" w:hAnsi="Cambria"/>
                <w:sz w:val="20"/>
                <w:szCs w:val="20"/>
              </w:rPr>
              <w:t>Currently, key information documents are distributed in a document-format, which may still be unattractive for savers. We agree with the analysis of the Consultation Paper that:</w:t>
            </w:r>
          </w:p>
          <w:p w14:paraId="2C9FBD85" w14:textId="77777777" w:rsidR="002E096F" w:rsidRPr="002E096F" w:rsidRDefault="002E096F" w:rsidP="002E096F">
            <w:pPr>
              <w:spacing w:line="276" w:lineRule="auto"/>
              <w:ind w:left="567" w:right="567"/>
              <w:jc w:val="both"/>
              <w:rPr>
                <w:rFonts w:ascii="Cambria" w:hAnsi="Cambria"/>
                <w:sz w:val="20"/>
                <w:szCs w:val="20"/>
              </w:rPr>
            </w:pPr>
            <w:r w:rsidRPr="002E096F">
              <w:rPr>
                <w:rFonts w:ascii="Cambria" w:hAnsi="Cambria"/>
                <w:sz w:val="20"/>
                <w:szCs w:val="20"/>
              </w:rPr>
              <w:t>“</w:t>
            </w:r>
            <w:r w:rsidRPr="002E096F">
              <w:rPr>
                <w:rFonts w:ascii="Cambria" w:hAnsi="Cambria"/>
                <w:i/>
                <w:iCs/>
                <w:sz w:val="20"/>
                <w:szCs w:val="20"/>
                <w:highlight w:val="lightGray"/>
              </w:rPr>
              <w:t>the PEPP Regulation thereby explicitly permit fully digital disclosure and distribution regime, including automated investment advice without any human intervention, which can support significant gains in cost-efficiency</w:t>
            </w:r>
            <w:r w:rsidRPr="002E096F">
              <w:rPr>
                <w:rFonts w:ascii="Cambria" w:hAnsi="Cambria"/>
                <w:sz w:val="20"/>
                <w:szCs w:val="20"/>
              </w:rPr>
              <w:t>”.</w:t>
            </w:r>
          </w:p>
          <w:p w14:paraId="073671FC" w14:textId="77777777" w:rsidR="002E096F" w:rsidRPr="002E096F" w:rsidRDefault="002E096F" w:rsidP="002E096F">
            <w:pPr>
              <w:spacing w:after="120" w:line="276" w:lineRule="auto"/>
              <w:jc w:val="both"/>
              <w:rPr>
                <w:rFonts w:ascii="Cambria" w:hAnsi="Cambria"/>
                <w:sz w:val="20"/>
                <w:szCs w:val="20"/>
              </w:rPr>
            </w:pPr>
            <w:r w:rsidRPr="002E096F">
              <w:rPr>
                <w:rFonts w:ascii="Cambria" w:hAnsi="Cambria"/>
                <w:sz w:val="20"/>
                <w:szCs w:val="20"/>
              </w:rPr>
              <w:t xml:space="preserve">BETTER FINANCE wishes to highlight the extensive evidence gathered from the </w:t>
            </w:r>
            <w:r w:rsidRPr="002E096F">
              <w:rPr>
                <w:rFonts w:ascii="Cambria" w:hAnsi="Cambria"/>
                <w:i/>
                <w:iCs/>
                <w:sz w:val="20"/>
                <w:szCs w:val="20"/>
              </w:rPr>
              <w:t>Robo-advice papers</w:t>
            </w:r>
            <w:r w:rsidRPr="002E096F">
              <w:rPr>
                <w:rFonts w:ascii="Cambria" w:hAnsi="Cambria"/>
                <w:sz w:val="20"/>
                <w:szCs w:val="20"/>
              </w:rPr>
              <w:t xml:space="preserve"> in which we analyse the conditions and divergences in algorithms from start-ups and small automated or semi-automated investment advice platforms. This recurring research activity on </w:t>
            </w:r>
            <w:proofErr w:type="spellStart"/>
            <w:r w:rsidRPr="002E096F">
              <w:rPr>
                <w:rFonts w:ascii="Cambria" w:hAnsi="Cambria"/>
                <w:sz w:val="20"/>
                <w:szCs w:val="20"/>
              </w:rPr>
              <w:t>robo</w:t>
            </w:r>
            <w:proofErr w:type="spellEnd"/>
            <w:r w:rsidRPr="002E096F">
              <w:rPr>
                <w:rFonts w:ascii="Cambria" w:hAnsi="Cambria"/>
                <w:sz w:val="20"/>
                <w:szCs w:val="20"/>
              </w:rPr>
              <w:t>-advisors confirms for several years in a row that, while for some providers of such services it may not be clear whether the platforms fully comply with the suitability and personalisation requirements of MiFID II framework, the market is mature enough in order to take on this task. In particular, we refer to the already established platforms of large asset managers, which are an important addition to the smaller and newer “start-ups” providing robot-advice and execution.</w:t>
            </w:r>
          </w:p>
          <w:p w14:paraId="4EBF7BC8" w14:textId="77777777" w:rsidR="002E096F" w:rsidRPr="002E096F" w:rsidRDefault="002E096F" w:rsidP="002E096F">
            <w:pPr>
              <w:spacing w:line="276" w:lineRule="auto"/>
              <w:jc w:val="both"/>
              <w:rPr>
                <w:rFonts w:ascii="Cambria" w:hAnsi="Cambria" w:cstheme="minorHAnsi"/>
                <w:sz w:val="20"/>
                <w:szCs w:val="20"/>
              </w:rPr>
            </w:pPr>
            <w:r w:rsidRPr="002E096F">
              <w:rPr>
                <w:rFonts w:ascii="Cambria" w:hAnsi="Cambria" w:cstheme="minorHAnsi"/>
                <w:sz w:val="20"/>
                <w:szCs w:val="20"/>
              </w:rPr>
              <w:t>As the target clients for the PEPP will be the younger generations first, the demand for digital and online distribution may be higher and may therefore be an incentive for them to consider investing in a PEPP. Younger customers are likely to favour conducting business in this manner in and especially on cross-border situations.</w:t>
            </w:r>
          </w:p>
          <w:p w14:paraId="22FC7A14" w14:textId="77777777" w:rsidR="002E096F" w:rsidRPr="002E096F" w:rsidRDefault="002E096F" w:rsidP="002E096F">
            <w:pPr>
              <w:pStyle w:val="CEABullet-Level1"/>
              <w:numPr>
                <w:ilvl w:val="0"/>
                <w:numId w:val="0"/>
              </w:numPr>
              <w:spacing w:after="120" w:line="276" w:lineRule="auto"/>
              <w:rPr>
                <w:rFonts w:ascii="Cambria" w:eastAsiaTheme="minorHAnsi" w:hAnsi="Cambria" w:cstheme="minorBidi"/>
                <w:color w:val="auto"/>
                <w:sz w:val="20"/>
              </w:rPr>
            </w:pPr>
            <w:r w:rsidRPr="002E096F">
              <w:rPr>
                <w:rFonts w:ascii="Cambria" w:eastAsiaTheme="minorHAnsi" w:hAnsi="Cambria" w:cstheme="minorBidi"/>
                <w:color w:val="auto"/>
                <w:sz w:val="20"/>
              </w:rPr>
              <w:t xml:space="preserve">Therefore, </w:t>
            </w:r>
            <w:r w:rsidRPr="002E096F">
              <w:rPr>
                <w:rFonts w:ascii="Cambria" w:eastAsiaTheme="minorHAnsi" w:hAnsi="Cambria" w:cstheme="minorBidi"/>
                <w:b/>
                <w:bCs/>
                <w:color w:val="0070C0"/>
                <w:sz w:val="20"/>
              </w:rPr>
              <w:t>online distribution of PEPP is possible</w:t>
            </w:r>
            <w:r w:rsidRPr="002E096F">
              <w:rPr>
                <w:rFonts w:ascii="Cambria" w:eastAsiaTheme="minorHAnsi" w:hAnsi="Cambria" w:cstheme="minorBidi"/>
                <w:color w:val="auto"/>
                <w:sz w:val="20"/>
              </w:rPr>
              <w:t>, and already a standard practice in several European markets depending on local rules and customs. However, online distribution of PEPP will indeed need to consider the mandatory duty of advice applicable to the Basic PEPP as required by the PEPP regulation.</w:t>
            </w:r>
          </w:p>
          <w:p w14:paraId="4AE4239D" w14:textId="77777777" w:rsidR="002E096F" w:rsidRPr="002E096F" w:rsidRDefault="002E096F" w:rsidP="002E096F">
            <w:pPr>
              <w:spacing w:line="276" w:lineRule="auto"/>
              <w:jc w:val="both"/>
              <w:rPr>
                <w:rFonts w:ascii="Cambria" w:eastAsiaTheme="minorHAnsi" w:hAnsi="Cambria" w:cstheme="minorHAnsi"/>
                <w:bCs/>
                <w:sz w:val="20"/>
                <w:szCs w:val="20"/>
              </w:rPr>
            </w:pPr>
            <w:r w:rsidRPr="002E096F">
              <w:rPr>
                <w:rFonts w:ascii="Cambria" w:hAnsi="Cambria" w:cstheme="minorHAnsi"/>
                <w:bCs/>
                <w:sz w:val="20"/>
                <w:szCs w:val="20"/>
              </w:rPr>
              <w:t>We reiterate the findings of the 2019 Robo-advice report</w:t>
            </w:r>
            <w:r w:rsidRPr="002E096F">
              <w:rPr>
                <w:rStyle w:val="FootnoteReference"/>
                <w:rFonts w:ascii="Cambria" w:hAnsi="Cambria" w:cstheme="minorHAnsi"/>
                <w:bCs/>
                <w:sz w:val="20"/>
                <w:szCs w:val="20"/>
              </w:rPr>
              <w:footnoteReference w:id="47"/>
            </w:r>
            <w:r w:rsidRPr="002E096F">
              <w:rPr>
                <w:rFonts w:ascii="Cambria" w:hAnsi="Cambria" w:cstheme="minorHAnsi"/>
                <w:bCs/>
                <w:sz w:val="20"/>
                <w:szCs w:val="20"/>
              </w:rPr>
              <w:t xml:space="preserve"> in this sense:</w:t>
            </w:r>
          </w:p>
          <w:p w14:paraId="2D37096A" w14:textId="77777777" w:rsidR="002E096F" w:rsidRPr="002E096F" w:rsidRDefault="002E096F" w:rsidP="002E096F">
            <w:pPr>
              <w:spacing w:line="276" w:lineRule="auto"/>
              <w:ind w:left="567" w:right="567"/>
              <w:jc w:val="both"/>
              <w:rPr>
                <w:rFonts w:asciiTheme="minorHAnsi" w:hAnsiTheme="minorHAnsi" w:cstheme="minorHAnsi"/>
                <w:i/>
                <w:iCs/>
                <w:sz w:val="20"/>
                <w:szCs w:val="20"/>
                <w:lang w:eastAsia="nl-BE"/>
              </w:rPr>
            </w:pPr>
            <w:r w:rsidRPr="002E096F">
              <w:rPr>
                <w:rFonts w:ascii="Cambria" w:hAnsi="Cambria" w:cstheme="minorHAnsi"/>
                <w:sz w:val="20"/>
                <w:szCs w:val="20"/>
                <w:lang w:eastAsia="nl-BE"/>
              </w:rPr>
              <w:t>“</w:t>
            </w:r>
            <w:r w:rsidRPr="002E096F">
              <w:rPr>
                <w:rFonts w:ascii="Cambria" w:hAnsi="Cambria" w:cstheme="minorHAnsi"/>
                <w:i/>
                <w:iCs/>
                <w:sz w:val="20"/>
                <w:szCs w:val="20"/>
                <w:highlight w:val="lightGray"/>
                <w:lang w:eastAsia="nl-BE"/>
              </w:rPr>
              <w:t>Considering the low quality and suitability of some algorithms assessed in this report and the increasing use of Artificial Intelligence in our the society, in particular in the financial sector, we believe that legislators should propose a legislative framework that ensure that Automated-Decision Making (ADM) systems as Robo-advisors are accountable, transparent and fair for EU citizens. The algorithms of Robo-advisors need to be developed on criteria that comply with the legislation (MiFID II) with regards to the investment advice process, in order to ensure a harmonised, minimum level of quality</w:t>
            </w:r>
            <w:r w:rsidRPr="002E096F">
              <w:rPr>
                <w:rFonts w:cstheme="minorHAnsi"/>
                <w:i/>
                <w:iCs/>
                <w:sz w:val="20"/>
                <w:szCs w:val="20"/>
                <w:highlight w:val="lightGray"/>
                <w:lang w:eastAsia="nl-BE"/>
              </w:rPr>
              <w:t>.</w:t>
            </w:r>
            <w:r w:rsidRPr="002E096F">
              <w:rPr>
                <w:rFonts w:cstheme="minorHAnsi"/>
                <w:i/>
                <w:iCs/>
                <w:sz w:val="20"/>
                <w:szCs w:val="20"/>
                <w:lang w:eastAsia="nl-BE"/>
              </w:rPr>
              <w:t>”</w:t>
            </w:r>
          </w:p>
          <w:p w14:paraId="7CF58942" w14:textId="2FCEDB7E" w:rsidR="005A05A0" w:rsidRPr="001163FF" w:rsidRDefault="002E096F" w:rsidP="001163FF">
            <w:pPr>
              <w:spacing w:line="276" w:lineRule="auto"/>
              <w:ind w:right="567"/>
              <w:jc w:val="both"/>
              <w:rPr>
                <w:rFonts w:ascii="Cambria" w:hAnsi="Cambria" w:cstheme="minorHAnsi"/>
                <w:sz w:val="20"/>
                <w:szCs w:val="20"/>
                <w:lang w:eastAsia="nl-BE"/>
              </w:rPr>
            </w:pPr>
            <w:r w:rsidRPr="002E096F">
              <w:rPr>
                <w:rFonts w:ascii="Cambria" w:hAnsi="Cambria" w:cstheme="minorHAnsi"/>
                <w:sz w:val="20"/>
                <w:szCs w:val="20"/>
                <w:lang w:eastAsia="nl-BE"/>
              </w:rPr>
              <w:t xml:space="preserve">BETTER FINANCE has developed a mock digitally enabled PEPP KID, available here: </w:t>
            </w:r>
            <w:hyperlink r:id="rId18" w:history="1">
              <w:r w:rsidRPr="002E096F">
                <w:rPr>
                  <w:rStyle w:val="Hyperlink"/>
                  <w:rFonts w:ascii="Cambria" w:hAnsi="Cambria" w:cstheme="minorHAnsi"/>
                  <w:sz w:val="20"/>
                  <w:szCs w:val="20"/>
                  <w:lang w:eastAsia="nl-BE"/>
                </w:rPr>
                <w:t>http://betterfinance.eu/pepp-kid-mock-up-proposal/</w:t>
              </w:r>
            </w:hyperlink>
            <w:r w:rsidRPr="002E096F">
              <w:rPr>
                <w:rFonts w:ascii="Cambria" w:hAnsi="Cambria" w:cstheme="minorHAnsi"/>
                <w:sz w:val="20"/>
                <w:szCs w:val="20"/>
                <w:lang w:eastAsia="nl-BE"/>
              </w:rPr>
              <w:t xml:space="preserve">. </w:t>
            </w:r>
          </w:p>
        </w:tc>
        <w:tc>
          <w:tcPr>
            <w:tcW w:w="3739" w:type="dxa"/>
          </w:tcPr>
          <w:p w14:paraId="729FB40A" w14:textId="599CA41D" w:rsidR="005A05A0" w:rsidRDefault="005A05A0" w:rsidP="005A05A0">
            <w:pPr>
              <w:spacing w:before="120"/>
              <w:rPr>
                <w:rFonts w:ascii="Verdana" w:hAnsi="Verdana"/>
                <w:bCs/>
                <w:sz w:val="20"/>
                <w:szCs w:val="20"/>
              </w:rPr>
            </w:pPr>
          </w:p>
        </w:tc>
      </w:tr>
      <w:tr w:rsidR="00C26AE2" w:rsidRPr="00544A26" w14:paraId="467D6952" w14:textId="77777777" w:rsidTr="00AD328A">
        <w:tblPrEx>
          <w:tblLook w:val="00A0" w:firstRow="1" w:lastRow="0" w:firstColumn="1" w:lastColumn="0" w:noHBand="0" w:noVBand="0"/>
        </w:tblPrEx>
        <w:trPr>
          <w:trHeight w:val="432"/>
        </w:trPr>
        <w:tc>
          <w:tcPr>
            <w:tcW w:w="947" w:type="dxa"/>
          </w:tcPr>
          <w:p w14:paraId="1A218A08" w14:textId="77777777" w:rsidR="005A05A0" w:rsidRPr="00E51970" w:rsidRDefault="005A05A0" w:rsidP="005A05A0">
            <w:pPr>
              <w:numPr>
                <w:ilvl w:val="0"/>
                <w:numId w:val="6"/>
              </w:numPr>
              <w:spacing w:before="120"/>
              <w:jc w:val="both"/>
              <w:rPr>
                <w:rFonts w:ascii="Verdana" w:hAnsi="Verdana"/>
                <w:b/>
                <w:bCs/>
                <w:sz w:val="20"/>
                <w:szCs w:val="20"/>
              </w:rPr>
            </w:pPr>
          </w:p>
        </w:tc>
        <w:tc>
          <w:tcPr>
            <w:tcW w:w="1302" w:type="dxa"/>
            <w:gridSpan w:val="2"/>
            <w:tcBorders>
              <w:top w:val="single" w:sz="4" w:space="0" w:color="auto"/>
              <w:left w:val="single" w:sz="4" w:space="0" w:color="auto"/>
              <w:bottom w:val="single" w:sz="4" w:space="0" w:color="auto"/>
              <w:right w:val="single" w:sz="4" w:space="0" w:color="auto"/>
            </w:tcBorders>
          </w:tcPr>
          <w:p w14:paraId="3294DC18" w14:textId="77777777" w:rsidR="003B314D" w:rsidRDefault="003B314D" w:rsidP="003B314D">
            <w:pPr>
              <w:spacing w:before="120"/>
              <w:rPr>
                <w:rFonts w:ascii="Verdana" w:hAnsi="Verdana"/>
                <w:bCs/>
                <w:sz w:val="20"/>
                <w:szCs w:val="20"/>
              </w:rPr>
            </w:pPr>
            <w:r>
              <w:rPr>
                <w:rFonts w:ascii="Verdana" w:hAnsi="Verdana"/>
                <w:bCs/>
                <w:sz w:val="20"/>
                <w:szCs w:val="20"/>
              </w:rPr>
              <w:t>BETTER FINANCE</w:t>
            </w:r>
          </w:p>
          <w:p w14:paraId="13B9217C" w14:textId="13CC5067" w:rsidR="005A05A0" w:rsidRDefault="003B314D" w:rsidP="003B314D">
            <w:pPr>
              <w:spacing w:before="120"/>
              <w:rPr>
                <w:rFonts w:ascii="Verdana" w:hAnsi="Verdana"/>
                <w:bCs/>
                <w:sz w:val="20"/>
                <w:szCs w:val="20"/>
              </w:rPr>
            </w:pPr>
            <w:r>
              <w:rPr>
                <w:rFonts w:ascii="Verdana" w:hAnsi="Verdana"/>
                <w:bCs/>
                <w:sz w:val="20"/>
                <w:szCs w:val="20"/>
              </w:rPr>
              <w:t>Belgium</w:t>
            </w:r>
          </w:p>
        </w:tc>
        <w:tc>
          <w:tcPr>
            <w:tcW w:w="3275" w:type="dxa"/>
            <w:tcBorders>
              <w:top w:val="single" w:sz="4" w:space="0" w:color="auto"/>
              <w:left w:val="single" w:sz="4" w:space="0" w:color="auto"/>
              <w:bottom w:val="single" w:sz="4" w:space="0" w:color="auto"/>
              <w:right w:val="single" w:sz="4" w:space="0" w:color="auto"/>
            </w:tcBorders>
          </w:tcPr>
          <w:p w14:paraId="40465DF3" w14:textId="3E47860F" w:rsidR="005A05A0" w:rsidRDefault="003546FC" w:rsidP="005A05A0">
            <w:pPr>
              <w:spacing w:before="120"/>
              <w:rPr>
                <w:rFonts w:ascii="Verdana" w:hAnsi="Verdana"/>
                <w:bCs/>
                <w:sz w:val="20"/>
                <w:szCs w:val="20"/>
              </w:rPr>
            </w:pPr>
            <w:r>
              <w:rPr>
                <w:rFonts w:ascii="Verdana" w:hAnsi="Verdana"/>
                <w:bCs/>
                <w:sz w:val="20"/>
                <w:szCs w:val="20"/>
              </w:rPr>
              <w:t>General comment</w:t>
            </w:r>
          </w:p>
        </w:tc>
        <w:tc>
          <w:tcPr>
            <w:tcW w:w="5294" w:type="dxa"/>
            <w:tcBorders>
              <w:top w:val="single" w:sz="4" w:space="0" w:color="auto"/>
              <w:left w:val="single" w:sz="4" w:space="0" w:color="auto"/>
              <w:bottom w:val="single" w:sz="4" w:space="0" w:color="auto"/>
              <w:right w:val="single" w:sz="4" w:space="0" w:color="auto"/>
            </w:tcBorders>
          </w:tcPr>
          <w:p w14:paraId="23175933" w14:textId="77777777" w:rsidR="003546FC" w:rsidRPr="003546FC" w:rsidRDefault="003546FC" w:rsidP="003546FC">
            <w:pPr>
              <w:spacing w:after="120" w:line="276" w:lineRule="auto"/>
              <w:jc w:val="both"/>
              <w:rPr>
                <w:rFonts w:ascii="Cambria" w:hAnsi="Cambria"/>
                <w:color w:val="000000" w:themeColor="text1"/>
                <w:sz w:val="20"/>
                <w:szCs w:val="20"/>
                <w:lang w:eastAsia="en-US"/>
              </w:rPr>
            </w:pPr>
            <w:r w:rsidRPr="003546FC">
              <w:rPr>
                <w:rFonts w:ascii="Cambria" w:hAnsi="Cambria"/>
                <w:color w:val="000000" w:themeColor="text1"/>
                <w:sz w:val="20"/>
                <w:szCs w:val="20"/>
              </w:rPr>
              <w:t>BETTER FINANCE welcomes the excellent and concise exposé of EIOPA on the current challenges and trends in the occupational and private retirement savings market in Europe. We believe that EIOPA managed to adequately capture inefficiencies of the current retirement provision systems, which set up the proper premise for discussion.</w:t>
            </w:r>
          </w:p>
          <w:p w14:paraId="51C5B9E4" w14:textId="77777777" w:rsidR="003546FC" w:rsidRPr="003546FC" w:rsidRDefault="003546FC" w:rsidP="003546FC">
            <w:pPr>
              <w:spacing w:line="276" w:lineRule="auto"/>
              <w:jc w:val="both"/>
              <w:rPr>
                <w:rFonts w:ascii="Cambria" w:hAnsi="Cambria"/>
                <w:color w:val="000000" w:themeColor="text1"/>
                <w:sz w:val="20"/>
                <w:szCs w:val="20"/>
              </w:rPr>
            </w:pPr>
            <w:r w:rsidRPr="003546FC">
              <w:rPr>
                <w:rFonts w:ascii="Cambria" w:hAnsi="Cambria"/>
                <w:color w:val="000000" w:themeColor="text1"/>
                <w:sz w:val="20"/>
                <w:szCs w:val="20"/>
              </w:rPr>
              <w:t>In particular, BETTER FINANCE is very happy to see that EIOPA acknowledged:</w:t>
            </w:r>
          </w:p>
          <w:p w14:paraId="29793ACB" w14:textId="77777777" w:rsidR="003546FC" w:rsidRPr="003546FC" w:rsidRDefault="003546FC" w:rsidP="007C358E">
            <w:pPr>
              <w:pStyle w:val="ListParagraph"/>
              <w:numPr>
                <w:ilvl w:val="0"/>
                <w:numId w:val="10"/>
              </w:numPr>
              <w:spacing w:after="160" w:line="276" w:lineRule="auto"/>
              <w:contextualSpacing/>
              <w:jc w:val="both"/>
              <w:rPr>
                <w:rFonts w:ascii="Cambria" w:hAnsi="Cambria"/>
                <w:color w:val="000000" w:themeColor="text1"/>
                <w:sz w:val="20"/>
                <w:szCs w:val="20"/>
              </w:rPr>
            </w:pPr>
            <w:r w:rsidRPr="003546FC">
              <w:rPr>
                <w:rFonts w:ascii="Cambria" w:hAnsi="Cambria"/>
                <w:color w:val="000000" w:themeColor="text1"/>
                <w:sz w:val="20"/>
                <w:szCs w:val="20"/>
              </w:rPr>
              <w:t>the shift from Defined-Benefit (DB) to Defined-Contribution (DC) pension plans, in particular unit-linked products;</w:t>
            </w:r>
          </w:p>
          <w:p w14:paraId="2AD144DB" w14:textId="77777777" w:rsidR="003546FC" w:rsidRPr="003546FC" w:rsidRDefault="003546FC" w:rsidP="007C358E">
            <w:pPr>
              <w:pStyle w:val="ListParagraph"/>
              <w:numPr>
                <w:ilvl w:val="0"/>
                <w:numId w:val="10"/>
              </w:numPr>
              <w:spacing w:after="160" w:line="276" w:lineRule="auto"/>
              <w:contextualSpacing/>
              <w:jc w:val="both"/>
              <w:rPr>
                <w:rFonts w:ascii="Cambria" w:hAnsi="Cambria"/>
                <w:color w:val="000000" w:themeColor="text1"/>
                <w:sz w:val="20"/>
                <w:szCs w:val="20"/>
              </w:rPr>
            </w:pPr>
            <w:r w:rsidRPr="003546FC">
              <w:rPr>
                <w:rFonts w:ascii="Cambria" w:hAnsi="Cambria"/>
                <w:color w:val="000000" w:themeColor="text1"/>
                <w:sz w:val="20"/>
                <w:szCs w:val="20"/>
              </w:rPr>
              <w:t>that savers are passive, unaware or procrastinate with regard to the necessity to save for pension;</w:t>
            </w:r>
          </w:p>
          <w:p w14:paraId="394B477F" w14:textId="77777777" w:rsidR="003546FC" w:rsidRPr="003546FC" w:rsidRDefault="003546FC" w:rsidP="007C358E">
            <w:pPr>
              <w:pStyle w:val="ListParagraph"/>
              <w:numPr>
                <w:ilvl w:val="0"/>
                <w:numId w:val="10"/>
              </w:numPr>
              <w:spacing w:after="160" w:line="276" w:lineRule="auto"/>
              <w:contextualSpacing/>
              <w:jc w:val="both"/>
              <w:rPr>
                <w:rFonts w:ascii="Cambria" w:hAnsi="Cambria"/>
                <w:color w:val="000000" w:themeColor="text1"/>
                <w:sz w:val="20"/>
                <w:szCs w:val="20"/>
              </w:rPr>
            </w:pPr>
            <w:r w:rsidRPr="003546FC">
              <w:rPr>
                <w:rFonts w:ascii="Cambria" w:hAnsi="Cambria"/>
                <w:color w:val="000000" w:themeColor="text1"/>
                <w:sz w:val="20"/>
                <w:szCs w:val="20"/>
              </w:rPr>
              <w:t xml:space="preserve">that savers do not take into account the risk of outliving one’s savings; and, finally, </w:t>
            </w:r>
          </w:p>
          <w:p w14:paraId="1802A6FC" w14:textId="77777777" w:rsidR="003546FC" w:rsidRPr="003546FC" w:rsidRDefault="003546FC" w:rsidP="007C358E">
            <w:pPr>
              <w:pStyle w:val="ListParagraph"/>
              <w:numPr>
                <w:ilvl w:val="0"/>
                <w:numId w:val="10"/>
              </w:numPr>
              <w:spacing w:after="120" w:line="276" w:lineRule="auto"/>
              <w:contextualSpacing/>
              <w:jc w:val="both"/>
              <w:rPr>
                <w:rFonts w:ascii="Cambria" w:hAnsi="Cambria"/>
                <w:color w:val="000000" w:themeColor="text1"/>
                <w:sz w:val="20"/>
                <w:szCs w:val="20"/>
              </w:rPr>
            </w:pPr>
            <w:r w:rsidRPr="003546FC">
              <w:rPr>
                <w:rFonts w:ascii="Cambria" w:hAnsi="Cambria"/>
                <w:color w:val="000000" w:themeColor="text1"/>
                <w:sz w:val="20"/>
                <w:szCs w:val="20"/>
              </w:rPr>
              <w:t>that the PEPP must be a simple, cost-efficient and profitable product.</w:t>
            </w:r>
          </w:p>
          <w:p w14:paraId="38CCCED7" w14:textId="77777777" w:rsidR="003546FC" w:rsidRPr="003546FC" w:rsidRDefault="003546FC" w:rsidP="003546FC">
            <w:pPr>
              <w:spacing w:after="120" w:line="276" w:lineRule="auto"/>
              <w:jc w:val="both"/>
              <w:rPr>
                <w:rFonts w:ascii="Cambria" w:hAnsi="Cambria"/>
                <w:color w:val="000000" w:themeColor="text1"/>
                <w:sz w:val="20"/>
                <w:szCs w:val="20"/>
              </w:rPr>
            </w:pPr>
            <w:r w:rsidRPr="003546FC">
              <w:rPr>
                <w:rFonts w:ascii="Cambria" w:hAnsi="Cambria"/>
                <w:color w:val="000000" w:themeColor="text1"/>
                <w:sz w:val="20"/>
                <w:szCs w:val="20"/>
              </w:rPr>
              <w:t>Although we feel that circumstantiation in certain areas identified by EIOPA is still needed, and that some other important factors may have been overseen, our view is that the discussion starts well and it seems to be headed in the right direction.</w:t>
            </w:r>
          </w:p>
          <w:p w14:paraId="2427D7E9" w14:textId="77777777" w:rsidR="003546FC" w:rsidRPr="003546FC" w:rsidRDefault="003546FC" w:rsidP="003546FC">
            <w:pPr>
              <w:spacing w:line="276" w:lineRule="auto"/>
              <w:jc w:val="both"/>
              <w:rPr>
                <w:rFonts w:ascii="Cambria" w:hAnsi="Cambria"/>
                <w:color w:val="000000" w:themeColor="text1"/>
                <w:sz w:val="20"/>
                <w:szCs w:val="20"/>
              </w:rPr>
            </w:pPr>
            <w:r w:rsidRPr="003546FC">
              <w:rPr>
                <w:rFonts w:ascii="Cambria" w:hAnsi="Cambria"/>
                <w:color w:val="000000" w:themeColor="text1"/>
                <w:sz w:val="20"/>
                <w:szCs w:val="20"/>
              </w:rPr>
              <w:t>However, the process of developing the Regulatory Technical Standards (RTS) must keep up with the good start and must always bear in mind:</w:t>
            </w:r>
          </w:p>
          <w:p w14:paraId="2792DC43" w14:textId="77777777" w:rsidR="003546FC" w:rsidRPr="003546FC" w:rsidRDefault="003546FC" w:rsidP="007C358E">
            <w:pPr>
              <w:pStyle w:val="ListParagraph"/>
              <w:numPr>
                <w:ilvl w:val="0"/>
                <w:numId w:val="11"/>
              </w:numPr>
              <w:spacing w:after="160" w:line="276" w:lineRule="auto"/>
              <w:contextualSpacing/>
              <w:jc w:val="both"/>
              <w:rPr>
                <w:rFonts w:ascii="Cambria" w:hAnsi="Cambria"/>
                <w:color w:val="000000" w:themeColor="text1"/>
                <w:sz w:val="20"/>
                <w:szCs w:val="20"/>
              </w:rPr>
            </w:pPr>
            <w:r w:rsidRPr="003546FC">
              <w:rPr>
                <w:rFonts w:ascii="Cambria" w:hAnsi="Cambria"/>
                <w:color w:val="000000" w:themeColor="text1"/>
                <w:sz w:val="20"/>
                <w:szCs w:val="20"/>
              </w:rPr>
              <w:t>the context in which the PEPP appeared;</w:t>
            </w:r>
          </w:p>
          <w:p w14:paraId="4818CF48" w14:textId="77777777" w:rsidR="003546FC" w:rsidRPr="003546FC" w:rsidRDefault="003546FC" w:rsidP="007C358E">
            <w:pPr>
              <w:pStyle w:val="ListParagraph"/>
              <w:numPr>
                <w:ilvl w:val="0"/>
                <w:numId w:val="11"/>
              </w:numPr>
              <w:spacing w:after="160" w:line="276" w:lineRule="auto"/>
              <w:contextualSpacing/>
              <w:jc w:val="both"/>
              <w:rPr>
                <w:rFonts w:ascii="Cambria" w:hAnsi="Cambria"/>
                <w:color w:val="000000" w:themeColor="text1"/>
                <w:sz w:val="20"/>
                <w:szCs w:val="20"/>
              </w:rPr>
            </w:pPr>
            <w:r w:rsidRPr="003546FC">
              <w:rPr>
                <w:rFonts w:ascii="Cambria" w:hAnsi="Cambria"/>
                <w:color w:val="000000" w:themeColor="text1"/>
                <w:sz w:val="20"/>
                <w:szCs w:val="20"/>
              </w:rPr>
              <w:t>the desired purpose and results of the PEPP.</w:t>
            </w:r>
          </w:p>
          <w:p w14:paraId="7AD4C7EE" w14:textId="77777777" w:rsidR="003546FC" w:rsidRPr="003546FC" w:rsidRDefault="003546FC" w:rsidP="003546FC">
            <w:pPr>
              <w:spacing w:after="120" w:line="276" w:lineRule="auto"/>
              <w:jc w:val="both"/>
              <w:rPr>
                <w:rFonts w:ascii="Cambria" w:hAnsi="Cambria"/>
                <w:color w:val="000000" w:themeColor="text1"/>
                <w:sz w:val="20"/>
                <w:szCs w:val="20"/>
              </w:rPr>
            </w:pPr>
            <w:r w:rsidRPr="003546FC">
              <w:rPr>
                <w:rFonts w:ascii="Cambria" w:hAnsi="Cambria"/>
                <w:color w:val="000000" w:themeColor="text1"/>
                <w:sz w:val="20"/>
                <w:szCs w:val="20"/>
              </w:rPr>
              <w:t>It is also very important for policy makers, and for EIOPA as well, to understand that PEPP will not be the silver bullet in addressing the pensions gap and “time bomb”, nor will it be for restoring trust in capital markets and increasing financial literacy.</w:t>
            </w:r>
          </w:p>
          <w:p w14:paraId="5007004D" w14:textId="77777777" w:rsidR="003546FC" w:rsidRPr="003546FC" w:rsidRDefault="003546FC" w:rsidP="003546FC">
            <w:pPr>
              <w:spacing w:after="120" w:line="276" w:lineRule="auto"/>
              <w:jc w:val="both"/>
              <w:rPr>
                <w:rFonts w:ascii="Cambria" w:hAnsi="Cambria"/>
                <w:color w:val="000000" w:themeColor="text1"/>
                <w:sz w:val="20"/>
                <w:szCs w:val="20"/>
              </w:rPr>
            </w:pPr>
            <w:r w:rsidRPr="003546FC">
              <w:rPr>
                <w:rFonts w:ascii="Cambria" w:hAnsi="Cambria"/>
                <w:color w:val="000000" w:themeColor="text1"/>
                <w:sz w:val="20"/>
                <w:szCs w:val="20"/>
              </w:rPr>
              <w:t>EIOPA notes that the PEPP – through transparency, standardisation, benchmarking etc. – is the solution “[t]</w:t>
            </w:r>
            <w:r w:rsidRPr="003546FC">
              <w:rPr>
                <w:rFonts w:ascii="Cambria" w:hAnsi="Cambria"/>
                <w:i/>
                <w:iCs/>
                <w:color w:val="000000" w:themeColor="text1"/>
                <w:sz w:val="20"/>
                <w:szCs w:val="20"/>
              </w:rPr>
              <w:t>o overcome consumer’s behavioural tendencies, such as procrastination, loss aversion or simplistic &lt;&lt;rules of thumb&gt;&gt;</w:t>
            </w:r>
            <w:r w:rsidRPr="003546FC">
              <w:rPr>
                <w:rFonts w:ascii="Cambria" w:hAnsi="Cambria"/>
                <w:color w:val="000000" w:themeColor="text1"/>
                <w:sz w:val="20"/>
                <w:szCs w:val="20"/>
              </w:rPr>
              <w:t>”. However, these behavioural tendencies stem from two interlinked factors:</w:t>
            </w:r>
          </w:p>
          <w:p w14:paraId="37A37A24" w14:textId="77777777" w:rsidR="003546FC" w:rsidRPr="003546FC" w:rsidRDefault="003546FC" w:rsidP="007C358E">
            <w:pPr>
              <w:pStyle w:val="ListParagraph"/>
              <w:numPr>
                <w:ilvl w:val="0"/>
                <w:numId w:val="12"/>
              </w:numPr>
              <w:spacing w:after="120" w:line="276" w:lineRule="auto"/>
              <w:contextualSpacing/>
              <w:jc w:val="both"/>
              <w:rPr>
                <w:rFonts w:ascii="Cambria" w:hAnsi="Cambria"/>
                <w:color w:val="000000" w:themeColor="text1"/>
                <w:sz w:val="20"/>
                <w:szCs w:val="20"/>
              </w:rPr>
            </w:pPr>
            <w:r w:rsidRPr="003546FC">
              <w:rPr>
                <w:rFonts w:ascii="Cambria" w:hAnsi="Cambria"/>
                <w:color w:val="000000" w:themeColor="text1"/>
                <w:sz w:val="20"/>
                <w:szCs w:val="20"/>
              </w:rPr>
              <w:t>first, a general low level of financial literacy and education among the adult population in the EU;</w:t>
            </w:r>
            <w:r w:rsidRPr="003546FC">
              <w:rPr>
                <w:rStyle w:val="FootnoteReference"/>
                <w:rFonts w:ascii="Cambria" w:hAnsi="Cambria"/>
                <w:color w:val="000000" w:themeColor="text1"/>
                <w:sz w:val="20"/>
                <w:szCs w:val="20"/>
              </w:rPr>
              <w:footnoteReference w:id="48"/>
            </w:r>
            <w:r w:rsidRPr="003546FC">
              <w:rPr>
                <w:rFonts w:ascii="Cambria" w:hAnsi="Cambria"/>
                <w:color w:val="000000" w:themeColor="text1"/>
                <w:sz w:val="20"/>
                <w:szCs w:val="20"/>
              </w:rPr>
              <w:t xml:space="preserve"> and</w:t>
            </w:r>
          </w:p>
          <w:p w14:paraId="15918DB3" w14:textId="77777777" w:rsidR="003546FC" w:rsidRPr="003546FC" w:rsidRDefault="003546FC" w:rsidP="007C358E">
            <w:pPr>
              <w:pStyle w:val="ListParagraph"/>
              <w:numPr>
                <w:ilvl w:val="0"/>
                <w:numId w:val="12"/>
              </w:numPr>
              <w:spacing w:after="120" w:line="276" w:lineRule="auto"/>
              <w:contextualSpacing/>
              <w:jc w:val="both"/>
              <w:rPr>
                <w:rFonts w:ascii="Cambria" w:hAnsi="Cambria"/>
                <w:color w:val="000000" w:themeColor="text1"/>
                <w:sz w:val="20"/>
                <w:szCs w:val="20"/>
              </w:rPr>
            </w:pPr>
            <w:r w:rsidRPr="003546FC">
              <w:rPr>
                <w:rFonts w:ascii="Cambria" w:hAnsi="Cambria"/>
                <w:color w:val="000000" w:themeColor="text1"/>
                <w:sz w:val="20"/>
                <w:szCs w:val="20"/>
              </w:rPr>
              <w:t>second, complexity and opacity of personal pension products, and complexity and jargon that characterises the vast majority of information communicated to non-professional investors.</w:t>
            </w:r>
          </w:p>
          <w:p w14:paraId="0BF5BE9C" w14:textId="77777777" w:rsidR="003546FC" w:rsidRPr="003546FC" w:rsidRDefault="003546FC" w:rsidP="003546FC">
            <w:pPr>
              <w:spacing w:line="276" w:lineRule="auto"/>
              <w:jc w:val="both"/>
              <w:rPr>
                <w:rFonts w:ascii="Cambria" w:hAnsi="Cambria"/>
                <w:color w:val="000000" w:themeColor="text1"/>
                <w:sz w:val="20"/>
                <w:szCs w:val="20"/>
              </w:rPr>
            </w:pPr>
            <w:r w:rsidRPr="003546FC">
              <w:rPr>
                <w:rFonts w:ascii="Cambria" w:hAnsi="Cambria"/>
                <w:color w:val="000000" w:themeColor="text1"/>
                <w:sz w:val="20"/>
                <w:szCs w:val="20"/>
              </w:rPr>
              <w:t xml:space="preserve">Financial education is fundamental for proper investment choices as the main imbalance – and lacking feature of efficient and frictionless markets – is </w:t>
            </w:r>
            <w:r w:rsidRPr="003546FC">
              <w:rPr>
                <w:rFonts w:ascii="Cambria" w:hAnsi="Cambria"/>
                <w:i/>
                <w:iCs/>
                <w:color w:val="000000" w:themeColor="text1"/>
                <w:sz w:val="20"/>
                <w:szCs w:val="20"/>
              </w:rPr>
              <w:t>information asymmetry</w:t>
            </w:r>
            <w:r w:rsidRPr="003546FC">
              <w:rPr>
                <w:rFonts w:ascii="Cambria" w:hAnsi="Cambria"/>
                <w:color w:val="000000" w:themeColor="text1"/>
                <w:sz w:val="20"/>
                <w:szCs w:val="20"/>
              </w:rPr>
              <w:t>, in these cases the very basics of finance and investments. Increasing financial literacy and savers’ ability to make financial judgments by themselves – thus reducing “blind trust” in investment advice - should be a primary and long-term priority for policy makers at national and EU level, including EIOPA. However, for the PEPP this is an adjacent purpose. While we believe that behavioural patterns cannot be corrected through the PEPP only, the product and its information documents are key instruments for:</w:t>
            </w:r>
          </w:p>
          <w:p w14:paraId="6D9E0B16" w14:textId="77777777" w:rsidR="003546FC" w:rsidRPr="003546FC" w:rsidRDefault="003546FC" w:rsidP="007C358E">
            <w:pPr>
              <w:pStyle w:val="ListParagraph"/>
              <w:numPr>
                <w:ilvl w:val="0"/>
                <w:numId w:val="13"/>
              </w:numPr>
              <w:spacing w:after="120" w:line="276" w:lineRule="auto"/>
              <w:contextualSpacing/>
              <w:jc w:val="both"/>
              <w:rPr>
                <w:rFonts w:ascii="Cambria" w:hAnsi="Cambria"/>
                <w:color w:val="000000" w:themeColor="text1"/>
                <w:sz w:val="20"/>
                <w:szCs w:val="20"/>
              </w:rPr>
            </w:pPr>
            <w:r w:rsidRPr="003546FC">
              <w:rPr>
                <w:rFonts w:ascii="Cambria" w:hAnsi="Cambria"/>
                <w:color w:val="000000" w:themeColor="text1"/>
                <w:sz w:val="20"/>
                <w:szCs w:val="20"/>
              </w:rPr>
              <w:t>drawing attention and visualising the effects of certain product or market characteristics, such as the long-term effect of costs or of inflation; and</w:t>
            </w:r>
          </w:p>
          <w:p w14:paraId="631C2F78" w14:textId="77777777" w:rsidR="003546FC" w:rsidRPr="003546FC" w:rsidRDefault="003546FC" w:rsidP="007C358E">
            <w:pPr>
              <w:pStyle w:val="ListParagraph"/>
              <w:numPr>
                <w:ilvl w:val="0"/>
                <w:numId w:val="13"/>
              </w:numPr>
              <w:spacing w:after="120" w:line="276" w:lineRule="auto"/>
              <w:contextualSpacing/>
              <w:jc w:val="both"/>
              <w:rPr>
                <w:rFonts w:ascii="Cambria" w:hAnsi="Cambria"/>
                <w:color w:val="000000" w:themeColor="text1"/>
                <w:sz w:val="20"/>
                <w:szCs w:val="20"/>
              </w:rPr>
            </w:pPr>
            <w:r w:rsidRPr="003546FC">
              <w:rPr>
                <w:rFonts w:ascii="Cambria" w:hAnsi="Cambria"/>
                <w:color w:val="000000" w:themeColor="text1"/>
                <w:sz w:val="20"/>
                <w:szCs w:val="20"/>
              </w:rPr>
              <w:t>restoring trust and incentives to reorient capital from low- or negative yielding products to more performing choices.</w:t>
            </w:r>
          </w:p>
          <w:p w14:paraId="4B55FEC3" w14:textId="77777777" w:rsidR="003546FC" w:rsidRPr="003546FC" w:rsidRDefault="003546FC" w:rsidP="003546FC">
            <w:pPr>
              <w:spacing w:after="120" w:line="276" w:lineRule="auto"/>
              <w:jc w:val="both"/>
              <w:rPr>
                <w:rFonts w:ascii="Cambria" w:hAnsi="Cambria"/>
                <w:color w:val="000000" w:themeColor="text1"/>
                <w:sz w:val="20"/>
                <w:szCs w:val="20"/>
              </w:rPr>
            </w:pPr>
            <w:r w:rsidRPr="003546FC">
              <w:rPr>
                <w:rFonts w:ascii="Cambria" w:hAnsi="Cambria"/>
                <w:color w:val="000000" w:themeColor="text1"/>
                <w:sz w:val="20"/>
                <w:szCs w:val="20"/>
              </w:rPr>
              <w:t>In fact, EIOPA mentions in the Consultation Paper</w:t>
            </w:r>
            <w:r w:rsidRPr="003546FC">
              <w:rPr>
                <w:rStyle w:val="FootnoteReference"/>
                <w:rFonts w:ascii="Cambria" w:hAnsi="Cambria"/>
                <w:color w:val="000000" w:themeColor="text1"/>
                <w:sz w:val="20"/>
                <w:szCs w:val="20"/>
              </w:rPr>
              <w:footnoteReference w:id="49"/>
            </w:r>
            <w:r w:rsidRPr="003546FC">
              <w:rPr>
                <w:rFonts w:ascii="Cambria" w:hAnsi="Cambria"/>
                <w:color w:val="000000" w:themeColor="text1"/>
                <w:sz w:val="20"/>
                <w:szCs w:val="20"/>
              </w:rPr>
              <w:t xml:space="preserve"> </w:t>
            </w:r>
          </w:p>
          <w:p w14:paraId="3D1B5575" w14:textId="77777777" w:rsidR="003546FC" w:rsidRPr="003546FC" w:rsidRDefault="003546FC" w:rsidP="003546FC">
            <w:pPr>
              <w:spacing w:after="120" w:line="276" w:lineRule="auto"/>
              <w:ind w:left="567" w:right="567"/>
              <w:jc w:val="both"/>
              <w:rPr>
                <w:rFonts w:asciiTheme="majorHAnsi" w:hAnsiTheme="majorHAnsi" w:cstheme="majorHAnsi"/>
                <w:i/>
                <w:iCs/>
                <w:color w:val="000000" w:themeColor="text1"/>
                <w:sz w:val="20"/>
                <w:szCs w:val="20"/>
              </w:rPr>
            </w:pPr>
            <w:r w:rsidRPr="003546FC">
              <w:rPr>
                <w:rFonts w:asciiTheme="majorHAnsi" w:hAnsiTheme="majorHAnsi" w:cstheme="majorHAnsi"/>
                <w:i/>
                <w:iCs/>
                <w:color w:val="000000" w:themeColor="text1"/>
                <w:sz w:val="20"/>
                <w:szCs w:val="20"/>
                <w:highlight w:val="lightGray"/>
              </w:rPr>
              <w:t>How much challenging is it for an individual to understand the effects of inflation and the risk of outliving one’s savings</w:t>
            </w:r>
            <w:r w:rsidRPr="003546FC">
              <w:rPr>
                <w:rFonts w:ascii="Cambria" w:hAnsi="Cambria"/>
                <w:color w:val="000000" w:themeColor="text1"/>
                <w:sz w:val="20"/>
                <w:szCs w:val="20"/>
              </w:rPr>
              <w:t xml:space="preserve"> […] </w:t>
            </w:r>
            <w:r w:rsidRPr="003546FC">
              <w:rPr>
                <w:rFonts w:asciiTheme="majorHAnsi" w:hAnsiTheme="majorHAnsi" w:cstheme="majorHAnsi"/>
                <w:i/>
                <w:iCs/>
                <w:color w:val="000000" w:themeColor="text1"/>
                <w:sz w:val="20"/>
                <w:szCs w:val="20"/>
                <w:highlight w:val="lightGray"/>
              </w:rPr>
              <w:t>which are the two main exposures a pension solution has to tackle?</w:t>
            </w:r>
          </w:p>
          <w:p w14:paraId="5CAA4271" w14:textId="77777777" w:rsidR="003546FC" w:rsidRPr="003546FC" w:rsidRDefault="003546FC" w:rsidP="003546FC">
            <w:pPr>
              <w:spacing w:after="120" w:line="276" w:lineRule="auto"/>
              <w:jc w:val="both"/>
              <w:rPr>
                <w:rFonts w:ascii="Cambria" w:hAnsi="Cambria" w:cstheme="majorHAnsi"/>
                <w:color w:val="000000" w:themeColor="text1"/>
                <w:sz w:val="20"/>
                <w:szCs w:val="20"/>
              </w:rPr>
            </w:pPr>
            <w:r w:rsidRPr="003546FC">
              <w:rPr>
                <w:rFonts w:ascii="Cambria" w:hAnsi="Cambria" w:cstheme="majorHAnsi"/>
                <w:color w:val="000000" w:themeColor="text1"/>
                <w:sz w:val="20"/>
                <w:szCs w:val="20"/>
              </w:rPr>
              <w:t>However, until informational asymmetry and bargaining power is addressed through independent financial education and advice resulting in higher financial literacy, the PEPP – as EIOPA correctly noted – has “</w:t>
            </w:r>
            <w:r w:rsidRPr="003546FC">
              <w:rPr>
                <w:rFonts w:ascii="Cambria" w:hAnsi="Cambria" w:cstheme="majorHAnsi"/>
                <w:i/>
                <w:iCs/>
                <w:color w:val="000000" w:themeColor="text1"/>
                <w:sz w:val="20"/>
                <w:szCs w:val="20"/>
              </w:rPr>
              <w:t>an obligation to deliver on the inherent promise to consumers</w:t>
            </w:r>
            <w:r w:rsidRPr="003546FC">
              <w:rPr>
                <w:rFonts w:ascii="Cambria" w:hAnsi="Cambria" w:cstheme="majorHAnsi"/>
                <w:color w:val="000000" w:themeColor="text1"/>
                <w:sz w:val="20"/>
                <w:szCs w:val="20"/>
              </w:rPr>
              <w:t>”.</w:t>
            </w:r>
            <w:r w:rsidRPr="003546FC">
              <w:rPr>
                <w:rFonts w:ascii="Cambria" w:hAnsi="Cambria" w:cstheme="majorHAnsi"/>
                <w:i/>
                <w:iCs/>
                <w:color w:val="000000" w:themeColor="text1"/>
                <w:sz w:val="20"/>
                <w:szCs w:val="20"/>
              </w:rPr>
              <w:t xml:space="preserve"> </w:t>
            </w:r>
            <w:r w:rsidRPr="003546FC">
              <w:rPr>
                <w:rFonts w:ascii="Cambria" w:hAnsi="Cambria" w:cstheme="majorHAnsi"/>
                <w:color w:val="000000" w:themeColor="text1"/>
                <w:sz w:val="20"/>
                <w:szCs w:val="20"/>
              </w:rPr>
              <w:t>To deliver on that promise, the PEPP must:</w:t>
            </w:r>
          </w:p>
          <w:p w14:paraId="0AC3DA32" w14:textId="77777777" w:rsidR="003546FC" w:rsidRPr="003546FC" w:rsidRDefault="003546FC" w:rsidP="007C358E">
            <w:pPr>
              <w:pStyle w:val="ListParagraph"/>
              <w:numPr>
                <w:ilvl w:val="0"/>
                <w:numId w:val="14"/>
              </w:numPr>
              <w:spacing w:after="120" w:line="276" w:lineRule="auto"/>
              <w:contextualSpacing/>
              <w:jc w:val="both"/>
              <w:rPr>
                <w:rFonts w:ascii="Cambria" w:hAnsi="Cambria" w:cstheme="minorBidi"/>
                <w:color w:val="000000" w:themeColor="text1"/>
                <w:sz w:val="20"/>
                <w:szCs w:val="20"/>
              </w:rPr>
            </w:pPr>
            <w:r w:rsidRPr="003546FC">
              <w:rPr>
                <w:rFonts w:ascii="Cambria" w:hAnsi="Cambria" w:cstheme="majorHAnsi"/>
                <w:b/>
                <w:bCs/>
                <w:color w:val="0070C0"/>
                <w:sz w:val="20"/>
                <w:szCs w:val="20"/>
              </w:rPr>
              <w:t>be different</w:t>
            </w:r>
            <w:r w:rsidRPr="003546FC">
              <w:rPr>
                <w:rFonts w:ascii="Cambria" w:hAnsi="Cambria" w:cstheme="majorHAnsi"/>
                <w:color w:val="000000" w:themeColor="text1"/>
                <w:sz w:val="20"/>
                <w:szCs w:val="20"/>
              </w:rPr>
              <w:t>: there is a whole market for pillar III (or II, sometimes) retirement provision vehicles; there is another whole market for investment products that can be used for retirement;</w:t>
            </w:r>
          </w:p>
          <w:p w14:paraId="16966E48" w14:textId="77777777" w:rsidR="003546FC" w:rsidRPr="003546FC" w:rsidRDefault="003546FC" w:rsidP="007C358E">
            <w:pPr>
              <w:pStyle w:val="ListParagraph"/>
              <w:numPr>
                <w:ilvl w:val="0"/>
                <w:numId w:val="14"/>
              </w:numPr>
              <w:spacing w:after="120" w:line="276" w:lineRule="auto"/>
              <w:contextualSpacing/>
              <w:jc w:val="both"/>
              <w:rPr>
                <w:rFonts w:ascii="Cambria" w:hAnsi="Cambria"/>
                <w:color w:val="000000" w:themeColor="text1"/>
                <w:sz w:val="20"/>
                <w:szCs w:val="20"/>
              </w:rPr>
            </w:pPr>
            <w:r w:rsidRPr="003546FC">
              <w:rPr>
                <w:rFonts w:ascii="Cambria" w:hAnsi="Cambria" w:cstheme="majorHAnsi"/>
                <w:b/>
                <w:bCs/>
                <w:color w:val="0070C0"/>
                <w:sz w:val="20"/>
                <w:szCs w:val="20"/>
              </w:rPr>
              <w:t>be simple</w:t>
            </w:r>
            <w:r w:rsidRPr="003546FC">
              <w:rPr>
                <w:rFonts w:ascii="Cambria" w:hAnsi="Cambria" w:cstheme="majorHAnsi"/>
                <w:color w:val="000000" w:themeColor="text1"/>
                <w:sz w:val="20"/>
                <w:szCs w:val="20"/>
              </w:rPr>
              <w:t>(r): from information documents to product characteristics, the savers should be able to understand the PEPP;</w:t>
            </w:r>
          </w:p>
          <w:p w14:paraId="241189E3" w14:textId="77777777" w:rsidR="003546FC" w:rsidRPr="003546FC" w:rsidRDefault="003546FC" w:rsidP="007C358E">
            <w:pPr>
              <w:pStyle w:val="ListParagraph"/>
              <w:numPr>
                <w:ilvl w:val="0"/>
                <w:numId w:val="14"/>
              </w:numPr>
              <w:spacing w:after="120" w:line="276" w:lineRule="auto"/>
              <w:contextualSpacing/>
              <w:jc w:val="both"/>
              <w:rPr>
                <w:rFonts w:ascii="Cambria" w:hAnsi="Cambria"/>
                <w:color w:val="000000" w:themeColor="text1"/>
                <w:sz w:val="20"/>
                <w:szCs w:val="20"/>
              </w:rPr>
            </w:pPr>
            <w:r w:rsidRPr="003546FC">
              <w:rPr>
                <w:rFonts w:ascii="Cambria" w:hAnsi="Cambria"/>
                <w:b/>
                <w:bCs/>
                <w:color w:val="0070C0"/>
                <w:sz w:val="20"/>
                <w:szCs w:val="20"/>
              </w:rPr>
              <w:t>be trustworthy</w:t>
            </w:r>
            <w:r w:rsidRPr="003546FC">
              <w:rPr>
                <w:rFonts w:ascii="Cambria" w:hAnsi="Cambria"/>
                <w:color w:val="000000" w:themeColor="text1"/>
                <w:sz w:val="20"/>
                <w:szCs w:val="20"/>
              </w:rPr>
              <w:t xml:space="preserve">: savers must believe that the PEPP will alleviate the risk of poverty at retirement; </w:t>
            </w:r>
          </w:p>
          <w:p w14:paraId="4FE3991D" w14:textId="77777777" w:rsidR="003546FC" w:rsidRPr="003546FC" w:rsidRDefault="003546FC" w:rsidP="007C358E">
            <w:pPr>
              <w:pStyle w:val="ListParagraph"/>
              <w:numPr>
                <w:ilvl w:val="0"/>
                <w:numId w:val="14"/>
              </w:numPr>
              <w:spacing w:after="120" w:line="276" w:lineRule="auto"/>
              <w:contextualSpacing/>
              <w:jc w:val="both"/>
              <w:rPr>
                <w:rFonts w:ascii="Cambria" w:hAnsi="Cambria"/>
                <w:color w:val="000000" w:themeColor="text1"/>
                <w:sz w:val="20"/>
                <w:szCs w:val="20"/>
              </w:rPr>
            </w:pPr>
            <w:r w:rsidRPr="003546FC">
              <w:rPr>
                <w:rFonts w:ascii="Cambria" w:hAnsi="Cambria"/>
                <w:b/>
                <w:bCs/>
                <w:color w:val="0070C0"/>
                <w:sz w:val="20"/>
                <w:szCs w:val="20"/>
              </w:rPr>
              <w:t>be comparable</w:t>
            </w:r>
            <w:r w:rsidRPr="003546FC">
              <w:rPr>
                <w:rFonts w:ascii="Cambria" w:hAnsi="Cambria"/>
                <w:color w:val="000000" w:themeColor="text1"/>
                <w:sz w:val="20"/>
                <w:szCs w:val="20"/>
              </w:rPr>
              <w:t>: other pension products, including the IORP, should be easily comparable for the saver;</w:t>
            </w:r>
          </w:p>
          <w:p w14:paraId="6975CA98" w14:textId="77777777" w:rsidR="003546FC" w:rsidRPr="003546FC" w:rsidRDefault="003546FC" w:rsidP="007C358E">
            <w:pPr>
              <w:pStyle w:val="ListParagraph"/>
              <w:numPr>
                <w:ilvl w:val="0"/>
                <w:numId w:val="14"/>
              </w:numPr>
              <w:spacing w:after="120" w:line="276" w:lineRule="auto"/>
              <w:contextualSpacing/>
              <w:jc w:val="both"/>
              <w:rPr>
                <w:rFonts w:ascii="Cambria" w:hAnsi="Cambria"/>
                <w:color w:val="000000" w:themeColor="text1"/>
                <w:sz w:val="20"/>
                <w:szCs w:val="20"/>
              </w:rPr>
            </w:pPr>
            <w:r w:rsidRPr="003546FC">
              <w:rPr>
                <w:rFonts w:ascii="Cambria" w:hAnsi="Cambria" w:cstheme="majorHAnsi"/>
                <w:b/>
                <w:bCs/>
                <w:color w:val="0070C0"/>
                <w:sz w:val="20"/>
                <w:szCs w:val="20"/>
              </w:rPr>
              <w:t>be efficient</w:t>
            </w:r>
            <w:r w:rsidRPr="003546FC">
              <w:rPr>
                <w:rFonts w:ascii="Cambria" w:hAnsi="Cambria" w:cstheme="majorHAnsi"/>
                <w:color w:val="000000" w:themeColor="text1"/>
                <w:sz w:val="20"/>
                <w:szCs w:val="20"/>
              </w:rPr>
              <w:t>: the costs and risk mitigation techniques should deliver an optimal results for pension savers, and the investment options should allow for investing in simple securities, such as shares and bonds.</w:t>
            </w:r>
          </w:p>
          <w:p w14:paraId="66EA19FC" w14:textId="77777777" w:rsidR="003546FC" w:rsidRPr="003546FC" w:rsidRDefault="003546FC" w:rsidP="007C358E">
            <w:pPr>
              <w:pStyle w:val="ListParagraph"/>
              <w:numPr>
                <w:ilvl w:val="0"/>
                <w:numId w:val="14"/>
              </w:numPr>
              <w:spacing w:after="120" w:line="276" w:lineRule="auto"/>
              <w:contextualSpacing/>
              <w:jc w:val="both"/>
              <w:rPr>
                <w:rFonts w:ascii="Cambria" w:hAnsi="Cambria"/>
                <w:color w:val="000000" w:themeColor="text1"/>
                <w:sz w:val="20"/>
                <w:szCs w:val="20"/>
              </w:rPr>
            </w:pPr>
            <w:r w:rsidRPr="003546FC">
              <w:rPr>
                <w:rFonts w:ascii="Cambria" w:hAnsi="Cambria" w:cstheme="majorHAnsi"/>
                <w:b/>
                <w:bCs/>
                <w:color w:val="0070C0"/>
                <w:sz w:val="20"/>
                <w:szCs w:val="20"/>
              </w:rPr>
              <w:t>be tax efficient</w:t>
            </w:r>
            <w:r w:rsidRPr="003546FC">
              <w:rPr>
                <w:rFonts w:ascii="Cambria" w:hAnsi="Cambria" w:cstheme="majorHAnsi"/>
                <w:color w:val="000000" w:themeColor="text1"/>
                <w:sz w:val="20"/>
                <w:szCs w:val="20"/>
              </w:rPr>
              <w:t>: uniform rules on taxation, preferably through incentives, should have been agreed for the PEPP.</w:t>
            </w:r>
          </w:p>
          <w:p w14:paraId="3DF3C08C" w14:textId="77777777" w:rsidR="003546FC" w:rsidRPr="003546FC" w:rsidRDefault="003546FC" w:rsidP="003546FC">
            <w:pPr>
              <w:spacing w:after="120" w:line="276" w:lineRule="auto"/>
              <w:jc w:val="both"/>
              <w:rPr>
                <w:rFonts w:ascii="Cambria" w:hAnsi="Cambria" w:cstheme="majorHAnsi"/>
                <w:color w:val="000000" w:themeColor="text1"/>
                <w:sz w:val="20"/>
                <w:szCs w:val="20"/>
              </w:rPr>
            </w:pPr>
            <w:r w:rsidRPr="003546FC">
              <w:rPr>
                <w:rFonts w:ascii="Cambria" w:hAnsi="Cambria" w:cstheme="majorHAnsi"/>
                <w:color w:val="000000" w:themeColor="text1"/>
                <w:sz w:val="20"/>
                <w:szCs w:val="20"/>
              </w:rPr>
              <w:t>Unfortunately, some of these key characteristics of the PEPP have already been compromised at Level 1, such as the misleading “capital guarantee”</w:t>
            </w:r>
            <w:r w:rsidRPr="003546FC">
              <w:rPr>
                <w:rStyle w:val="FootnoteReference"/>
                <w:rFonts w:ascii="Cambria" w:hAnsi="Cambria" w:cstheme="majorHAnsi"/>
                <w:color w:val="000000" w:themeColor="text1"/>
                <w:sz w:val="20"/>
                <w:szCs w:val="20"/>
              </w:rPr>
              <w:footnoteReference w:id="50"/>
            </w:r>
            <w:r w:rsidRPr="003546FC">
              <w:rPr>
                <w:rFonts w:ascii="Cambria" w:hAnsi="Cambria" w:cstheme="majorHAnsi"/>
                <w:color w:val="000000" w:themeColor="text1"/>
                <w:sz w:val="20"/>
                <w:szCs w:val="20"/>
              </w:rPr>
              <w:t xml:space="preserve"> or the possibility to construct a simple portfolio based on plain vanilla shares or bonds as an alternative investment option.</w:t>
            </w:r>
          </w:p>
          <w:p w14:paraId="4B2E9932" w14:textId="77777777" w:rsidR="003546FC" w:rsidRPr="003546FC" w:rsidRDefault="003546FC" w:rsidP="003546FC">
            <w:pPr>
              <w:rPr>
                <w:sz w:val="20"/>
                <w:szCs w:val="20"/>
                <w:lang w:eastAsia="en-GB"/>
              </w:rPr>
            </w:pPr>
            <w:r w:rsidRPr="003546FC">
              <w:rPr>
                <w:rFonts w:ascii="Cambria" w:hAnsi="Cambria" w:cstheme="majorHAnsi"/>
                <w:color w:val="000000" w:themeColor="text1"/>
                <w:sz w:val="20"/>
                <w:szCs w:val="20"/>
              </w:rPr>
              <w:t>Happily, some other key features can be achieved through these Level 2 RTS prepared by EIOPA. For this reason, BETTER FINANCE welcomes the EIOPA proposals and this public consultation. As a bottom line, inflation, costs, risks and sustainability of investments are fundamental to a rational pension savings decision. More information can be found in BETTER FINANCE’s PEPP Position Paper</w:t>
            </w:r>
            <w:r w:rsidRPr="003546FC">
              <w:rPr>
                <w:rStyle w:val="FootnoteReference"/>
                <w:rFonts w:ascii="Cambria" w:hAnsi="Cambria" w:cstheme="majorHAnsi"/>
                <w:color w:val="000000" w:themeColor="text1"/>
                <w:sz w:val="20"/>
                <w:szCs w:val="20"/>
              </w:rPr>
              <w:footnoteReference w:id="51"/>
            </w:r>
            <w:r w:rsidRPr="003546FC">
              <w:rPr>
                <w:rFonts w:ascii="Cambria" w:hAnsi="Cambria" w:cstheme="majorHAnsi"/>
                <w:color w:val="000000" w:themeColor="text1"/>
                <w:sz w:val="20"/>
                <w:szCs w:val="20"/>
              </w:rPr>
              <w:t xml:space="preserve"> or on our dedicated </w:t>
            </w:r>
            <w:hyperlink r:id="rId19" w:history="1">
              <w:r w:rsidRPr="003546FC">
                <w:rPr>
                  <w:rStyle w:val="Hyperlink"/>
                  <w:rFonts w:ascii="Cambria" w:hAnsi="Cambria" w:cstheme="majorHAnsi"/>
                  <w:sz w:val="20"/>
                  <w:szCs w:val="20"/>
                </w:rPr>
                <w:t>webpage</w:t>
              </w:r>
            </w:hyperlink>
            <w:r w:rsidRPr="003546FC">
              <w:rPr>
                <w:rFonts w:ascii="Cambria" w:hAnsi="Cambria" w:cstheme="majorHAnsi"/>
                <w:color w:val="000000" w:themeColor="text1"/>
                <w:sz w:val="20"/>
                <w:szCs w:val="20"/>
              </w:rPr>
              <w:t>.</w:t>
            </w:r>
            <w:r w:rsidRPr="003546FC">
              <w:rPr>
                <w:rStyle w:val="FootnoteReference"/>
                <w:rFonts w:ascii="Cambria" w:hAnsi="Cambria" w:cstheme="majorHAnsi"/>
                <w:color w:val="000000" w:themeColor="text1"/>
                <w:sz w:val="20"/>
                <w:szCs w:val="20"/>
              </w:rPr>
              <w:footnoteReference w:id="52"/>
            </w:r>
            <w:r w:rsidRPr="003546FC">
              <w:rPr>
                <w:rFonts w:ascii="Cambria" w:hAnsi="Cambria" w:cstheme="majorHAnsi"/>
                <w:color w:val="000000" w:themeColor="text1"/>
                <w:sz w:val="20"/>
                <w:szCs w:val="20"/>
              </w:rPr>
              <w:t xml:space="preserve"> Our main positions, expressed herein and in the Position Paper, are further substantiated in the PEPP Technical Working Document.</w:t>
            </w:r>
            <w:r w:rsidRPr="003546FC">
              <w:rPr>
                <w:rStyle w:val="FootnoteReference"/>
                <w:rFonts w:ascii="Cambria" w:hAnsi="Cambria" w:cstheme="majorHAnsi"/>
                <w:color w:val="000000" w:themeColor="text1"/>
                <w:sz w:val="20"/>
                <w:szCs w:val="20"/>
              </w:rPr>
              <w:footnoteReference w:id="53"/>
            </w:r>
            <w:r w:rsidRPr="003546FC">
              <w:rPr>
                <w:sz w:val="20"/>
                <w:szCs w:val="20"/>
                <w:lang w:eastAsia="en-GB"/>
              </w:rPr>
              <w:t xml:space="preserve"> </w:t>
            </w:r>
          </w:p>
          <w:p w14:paraId="668F0D30" w14:textId="1A6B3FCB" w:rsidR="005A05A0" w:rsidRPr="003546FC" w:rsidRDefault="005A05A0" w:rsidP="005A05A0">
            <w:pPr>
              <w:jc w:val="both"/>
              <w:rPr>
                <w:rFonts w:ascii="Verdana" w:hAnsi="Verdana"/>
                <w:bCs/>
                <w:sz w:val="20"/>
                <w:szCs w:val="20"/>
              </w:rPr>
            </w:pPr>
          </w:p>
        </w:tc>
        <w:tc>
          <w:tcPr>
            <w:tcW w:w="3739" w:type="dxa"/>
          </w:tcPr>
          <w:p w14:paraId="18F9E972" w14:textId="6950CA45" w:rsidR="005A05A0" w:rsidRDefault="005A05A0" w:rsidP="005A05A0">
            <w:pPr>
              <w:spacing w:before="120"/>
              <w:rPr>
                <w:rFonts w:ascii="Verdana" w:hAnsi="Verdana"/>
                <w:bCs/>
                <w:sz w:val="20"/>
                <w:szCs w:val="20"/>
              </w:rPr>
            </w:pPr>
          </w:p>
        </w:tc>
      </w:tr>
      <w:tr w:rsidR="00C26AE2" w:rsidRPr="00544A26" w14:paraId="3B931FB5" w14:textId="77777777" w:rsidTr="00AD328A">
        <w:tblPrEx>
          <w:tblLook w:val="00A0" w:firstRow="1" w:lastRow="0" w:firstColumn="1" w:lastColumn="0" w:noHBand="0" w:noVBand="0"/>
        </w:tblPrEx>
        <w:trPr>
          <w:trHeight w:val="432"/>
        </w:trPr>
        <w:tc>
          <w:tcPr>
            <w:tcW w:w="947" w:type="dxa"/>
          </w:tcPr>
          <w:p w14:paraId="75AC6281" w14:textId="77777777" w:rsidR="005A05A0" w:rsidRPr="00E51970" w:rsidRDefault="005A05A0" w:rsidP="005A05A0">
            <w:pPr>
              <w:numPr>
                <w:ilvl w:val="0"/>
                <w:numId w:val="6"/>
              </w:numPr>
              <w:spacing w:before="120"/>
              <w:jc w:val="both"/>
              <w:rPr>
                <w:rFonts w:ascii="Verdana" w:hAnsi="Verdana"/>
                <w:b/>
                <w:bCs/>
                <w:sz w:val="20"/>
                <w:szCs w:val="20"/>
              </w:rPr>
            </w:pPr>
          </w:p>
        </w:tc>
        <w:tc>
          <w:tcPr>
            <w:tcW w:w="1302" w:type="dxa"/>
            <w:gridSpan w:val="2"/>
            <w:tcBorders>
              <w:top w:val="single" w:sz="4" w:space="0" w:color="auto"/>
              <w:left w:val="single" w:sz="4" w:space="0" w:color="auto"/>
              <w:bottom w:val="single" w:sz="4" w:space="0" w:color="auto"/>
              <w:right w:val="single" w:sz="4" w:space="0" w:color="auto"/>
            </w:tcBorders>
          </w:tcPr>
          <w:p w14:paraId="20352C74" w14:textId="77777777" w:rsidR="003B314D" w:rsidRDefault="003B314D" w:rsidP="003B314D">
            <w:pPr>
              <w:spacing w:before="120"/>
              <w:rPr>
                <w:rFonts w:ascii="Verdana" w:hAnsi="Verdana"/>
                <w:bCs/>
                <w:sz w:val="20"/>
                <w:szCs w:val="20"/>
              </w:rPr>
            </w:pPr>
            <w:r>
              <w:rPr>
                <w:rFonts w:ascii="Verdana" w:hAnsi="Verdana"/>
                <w:bCs/>
                <w:sz w:val="20"/>
                <w:szCs w:val="20"/>
              </w:rPr>
              <w:t>BETTER FINANCE</w:t>
            </w:r>
          </w:p>
          <w:p w14:paraId="714BE818" w14:textId="32F717FD" w:rsidR="005A05A0" w:rsidRDefault="003B314D" w:rsidP="003B314D">
            <w:pPr>
              <w:spacing w:before="120"/>
              <w:rPr>
                <w:rFonts w:ascii="Verdana" w:hAnsi="Verdana"/>
                <w:bCs/>
                <w:sz w:val="20"/>
                <w:szCs w:val="20"/>
              </w:rPr>
            </w:pPr>
            <w:r>
              <w:rPr>
                <w:rFonts w:ascii="Verdana" w:hAnsi="Verdana"/>
                <w:bCs/>
                <w:sz w:val="20"/>
                <w:szCs w:val="20"/>
              </w:rPr>
              <w:t>Belgium</w:t>
            </w:r>
          </w:p>
        </w:tc>
        <w:tc>
          <w:tcPr>
            <w:tcW w:w="3275" w:type="dxa"/>
            <w:tcBorders>
              <w:top w:val="single" w:sz="4" w:space="0" w:color="auto"/>
              <w:left w:val="single" w:sz="4" w:space="0" w:color="auto"/>
              <w:bottom w:val="single" w:sz="4" w:space="0" w:color="auto"/>
              <w:right w:val="single" w:sz="4" w:space="0" w:color="auto"/>
            </w:tcBorders>
          </w:tcPr>
          <w:p w14:paraId="0813DD07" w14:textId="0C697AA7" w:rsidR="005A05A0" w:rsidRDefault="004A4F90" w:rsidP="005A05A0">
            <w:pPr>
              <w:spacing w:before="120"/>
              <w:rPr>
                <w:rFonts w:ascii="Verdana" w:hAnsi="Verdana"/>
                <w:bCs/>
                <w:sz w:val="20"/>
                <w:szCs w:val="20"/>
              </w:rPr>
            </w:pPr>
            <w:r w:rsidRPr="004A4F90">
              <w:rPr>
                <w:rFonts w:ascii="Verdana" w:hAnsi="Verdana"/>
                <w:bCs/>
                <w:sz w:val="20"/>
                <w:szCs w:val="20"/>
              </w:rPr>
              <w:t xml:space="preserve">Additional </w:t>
            </w:r>
            <w:r>
              <w:rPr>
                <w:rFonts w:ascii="Verdana" w:hAnsi="Verdana"/>
                <w:bCs/>
                <w:sz w:val="20"/>
                <w:szCs w:val="20"/>
              </w:rPr>
              <w:t xml:space="preserve">comment </w:t>
            </w:r>
            <w:r w:rsidRPr="004A4F90">
              <w:rPr>
                <w:rFonts w:ascii="Verdana" w:hAnsi="Verdana"/>
                <w:bCs/>
                <w:sz w:val="20"/>
                <w:szCs w:val="20"/>
              </w:rPr>
              <w:t>1: Investment rules</w:t>
            </w:r>
          </w:p>
        </w:tc>
        <w:tc>
          <w:tcPr>
            <w:tcW w:w="5294" w:type="dxa"/>
            <w:tcBorders>
              <w:top w:val="single" w:sz="4" w:space="0" w:color="auto"/>
              <w:left w:val="single" w:sz="4" w:space="0" w:color="auto"/>
              <w:bottom w:val="single" w:sz="4" w:space="0" w:color="auto"/>
              <w:right w:val="single" w:sz="4" w:space="0" w:color="auto"/>
            </w:tcBorders>
          </w:tcPr>
          <w:p w14:paraId="1792F717" w14:textId="77777777" w:rsidR="004A4F90" w:rsidRPr="004A4F90" w:rsidRDefault="004A4F90" w:rsidP="004A4F90">
            <w:pPr>
              <w:spacing w:line="276" w:lineRule="auto"/>
              <w:jc w:val="both"/>
              <w:rPr>
                <w:rFonts w:ascii="Cambria" w:hAnsi="Cambria"/>
                <w:sz w:val="20"/>
                <w:szCs w:val="20"/>
              </w:rPr>
            </w:pPr>
            <w:r w:rsidRPr="004A4F90">
              <w:rPr>
                <w:rFonts w:ascii="Cambria" w:hAnsi="Cambria"/>
                <w:sz w:val="20"/>
                <w:szCs w:val="20"/>
              </w:rPr>
              <w:t>BETTER FINANCE would like to point out that, as part of the CMU Action Plan, EU citizens need to be brought closer to capital markets and need to be allowed to invest in simple, plain vanilla transferable securities, such as equities or bonds.</w:t>
            </w:r>
          </w:p>
          <w:p w14:paraId="7C1DEB8B" w14:textId="77777777" w:rsidR="004A4F90" w:rsidRPr="004A4F90" w:rsidRDefault="004A4F90" w:rsidP="004A4F90">
            <w:pPr>
              <w:spacing w:line="276" w:lineRule="auto"/>
              <w:jc w:val="both"/>
              <w:rPr>
                <w:rFonts w:ascii="Cambria" w:hAnsi="Cambria"/>
                <w:sz w:val="20"/>
                <w:szCs w:val="20"/>
              </w:rPr>
            </w:pPr>
            <w:r w:rsidRPr="004A4F90">
              <w:rPr>
                <w:rFonts w:ascii="Cambria" w:hAnsi="Cambria"/>
                <w:sz w:val="20"/>
                <w:szCs w:val="20"/>
              </w:rPr>
              <w:t>Although the Level 1 Regulation on PEPP does not preclude it, we believe it would have much added value if EIOPA would clearly specify that individual, non-professional investors should be allowed to choose the investments of their PEPPs and allocate at least a certain part of their capital into transferable securities.</w:t>
            </w:r>
          </w:p>
          <w:p w14:paraId="7D131634" w14:textId="19573DAB" w:rsidR="005A05A0" w:rsidRPr="004A4F90" w:rsidRDefault="005A05A0" w:rsidP="005A05A0">
            <w:pPr>
              <w:jc w:val="both"/>
              <w:rPr>
                <w:rFonts w:ascii="Verdana" w:hAnsi="Verdana"/>
                <w:bCs/>
                <w:sz w:val="20"/>
                <w:szCs w:val="20"/>
              </w:rPr>
            </w:pPr>
          </w:p>
        </w:tc>
        <w:tc>
          <w:tcPr>
            <w:tcW w:w="3739" w:type="dxa"/>
          </w:tcPr>
          <w:p w14:paraId="6047BFBA" w14:textId="5B6C9BD2" w:rsidR="005A05A0" w:rsidRDefault="005A05A0" w:rsidP="005A05A0">
            <w:pPr>
              <w:spacing w:before="120"/>
              <w:rPr>
                <w:rFonts w:ascii="Verdana" w:hAnsi="Verdana"/>
                <w:bCs/>
                <w:sz w:val="20"/>
                <w:szCs w:val="20"/>
              </w:rPr>
            </w:pPr>
          </w:p>
        </w:tc>
      </w:tr>
      <w:tr w:rsidR="00C26AE2" w:rsidRPr="00544A26" w14:paraId="254D3C0C" w14:textId="77777777" w:rsidTr="00AD328A">
        <w:tblPrEx>
          <w:tblLook w:val="00A0" w:firstRow="1" w:lastRow="0" w:firstColumn="1" w:lastColumn="0" w:noHBand="0" w:noVBand="0"/>
        </w:tblPrEx>
        <w:trPr>
          <w:trHeight w:val="432"/>
        </w:trPr>
        <w:tc>
          <w:tcPr>
            <w:tcW w:w="947" w:type="dxa"/>
          </w:tcPr>
          <w:p w14:paraId="082C671B" w14:textId="77777777" w:rsidR="005A05A0" w:rsidRPr="00E51970" w:rsidRDefault="005A05A0" w:rsidP="005A05A0">
            <w:pPr>
              <w:numPr>
                <w:ilvl w:val="0"/>
                <w:numId w:val="6"/>
              </w:numPr>
              <w:spacing w:before="120"/>
              <w:jc w:val="both"/>
              <w:rPr>
                <w:rFonts w:ascii="Verdana" w:hAnsi="Verdana"/>
                <w:b/>
                <w:bCs/>
                <w:sz w:val="20"/>
                <w:szCs w:val="20"/>
              </w:rPr>
            </w:pPr>
          </w:p>
        </w:tc>
        <w:tc>
          <w:tcPr>
            <w:tcW w:w="1302" w:type="dxa"/>
            <w:gridSpan w:val="2"/>
            <w:tcBorders>
              <w:top w:val="single" w:sz="4" w:space="0" w:color="auto"/>
              <w:left w:val="single" w:sz="4" w:space="0" w:color="auto"/>
              <w:bottom w:val="single" w:sz="4" w:space="0" w:color="auto"/>
              <w:right w:val="single" w:sz="4" w:space="0" w:color="auto"/>
            </w:tcBorders>
          </w:tcPr>
          <w:p w14:paraId="4C600114" w14:textId="77777777" w:rsidR="003B314D" w:rsidRDefault="003B314D" w:rsidP="003B314D">
            <w:pPr>
              <w:spacing w:before="120"/>
              <w:rPr>
                <w:rFonts w:ascii="Verdana" w:hAnsi="Verdana"/>
                <w:bCs/>
                <w:sz w:val="20"/>
                <w:szCs w:val="20"/>
              </w:rPr>
            </w:pPr>
            <w:r>
              <w:rPr>
                <w:rFonts w:ascii="Verdana" w:hAnsi="Verdana"/>
                <w:bCs/>
                <w:sz w:val="20"/>
                <w:szCs w:val="20"/>
              </w:rPr>
              <w:t>BETTER FINANCE</w:t>
            </w:r>
          </w:p>
          <w:p w14:paraId="2A7C2EEE" w14:textId="1A1630A3" w:rsidR="005A05A0" w:rsidRDefault="003B314D" w:rsidP="003B314D">
            <w:pPr>
              <w:spacing w:before="120"/>
              <w:rPr>
                <w:rFonts w:ascii="Verdana" w:hAnsi="Verdana"/>
                <w:bCs/>
                <w:sz w:val="20"/>
                <w:szCs w:val="20"/>
              </w:rPr>
            </w:pPr>
            <w:r>
              <w:rPr>
                <w:rFonts w:ascii="Verdana" w:hAnsi="Verdana"/>
                <w:bCs/>
                <w:sz w:val="20"/>
                <w:szCs w:val="20"/>
              </w:rPr>
              <w:t>Belgium</w:t>
            </w:r>
          </w:p>
        </w:tc>
        <w:tc>
          <w:tcPr>
            <w:tcW w:w="3275" w:type="dxa"/>
            <w:tcBorders>
              <w:top w:val="single" w:sz="4" w:space="0" w:color="auto"/>
              <w:left w:val="single" w:sz="4" w:space="0" w:color="auto"/>
              <w:bottom w:val="single" w:sz="4" w:space="0" w:color="auto"/>
              <w:right w:val="single" w:sz="4" w:space="0" w:color="auto"/>
            </w:tcBorders>
          </w:tcPr>
          <w:p w14:paraId="78958385" w14:textId="77777777" w:rsidR="005A05A0" w:rsidRDefault="004A4F90" w:rsidP="005A05A0">
            <w:pPr>
              <w:spacing w:before="120"/>
              <w:rPr>
                <w:rFonts w:ascii="Verdana" w:hAnsi="Verdana"/>
                <w:bCs/>
                <w:sz w:val="20"/>
                <w:szCs w:val="20"/>
              </w:rPr>
            </w:pPr>
            <w:r>
              <w:rPr>
                <w:rFonts w:ascii="Verdana" w:hAnsi="Verdana"/>
                <w:bCs/>
                <w:sz w:val="20"/>
                <w:szCs w:val="20"/>
              </w:rPr>
              <w:t>Additional comment 2:</w:t>
            </w:r>
          </w:p>
          <w:p w14:paraId="79213C2C" w14:textId="11B04C8A" w:rsidR="004A4F90" w:rsidRDefault="004A4F90" w:rsidP="005A05A0">
            <w:pPr>
              <w:spacing w:before="120"/>
              <w:rPr>
                <w:rFonts w:ascii="Verdana" w:hAnsi="Verdana"/>
                <w:bCs/>
                <w:sz w:val="20"/>
                <w:szCs w:val="20"/>
              </w:rPr>
            </w:pPr>
            <w:r>
              <w:rPr>
                <w:rFonts w:ascii="Verdana" w:hAnsi="Verdana"/>
                <w:bCs/>
                <w:sz w:val="20"/>
                <w:szCs w:val="20"/>
              </w:rPr>
              <w:t xml:space="preserve">Freedom of </w:t>
            </w:r>
            <w:proofErr w:type="spellStart"/>
            <w:r>
              <w:rPr>
                <w:rFonts w:ascii="Verdana" w:hAnsi="Verdana"/>
                <w:bCs/>
                <w:sz w:val="20"/>
                <w:szCs w:val="20"/>
              </w:rPr>
              <w:t>payouts</w:t>
            </w:r>
            <w:proofErr w:type="spellEnd"/>
          </w:p>
        </w:tc>
        <w:tc>
          <w:tcPr>
            <w:tcW w:w="5294" w:type="dxa"/>
            <w:tcBorders>
              <w:top w:val="single" w:sz="4" w:space="0" w:color="auto"/>
              <w:left w:val="single" w:sz="4" w:space="0" w:color="auto"/>
              <w:bottom w:val="single" w:sz="4" w:space="0" w:color="auto"/>
              <w:right w:val="single" w:sz="4" w:space="0" w:color="auto"/>
            </w:tcBorders>
          </w:tcPr>
          <w:p w14:paraId="1C0EEEDC" w14:textId="1280B70C" w:rsidR="003B314D" w:rsidRPr="003B314D" w:rsidRDefault="003B314D" w:rsidP="003B314D">
            <w:pPr>
              <w:spacing w:line="276" w:lineRule="auto"/>
              <w:jc w:val="both"/>
              <w:rPr>
                <w:rFonts w:ascii="Cambria" w:hAnsi="Cambria"/>
                <w:sz w:val="18"/>
                <w:szCs w:val="18"/>
                <w:lang w:eastAsia="en-US"/>
              </w:rPr>
            </w:pPr>
            <w:r w:rsidRPr="003B314D">
              <w:rPr>
                <w:rFonts w:ascii="Cambria" w:hAnsi="Cambria"/>
                <w:sz w:val="20"/>
                <w:szCs w:val="20"/>
              </w:rPr>
              <w:t xml:space="preserve">It should be specified that PEPP savers have the freedom to choose what type of pay-outs they wish to receive during the accumulation phase. One of BETTER FINANCE’s German member association, the German Federation of the Insured, highlighted that in many life-insurance contracts (designed for retirement provision), savers are forced to take annuities, which are </w:t>
            </w:r>
            <w:proofErr w:type="spellStart"/>
            <w:r w:rsidRPr="003B314D">
              <w:rPr>
                <w:rFonts w:ascii="Cambria" w:hAnsi="Cambria"/>
                <w:sz w:val="20"/>
                <w:szCs w:val="20"/>
              </w:rPr>
              <w:t>intransparently</w:t>
            </w:r>
            <w:proofErr w:type="spellEnd"/>
            <w:r w:rsidRPr="003B314D">
              <w:rPr>
                <w:rFonts w:ascii="Cambria" w:hAnsi="Cambria"/>
                <w:sz w:val="20"/>
                <w:szCs w:val="20"/>
              </w:rPr>
              <w:t xml:space="preserve"> and incorrectly calculated to the detriment of the client.</w:t>
            </w:r>
            <w:r w:rsidR="009B14D6">
              <w:rPr>
                <w:rFonts w:ascii="Cambria" w:hAnsi="Cambria"/>
                <w:sz w:val="20"/>
                <w:szCs w:val="20"/>
              </w:rPr>
              <w:t xml:space="preserve"> In addition, we suggest either higher standardisation or closer supervision </w:t>
            </w:r>
            <w:r w:rsidR="00CC0DFB">
              <w:rPr>
                <w:rFonts w:ascii="Cambria" w:hAnsi="Cambria"/>
                <w:sz w:val="20"/>
                <w:szCs w:val="20"/>
              </w:rPr>
              <w:t xml:space="preserve">on the mortality tables (life expectancy at retirement) for annuities in order to ensure that </w:t>
            </w:r>
            <w:r w:rsidR="00177E71">
              <w:rPr>
                <w:rFonts w:ascii="Cambria" w:hAnsi="Cambria"/>
                <w:sz w:val="20"/>
                <w:szCs w:val="20"/>
              </w:rPr>
              <w:t>PEPP savers are not unduly cut a share of their benefits.</w:t>
            </w:r>
          </w:p>
          <w:p w14:paraId="03EE2958" w14:textId="77777777" w:rsidR="003B314D" w:rsidRPr="003B314D" w:rsidRDefault="003B314D" w:rsidP="003B314D">
            <w:pPr>
              <w:spacing w:line="276" w:lineRule="auto"/>
              <w:jc w:val="both"/>
              <w:rPr>
                <w:rFonts w:ascii="Cambria" w:hAnsi="Cambria"/>
                <w:sz w:val="20"/>
                <w:szCs w:val="20"/>
              </w:rPr>
            </w:pPr>
            <w:r w:rsidRPr="003B314D">
              <w:rPr>
                <w:rFonts w:ascii="Cambria" w:hAnsi="Cambria"/>
                <w:sz w:val="20"/>
                <w:szCs w:val="20"/>
              </w:rPr>
              <w:t xml:space="preserve">EIOPA should specify that all pay-outs are possible and that PEPP providers cannot limit or impose a fee or a penalty on types of pay-outs. At the same time, when PEPP providers recommend or offer pay-outs under the form of monthly payments or annuities, they should observe conduct of business requirements developed by EIOPA with regards to longevity assumptions, whilst prominently disclosing that after a certain period of time – </w:t>
            </w:r>
            <w:r w:rsidRPr="003B314D">
              <w:rPr>
                <w:rFonts w:ascii="Cambria" w:hAnsi="Cambria"/>
                <w:i/>
                <w:iCs/>
                <w:sz w:val="20"/>
                <w:szCs w:val="20"/>
              </w:rPr>
              <w:t>ceteris paribus</w:t>
            </w:r>
            <w:r w:rsidRPr="003B314D">
              <w:rPr>
                <w:rFonts w:ascii="Cambria" w:hAnsi="Cambria"/>
                <w:sz w:val="20"/>
                <w:szCs w:val="20"/>
              </w:rPr>
              <w:t xml:space="preserve"> – the saver may run out of capital in his PEPP product.</w:t>
            </w:r>
          </w:p>
          <w:p w14:paraId="0B0E4A6A" w14:textId="377FC221" w:rsidR="005A05A0" w:rsidRDefault="005A05A0" w:rsidP="005A05A0">
            <w:pPr>
              <w:jc w:val="both"/>
              <w:rPr>
                <w:rFonts w:ascii="Verdana" w:hAnsi="Verdana"/>
                <w:bCs/>
                <w:sz w:val="20"/>
                <w:szCs w:val="20"/>
              </w:rPr>
            </w:pPr>
          </w:p>
        </w:tc>
        <w:tc>
          <w:tcPr>
            <w:tcW w:w="3739" w:type="dxa"/>
          </w:tcPr>
          <w:p w14:paraId="3E4983AC" w14:textId="77777777" w:rsidR="005A05A0" w:rsidRDefault="005A05A0" w:rsidP="005A05A0">
            <w:pPr>
              <w:spacing w:before="120"/>
              <w:rPr>
                <w:rFonts w:ascii="Verdana" w:hAnsi="Verdana"/>
                <w:bCs/>
                <w:sz w:val="20"/>
                <w:szCs w:val="20"/>
              </w:rPr>
            </w:pPr>
          </w:p>
        </w:tc>
      </w:tr>
      <w:tr w:rsidR="00C26AE2" w:rsidRPr="00544A26" w14:paraId="40B1B71B" w14:textId="77777777" w:rsidTr="00AD328A">
        <w:tblPrEx>
          <w:tblLook w:val="00A0" w:firstRow="1" w:lastRow="0" w:firstColumn="1" w:lastColumn="0" w:noHBand="0" w:noVBand="0"/>
        </w:tblPrEx>
        <w:trPr>
          <w:trHeight w:val="432"/>
        </w:trPr>
        <w:tc>
          <w:tcPr>
            <w:tcW w:w="947" w:type="dxa"/>
          </w:tcPr>
          <w:p w14:paraId="3A78FA38" w14:textId="77777777" w:rsidR="005A05A0" w:rsidRPr="00E51970" w:rsidRDefault="005A05A0" w:rsidP="005A05A0">
            <w:pPr>
              <w:numPr>
                <w:ilvl w:val="0"/>
                <w:numId w:val="6"/>
              </w:numPr>
              <w:spacing w:before="120"/>
              <w:jc w:val="both"/>
              <w:rPr>
                <w:rFonts w:ascii="Verdana" w:hAnsi="Verdana"/>
                <w:b/>
                <w:bCs/>
                <w:sz w:val="20"/>
                <w:szCs w:val="20"/>
              </w:rPr>
            </w:pPr>
          </w:p>
        </w:tc>
        <w:tc>
          <w:tcPr>
            <w:tcW w:w="1302" w:type="dxa"/>
            <w:gridSpan w:val="2"/>
            <w:tcBorders>
              <w:top w:val="single" w:sz="4" w:space="0" w:color="auto"/>
              <w:left w:val="single" w:sz="4" w:space="0" w:color="auto"/>
              <w:bottom w:val="single" w:sz="4" w:space="0" w:color="auto"/>
              <w:right w:val="single" w:sz="4" w:space="0" w:color="auto"/>
            </w:tcBorders>
          </w:tcPr>
          <w:p w14:paraId="4E240E29" w14:textId="422A5281" w:rsidR="005A05A0" w:rsidRDefault="005A05A0" w:rsidP="005A05A0">
            <w:pPr>
              <w:spacing w:before="120"/>
              <w:rPr>
                <w:rFonts w:ascii="Verdana" w:hAnsi="Verdana"/>
                <w:bCs/>
                <w:sz w:val="20"/>
                <w:szCs w:val="20"/>
              </w:rPr>
            </w:pPr>
          </w:p>
        </w:tc>
        <w:tc>
          <w:tcPr>
            <w:tcW w:w="3275" w:type="dxa"/>
            <w:tcBorders>
              <w:top w:val="single" w:sz="4" w:space="0" w:color="auto"/>
              <w:left w:val="single" w:sz="4" w:space="0" w:color="auto"/>
              <w:bottom w:val="single" w:sz="4" w:space="0" w:color="auto"/>
              <w:right w:val="single" w:sz="4" w:space="0" w:color="auto"/>
            </w:tcBorders>
          </w:tcPr>
          <w:p w14:paraId="5840103D" w14:textId="7500FE57" w:rsidR="005A05A0" w:rsidRDefault="005A05A0" w:rsidP="005A05A0">
            <w:pPr>
              <w:spacing w:before="120"/>
              <w:rPr>
                <w:rFonts w:ascii="Verdana" w:hAnsi="Verdana"/>
                <w:bCs/>
                <w:sz w:val="20"/>
                <w:szCs w:val="20"/>
              </w:rPr>
            </w:pPr>
          </w:p>
        </w:tc>
        <w:tc>
          <w:tcPr>
            <w:tcW w:w="5294" w:type="dxa"/>
            <w:tcBorders>
              <w:top w:val="single" w:sz="4" w:space="0" w:color="auto"/>
              <w:left w:val="single" w:sz="4" w:space="0" w:color="auto"/>
              <w:bottom w:val="single" w:sz="4" w:space="0" w:color="auto"/>
              <w:right w:val="single" w:sz="4" w:space="0" w:color="auto"/>
            </w:tcBorders>
          </w:tcPr>
          <w:p w14:paraId="2CBBC9BB" w14:textId="2D4CC3D1" w:rsidR="005A05A0" w:rsidRDefault="005A05A0" w:rsidP="005A05A0">
            <w:pPr>
              <w:jc w:val="both"/>
              <w:rPr>
                <w:rFonts w:ascii="Verdana" w:hAnsi="Verdana"/>
                <w:bCs/>
                <w:sz w:val="20"/>
                <w:szCs w:val="20"/>
              </w:rPr>
            </w:pPr>
          </w:p>
        </w:tc>
        <w:tc>
          <w:tcPr>
            <w:tcW w:w="3739" w:type="dxa"/>
          </w:tcPr>
          <w:p w14:paraId="3B36CF0B" w14:textId="77777777" w:rsidR="005A05A0" w:rsidRDefault="005A05A0" w:rsidP="005A05A0">
            <w:pPr>
              <w:spacing w:before="120"/>
              <w:rPr>
                <w:rFonts w:ascii="Verdana" w:hAnsi="Verdana"/>
                <w:bCs/>
                <w:sz w:val="20"/>
                <w:szCs w:val="20"/>
              </w:rPr>
            </w:pPr>
          </w:p>
        </w:tc>
      </w:tr>
      <w:tr w:rsidR="00C26AE2" w:rsidRPr="00544A26" w14:paraId="6A4629B4" w14:textId="77777777" w:rsidTr="00AD328A">
        <w:tblPrEx>
          <w:tblLook w:val="00A0" w:firstRow="1" w:lastRow="0" w:firstColumn="1" w:lastColumn="0" w:noHBand="0" w:noVBand="0"/>
        </w:tblPrEx>
        <w:trPr>
          <w:trHeight w:val="432"/>
        </w:trPr>
        <w:tc>
          <w:tcPr>
            <w:tcW w:w="947" w:type="dxa"/>
          </w:tcPr>
          <w:p w14:paraId="5F29137B" w14:textId="77777777" w:rsidR="005A05A0" w:rsidRPr="00E51970" w:rsidRDefault="005A05A0" w:rsidP="005A05A0">
            <w:pPr>
              <w:numPr>
                <w:ilvl w:val="0"/>
                <w:numId w:val="6"/>
              </w:numPr>
              <w:spacing w:before="120"/>
              <w:jc w:val="both"/>
              <w:rPr>
                <w:rFonts w:ascii="Verdana" w:hAnsi="Verdana"/>
                <w:b/>
                <w:bCs/>
                <w:sz w:val="20"/>
                <w:szCs w:val="20"/>
              </w:rPr>
            </w:pPr>
          </w:p>
        </w:tc>
        <w:tc>
          <w:tcPr>
            <w:tcW w:w="1302" w:type="dxa"/>
            <w:gridSpan w:val="2"/>
          </w:tcPr>
          <w:p w14:paraId="45DD3E0F" w14:textId="0FF933FD" w:rsidR="005A05A0" w:rsidRDefault="005A05A0" w:rsidP="005A05A0">
            <w:pPr>
              <w:spacing w:before="120"/>
              <w:rPr>
                <w:rFonts w:ascii="Verdana" w:hAnsi="Verdana"/>
                <w:bCs/>
                <w:sz w:val="20"/>
                <w:szCs w:val="20"/>
              </w:rPr>
            </w:pPr>
          </w:p>
        </w:tc>
        <w:tc>
          <w:tcPr>
            <w:tcW w:w="3275" w:type="dxa"/>
          </w:tcPr>
          <w:p w14:paraId="53A2ABBA" w14:textId="1E53CD57" w:rsidR="005A05A0" w:rsidRDefault="005A05A0" w:rsidP="005A05A0">
            <w:pPr>
              <w:spacing w:before="120"/>
              <w:rPr>
                <w:rFonts w:ascii="Verdana" w:hAnsi="Verdana"/>
                <w:bCs/>
                <w:sz w:val="20"/>
                <w:szCs w:val="20"/>
              </w:rPr>
            </w:pPr>
          </w:p>
        </w:tc>
        <w:tc>
          <w:tcPr>
            <w:tcW w:w="5294" w:type="dxa"/>
          </w:tcPr>
          <w:p w14:paraId="22A2D617" w14:textId="6CAC054A" w:rsidR="005A05A0" w:rsidRDefault="005A05A0" w:rsidP="005A05A0">
            <w:pPr>
              <w:jc w:val="both"/>
              <w:rPr>
                <w:rFonts w:ascii="Verdana" w:hAnsi="Verdana" w:cstheme="minorHAnsi"/>
                <w:sz w:val="20"/>
                <w:szCs w:val="20"/>
              </w:rPr>
            </w:pPr>
          </w:p>
        </w:tc>
        <w:tc>
          <w:tcPr>
            <w:tcW w:w="3739" w:type="dxa"/>
          </w:tcPr>
          <w:p w14:paraId="5BFBE9D3" w14:textId="77777777" w:rsidR="005A05A0" w:rsidRDefault="005A05A0" w:rsidP="005A05A0">
            <w:pPr>
              <w:spacing w:before="120"/>
              <w:rPr>
                <w:rFonts w:ascii="Verdana" w:hAnsi="Verdana"/>
                <w:bCs/>
                <w:sz w:val="20"/>
                <w:szCs w:val="20"/>
              </w:rPr>
            </w:pPr>
          </w:p>
        </w:tc>
      </w:tr>
      <w:tr w:rsidR="00C26AE2" w:rsidRPr="00544A26" w14:paraId="4BF8D54A" w14:textId="77777777" w:rsidTr="00AD328A">
        <w:tblPrEx>
          <w:tblLook w:val="00A0" w:firstRow="1" w:lastRow="0" w:firstColumn="1" w:lastColumn="0" w:noHBand="0" w:noVBand="0"/>
        </w:tblPrEx>
        <w:trPr>
          <w:trHeight w:val="432"/>
        </w:trPr>
        <w:tc>
          <w:tcPr>
            <w:tcW w:w="947" w:type="dxa"/>
          </w:tcPr>
          <w:p w14:paraId="7F8B6E98" w14:textId="77777777" w:rsidR="005A05A0" w:rsidRPr="00E51970" w:rsidRDefault="005A05A0" w:rsidP="005A05A0">
            <w:pPr>
              <w:numPr>
                <w:ilvl w:val="0"/>
                <w:numId w:val="6"/>
              </w:numPr>
              <w:spacing w:before="120"/>
              <w:jc w:val="both"/>
              <w:rPr>
                <w:rFonts w:ascii="Verdana" w:hAnsi="Verdana"/>
                <w:b/>
                <w:bCs/>
                <w:sz w:val="20"/>
                <w:szCs w:val="20"/>
              </w:rPr>
            </w:pPr>
          </w:p>
        </w:tc>
        <w:tc>
          <w:tcPr>
            <w:tcW w:w="1302" w:type="dxa"/>
            <w:gridSpan w:val="2"/>
          </w:tcPr>
          <w:p w14:paraId="231EBDB9" w14:textId="0B41EC56" w:rsidR="005A05A0" w:rsidRDefault="005A05A0" w:rsidP="005A05A0">
            <w:pPr>
              <w:spacing w:before="120"/>
              <w:rPr>
                <w:rFonts w:ascii="Verdana" w:hAnsi="Verdana"/>
                <w:bCs/>
                <w:sz w:val="20"/>
                <w:szCs w:val="20"/>
              </w:rPr>
            </w:pPr>
          </w:p>
        </w:tc>
        <w:tc>
          <w:tcPr>
            <w:tcW w:w="3275" w:type="dxa"/>
          </w:tcPr>
          <w:p w14:paraId="6D612976" w14:textId="1064EF6D" w:rsidR="005A05A0" w:rsidRDefault="005A05A0" w:rsidP="005A05A0">
            <w:pPr>
              <w:spacing w:before="120"/>
              <w:rPr>
                <w:rFonts w:ascii="Verdana" w:hAnsi="Verdana"/>
                <w:bCs/>
                <w:sz w:val="20"/>
                <w:szCs w:val="20"/>
              </w:rPr>
            </w:pPr>
          </w:p>
        </w:tc>
        <w:tc>
          <w:tcPr>
            <w:tcW w:w="5294" w:type="dxa"/>
          </w:tcPr>
          <w:p w14:paraId="43808A1B" w14:textId="664C18EB" w:rsidR="005A05A0" w:rsidRDefault="005A05A0" w:rsidP="005A05A0">
            <w:pPr>
              <w:jc w:val="both"/>
              <w:rPr>
                <w:rFonts w:ascii="Verdana" w:hAnsi="Verdana" w:cstheme="minorHAnsi"/>
                <w:sz w:val="20"/>
                <w:szCs w:val="20"/>
              </w:rPr>
            </w:pPr>
          </w:p>
        </w:tc>
        <w:tc>
          <w:tcPr>
            <w:tcW w:w="3739" w:type="dxa"/>
          </w:tcPr>
          <w:p w14:paraId="353EF990" w14:textId="77777777" w:rsidR="005A05A0" w:rsidRDefault="005A05A0" w:rsidP="005A05A0">
            <w:pPr>
              <w:spacing w:before="120"/>
              <w:rPr>
                <w:rFonts w:ascii="Verdana" w:hAnsi="Verdana"/>
                <w:bCs/>
                <w:sz w:val="20"/>
                <w:szCs w:val="20"/>
              </w:rPr>
            </w:pPr>
          </w:p>
        </w:tc>
      </w:tr>
      <w:tr w:rsidR="00C26AE2" w:rsidRPr="00544A26" w14:paraId="092991D3" w14:textId="77777777" w:rsidTr="00AD328A">
        <w:tblPrEx>
          <w:tblLook w:val="00A0" w:firstRow="1" w:lastRow="0" w:firstColumn="1" w:lastColumn="0" w:noHBand="0" w:noVBand="0"/>
        </w:tblPrEx>
        <w:trPr>
          <w:trHeight w:val="432"/>
        </w:trPr>
        <w:tc>
          <w:tcPr>
            <w:tcW w:w="947" w:type="dxa"/>
          </w:tcPr>
          <w:p w14:paraId="325C419B" w14:textId="77777777" w:rsidR="005A05A0" w:rsidRPr="00E51970" w:rsidRDefault="005A05A0" w:rsidP="005A05A0">
            <w:pPr>
              <w:numPr>
                <w:ilvl w:val="0"/>
                <w:numId w:val="6"/>
              </w:numPr>
              <w:spacing w:before="120"/>
              <w:jc w:val="both"/>
              <w:rPr>
                <w:rFonts w:ascii="Verdana" w:hAnsi="Verdana"/>
                <w:b/>
                <w:bCs/>
                <w:sz w:val="20"/>
                <w:szCs w:val="20"/>
              </w:rPr>
            </w:pPr>
          </w:p>
        </w:tc>
        <w:tc>
          <w:tcPr>
            <w:tcW w:w="1302" w:type="dxa"/>
            <w:gridSpan w:val="2"/>
          </w:tcPr>
          <w:p w14:paraId="184DA2C4" w14:textId="15BE5C20" w:rsidR="005A05A0" w:rsidRPr="0084454C" w:rsidRDefault="005A05A0" w:rsidP="005A05A0">
            <w:pPr>
              <w:spacing w:before="120"/>
              <w:rPr>
                <w:rFonts w:asciiTheme="minorHAnsi" w:hAnsiTheme="minorHAnsi"/>
                <w:bCs/>
                <w:sz w:val="22"/>
                <w:szCs w:val="20"/>
              </w:rPr>
            </w:pPr>
          </w:p>
        </w:tc>
        <w:tc>
          <w:tcPr>
            <w:tcW w:w="3275" w:type="dxa"/>
          </w:tcPr>
          <w:p w14:paraId="7569E94E" w14:textId="56E12111" w:rsidR="005A05A0" w:rsidRPr="001478AA" w:rsidRDefault="005A05A0" w:rsidP="005A05A0">
            <w:pPr>
              <w:spacing w:before="120"/>
              <w:rPr>
                <w:rFonts w:asciiTheme="minorHAnsi" w:hAnsiTheme="minorHAnsi"/>
                <w:bCs/>
                <w:szCs w:val="20"/>
              </w:rPr>
            </w:pPr>
          </w:p>
        </w:tc>
        <w:tc>
          <w:tcPr>
            <w:tcW w:w="5294" w:type="dxa"/>
          </w:tcPr>
          <w:p w14:paraId="7B2846B3" w14:textId="7B145A82" w:rsidR="005A05A0" w:rsidRDefault="005A05A0" w:rsidP="005A05A0">
            <w:pPr>
              <w:jc w:val="both"/>
              <w:rPr>
                <w:rFonts w:asciiTheme="minorHAnsi" w:hAnsiTheme="minorHAnsi"/>
                <w:bCs/>
                <w:szCs w:val="20"/>
                <w:lang w:val="en-US"/>
              </w:rPr>
            </w:pPr>
          </w:p>
        </w:tc>
        <w:tc>
          <w:tcPr>
            <w:tcW w:w="3739" w:type="dxa"/>
          </w:tcPr>
          <w:p w14:paraId="532D3A7C" w14:textId="77777777" w:rsidR="005A05A0" w:rsidRDefault="005A05A0" w:rsidP="005A05A0">
            <w:pPr>
              <w:spacing w:before="120"/>
              <w:rPr>
                <w:rFonts w:ascii="Verdana" w:hAnsi="Verdana"/>
                <w:bCs/>
                <w:sz w:val="20"/>
                <w:szCs w:val="20"/>
              </w:rPr>
            </w:pPr>
          </w:p>
        </w:tc>
      </w:tr>
      <w:tr w:rsidR="00C26AE2" w:rsidRPr="00544A26" w14:paraId="4921B497" w14:textId="77777777" w:rsidTr="00AD328A">
        <w:tblPrEx>
          <w:tblLook w:val="00A0" w:firstRow="1" w:lastRow="0" w:firstColumn="1" w:lastColumn="0" w:noHBand="0" w:noVBand="0"/>
        </w:tblPrEx>
        <w:trPr>
          <w:trHeight w:val="432"/>
        </w:trPr>
        <w:tc>
          <w:tcPr>
            <w:tcW w:w="947" w:type="dxa"/>
          </w:tcPr>
          <w:p w14:paraId="544B4844" w14:textId="77777777" w:rsidR="005A05A0" w:rsidRPr="00E51970" w:rsidRDefault="005A05A0" w:rsidP="005A05A0">
            <w:pPr>
              <w:numPr>
                <w:ilvl w:val="0"/>
                <w:numId w:val="6"/>
              </w:numPr>
              <w:spacing w:before="120"/>
              <w:jc w:val="both"/>
              <w:rPr>
                <w:rFonts w:ascii="Verdana" w:hAnsi="Verdana"/>
                <w:b/>
                <w:bCs/>
                <w:sz w:val="20"/>
                <w:szCs w:val="20"/>
              </w:rPr>
            </w:pPr>
          </w:p>
        </w:tc>
        <w:tc>
          <w:tcPr>
            <w:tcW w:w="1302" w:type="dxa"/>
            <w:gridSpan w:val="2"/>
          </w:tcPr>
          <w:p w14:paraId="67203C5B" w14:textId="1D1F7807" w:rsidR="005A05A0" w:rsidRPr="0084454C" w:rsidRDefault="005A05A0" w:rsidP="005A05A0">
            <w:pPr>
              <w:spacing w:before="120"/>
              <w:rPr>
                <w:rFonts w:asciiTheme="minorHAnsi" w:hAnsiTheme="minorHAnsi"/>
                <w:bCs/>
                <w:sz w:val="22"/>
                <w:szCs w:val="20"/>
              </w:rPr>
            </w:pPr>
          </w:p>
        </w:tc>
        <w:tc>
          <w:tcPr>
            <w:tcW w:w="3275" w:type="dxa"/>
          </w:tcPr>
          <w:p w14:paraId="5AB85F3A" w14:textId="4A183113" w:rsidR="005A05A0" w:rsidRPr="001478AA" w:rsidRDefault="005A05A0" w:rsidP="005A05A0">
            <w:pPr>
              <w:spacing w:before="120"/>
              <w:rPr>
                <w:rFonts w:asciiTheme="minorHAnsi" w:hAnsiTheme="minorHAnsi"/>
                <w:bCs/>
                <w:szCs w:val="20"/>
              </w:rPr>
            </w:pPr>
          </w:p>
        </w:tc>
        <w:tc>
          <w:tcPr>
            <w:tcW w:w="5294" w:type="dxa"/>
          </w:tcPr>
          <w:p w14:paraId="6E2A0AAF" w14:textId="42E0EE06" w:rsidR="005A05A0" w:rsidRDefault="005A05A0" w:rsidP="005A05A0">
            <w:pPr>
              <w:jc w:val="both"/>
              <w:rPr>
                <w:rFonts w:asciiTheme="minorHAnsi" w:hAnsiTheme="minorHAnsi"/>
                <w:bCs/>
                <w:szCs w:val="20"/>
                <w:lang w:val="en-US"/>
              </w:rPr>
            </w:pPr>
          </w:p>
        </w:tc>
        <w:tc>
          <w:tcPr>
            <w:tcW w:w="3739" w:type="dxa"/>
          </w:tcPr>
          <w:p w14:paraId="5DE8DAE0" w14:textId="77777777" w:rsidR="005A05A0" w:rsidRDefault="005A05A0" w:rsidP="005A05A0">
            <w:pPr>
              <w:spacing w:before="120"/>
              <w:rPr>
                <w:rFonts w:ascii="Verdana" w:hAnsi="Verdana"/>
                <w:bCs/>
                <w:sz w:val="20"/>
                <w:szCs w:val="20"/>
              </w:rPr>
            </w:pPr>
          </w:p>
        </w:tc>
      </w:tr>
      <w:tr w:rsidR="00C26AE2" w:rsidRPr="00544A26" w14:paraId="74227287" w14:textId="77777777" w:rsidTr="00AD328A">
        <w:tblPrEx>
          <w:tblLook w:val="00A0" w:firstRow="1" w:lastRow="0" w:firstColumn="1" w:lastColumn="0" w:noHBand="0" w:noVBand="0"/>
        </w:tblPrEx>
        <w:trPr>
          <w:trHeight w:val="432"/>
        </w:trPr>
        <w:tc>
          <w:tcPr>
            <w:tcW w:w="947" w:type="dxa"/>
          </w:tcPr>
          <w:p w14:paraId="58657248" w14:textId="77777777" w:rsidR="005A05A0" w:rsidRPr="00E51970" w:rsidRDefault="005A05A0" w:rsidP="005A05A0">
            <w:pPr>
              <w:numPr>
                <w:ilvl w:val="0"/>
                <w:numId w:val="6"/>
              </w:numPr>
              <w:spacing w:before="120"/>
              <w:jc w:val="both"/>
              <w:rPr>
                <w:rFonts w:ascii="Verdana" w:hAnsi="Verdana"/>
                <w:b/>
                <w:bCs/>
                <w:sz w:val="20"/>
                <w:szCs w:val="20"/>
              </w:rPr>
            </w:pPr>
          </w:p>
        </w:tc>
        <w:tc>
          <w:tcPr>
            <w:tcW w:w="1302" w:type="dxa"/>
            <w:gridSpan w:val="2"/>
          </w:tcPr>
          <w:p w14:paraId="46DE2513" w14:textId="617CE56D" w:rsidR="005A05A0" w:rsidRPr="0084454C" w:rsidRDefault="005A05A0" w:rsidP="005A05A0">
            <w:pPr>
              <w:spacing w:before="120"/>
              <w:rPr>
                <w:rFonts w:asciiTheme="minorHAnsi" w:hAnsiTheme="minorHAnsi"/>
                <w:bCs/>
                <w:sz w:val="22"/>
                <w:szCs w:val="20"/>
              </w:rPr>
            </w:pPr>
          </w:p>
        </w:tc>
        <w:tc>
          <w:tcPr>
            <w:tcW w:w="3275" w:type="dxa"/>
          </w:tcPr>
          <w:p w14:paraId="5341197A" w14:textId="1B4C8451" w:rsidR="005A05A0" w:rsidRPr="001478AA" w:rsidRDefault="005A05A0" w:rsidP="005A05A0">
            <w:pPr>
              <w:spacing w:before="120"/>
              <w:rPr>
                <w:rFonts w:asciiTheme="minorHAnsi" w:hAnsiTheme="minorHAnsi"/>
                <w:bCs/>
                <w:szCs w:val="20"/>
              </w:rPr>
            </w:pPr>
          </w:p>
        </w:tc>
        <w:tc>
          <w:tcPr>
            <w:tcW w:w="5294" w:type="dxa"/>
          </w:tcPr>
          <w:p w14:paraId="037B336B" w14:textId="5B4C5B04" w:rsidR="005A05A0" w:rsidRDefault="005A05A0" w:rsidP="005A05A0">
            <w:pPr>
              <w:jc w:val="both"/>
              <w:rPr>
                <w:rFonts w:asciiTheme="minorHAnsi" w:hAnsiTheme="minorHAnsi"/>
                <w:bCs/>
                <w:szCs w:val="20"/>
                <w:lang w:val="en-US"/>
              </w:rPr>
            </w:pPr>
          </w:p>
        </w:tc>
        <w:tc>
          <w:tcPr>
            <w:tcW w:w="3739" w:type="dxa"/>
          </w:tcPr>
          <w:p w14:paraId="28703809" w14:textId="77777777" w:rsidR="005A05A0" w:rsidRDefault="005A05A0" w:rsidP="005A05A0">
            <w:pPr>
              <w:spacing w:before="120"/>
              <w:rPr>
                <w:rFonts w:ascii="Verdana" w:hAnsi="Verdana"/>
                <w:bCs/>
                <w:sz w:val="20"/>
                <w:szCs w:val="20"/>
              </w:rPr>
            </w:pPr>
          </w:p>
        </w:tc>
      </w:tr>
      <w:tr w:rsidR="00C26AE2" w:rsidRPr="00544A26" w14:paraId="1B86B368" w14:textId="77777777" w:rsidTr="00AD328A">
        <w:tblPrEx>
          <w:tblLook w:val="00A0" w:firstRow="1" w:lastRow="0" w:firstColumn="1" w:lastColumn="0" w:noHBand="0" w:noVBand="0"/>
        </w:tblPrEx>
        <w:trPr>
          <w:trHeight w:val="432"/>
        </w:trPr>
        <w:tc>
          <w:tcPr>
            <w:tcW w:w="947" w:type="dxa"/>
          </w:tcPr>
          <w:p w14:paraId="31170AE8" w14:textId="77777777" w:rsidR="005A05A0" w:rsidRPr="00E51970" w:rsidRDefault="005A05A0" w:rsidP="005A05A0">
            <w:pPr>
              <w:numPr>
                <w:ilvl w:val="0"/>
                <w:numId w:val="6"/>
              </w:numPr>
              <w:spacing w:before="120"/>
              <w:jc w:val="both"/>
              <w:rPr>
                <w:rFonts w:ascii="Verdana" w:hAnsi="Verdana"/>
                <w:b/>
                <w:bCs/>
                <w:sz w:val="20"/>
                <w:szCs w:val="20"/>
              </w:rPr>
            </w:pPr>
          </w:p>
        </w:tc>
        <w:tc>
          <w:tcPr>
            <w:tcW w:w="1302" w:type="dxa"/>
            <w:gridSpan w:val="2"/>
          </w:tcPr>
          <w:p w14:paraId="5C0A40CB" w14:textId="5C0D91E4" w:rsidR="005A05A0" w:rsidRPr="0084454C" w:rsidRDefault="005A05A0" w:rsidP="005A05A0">
            <w:pPr>
              <w:spacing w:before="120"/>
              <w:rPr>
                <w:rFonts w:asciiTheme="minorHAnsi" w:hAnsiTheme="minorHAnsi"/>
                <w:bCs/>
                <w:sz w:val="22"/>
                <w:szCs w:val="20"/>
              </w:rPr>
            </w:pPr>
          </w:p>
        </w:tc>
        <w:tc>
          <w:tcPr>
            <w:tcW w:w="3275" w:type="dxa"/>
          </w:tcPr>
          <w:p w14:paraId="106495C6" w14:textId="6553D48A" w:rsidR="005A05A0" w:rsidRPr="001478AA" w:rsidRDefault="005A05A0" w:rsidP="005A05A0">
            <w:pPr>
              <w:spacing w:before="120"/>
              <w:rPr>
                <w:rFonts w:asciiTheme="minorHAnsi" w:hAnsiTheme="minorHAnsi"/>
                <w:bCs/>
                <w:szCs w:val="20"/>
              </w:rPr>
            </w:pPr>
          </w:p>
        </w:tc>
        <w:tc>
          <w:tcPr>
            <w:tcW w:w="5294" w:type="dxa"/>
          </w:tcPr>
          <w:p w14:paraId="7DD2813A" w14:textId="0F7A63D0" w:rsidR="005A05A0" w:rsidRDefault="005A05A0" w:rsidP="005A05A0">
            <w:pPr>
              <w:jc w:val="both"/>
              <w:rPr>
                <w:rFonts w:asciiTheme="minorHAnsi" w:hAnsiTheme="minorHAnsi"/>
                <w:bCs/>
                <w:szCs w:val="20"/>
                <w:lang w:val="en-US"/>
              </w:rPr>
            </w:pPr>
          </w:p>
        </w:tc>
        <w:tc>
          <w:tcPr>
            <w:tcW w:w="3739" w:type="dxa"/>
          </w:tcPr>
          <w:p w14:paraId="0FB48609" w14:textId="77777777" w:rsidR="005A05A0" w:rsidRDefault="005A05A0" w:rsidP="005A05A0">
            <w:pPr>
              <w:spacing w:before="120"/>
              <w:rPr>
                <w:rFonts w:ascii="Verdana" w:hAnsi="Verdana"/>
                <w:bCs/>
                <w:sz w:val="20"/>
                <w:szCs w:val="20"/>
              </w:rPr>
            </w:pPr>
          </w:p>
        </w:tc>
      </w:tr>
    </w:tbl>
    <w:p w14:paraId="1F27B71D" w14:textId="77777777" w:rsidR="003D6081" w:rsidRPr="00544A26" w:rsidRDefault="003D6081" w:rsidP="009613FF">
      <w:pPr>
        <w:spacing w:before="120"/>
        <w:jc w:val="both"/>
        <w:rPr>
          <w:rFonts w:ascii="Verdana" w:hAnsi="Verdana"/>
          <w:sz w:val="20"/>
          <w:szCs w:val="20"/>
        </w:rPr>
      </w:pPr>
    </w:p>
    <w:sectPr w:rsidR="003D6081" w:rsidRPr="00544A26" w:rsidSect="005D38B7">
      <w:headerReference w:type="default" r:id="rId20"/>
      <w:footerReference w:type="even" r:id="rId21"/>
      <w:footerReference w:type="default" r:id="rId22"/>
      <w:pgSz w:w="16838" w:h="11906" w:orient="landscape"/>
      <w:pgMar w:top="2259" w:right="1418"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486FD" w14:textId="77777777" w:rsidR="009A5BA4" w:rsidRDefault="009A5BA4">
      <w:r>
        <w:separator/>
      </w:r>
    </w:p>
  </w:endnote>
  <w:endnote w:type="continuationSeparator" w:id="0">
    <w:p w14:paraId="40E85276" w14:textId="77777777" w:rsidR="009A5BA4" w:rsidRDefault="009A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Frutiger LT Com 45 Light">
    <w:altName w:val="Times New Roman"/>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08BCF" w14:textId="77777777" w:rsidR="009D03E2" w:rsidRDefault="004D6403">
    <w:pPr>
      <w:pStyle w:val="Footer"/>
      <w:framePr w:wrap="around" w:vAnchor="text" w:hAnchor="margin" w:xAlign="right" w:y="1"/>
      <w:rPr>
        <w:rStyle w:val="PageNumber"/>
      </w:rPr>
    </w:pPr>
    <w:r>
      <w:rPr>
        <w:rStyle w:val="PageNumber"/>
      </w:rPr>
      <w:fldChar w:fldCharType="begin"/>
    </w:r>
    <w:r w:rsidR="009D03E2">
      <w:rPr>
        <w:rStyle w:val="PageNumber"/>
      </w:rPr>
      <w:instrText xml:space="preserve">PAGE  </w:instrText>
    </w:r>
    <w:r>
      <w:rPr>
        <w:rStyle w:val="PageNumber"/>
      </w:rPr>
      <w:fldChar w:fldCharType="separate"/>
    </w:r>
    <w:r w:rsidR="009D03E2">
      <w:rPr>
        <w:rStyle w:val="PageNumber"/>
        <w:noProof/>
      </w:rPr>
      <w:t>1</w:t>
    </w:r>
    <w:r>
      <w:rPr>
        <w:rStyle w:val="PageNumber"/>
      </w:rPr>
      <w:fldChar w:fldCharType="end"/>
    </w:r>
  </w:p>
  <w:p w14:paraId="21206622" w14:textId="77777777" w:rsidR="009D03E2" w:rsidRDefault="009D03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953546"/>
      <w:docPartObj>
        <w:docPartGallery w:val="Page Numbers (Bottom of Page)"/>
        <w:docPartUnique/>
      </w:docPartObj>
    </w:sdtPr>
    <w:sdtEndPr>
      <w:rPr>
        <w:noProof/>
      </w:rPr>
    </w:sdtEndPr>
    <w:sdtContent>
      <w:p w14:paraId="1ED670EB" w14:textId="170DB114" w:rsidR="009D03E2" w:rsidRDefault="004D6403">
        <w:pPr>
          <w:pStyle w:val="Footer"/>
          <w:jc w:val="right"/>
        </w:pPr>
        <w:r>
          <w:fldChar w:fldCharType="begin"/>
        </w:r>
        <w:r w:rsidR="009D03E2">
          <w:instrText xml:space="preserve"> PAGE   \* MERGEFORMAT </w:instrText>
        </w:r>
        <w:r>
          <w:fldChar w:fldCharType="separate"/>
        </w:r>
        <w:r w:rsidR="000327C4">
          <w:rPr>
            <w:noProof/>
          </w:rPr>
          <w:t>5</w:t>
        </w:r>
        <w:r>
          <w:rPr>
            <w:noProof/>
          </w:rPr>
          <w:fldChar w:fldCharType="end"/>
        </w:r>
      </w:p>
    </w:sdtContent>
  </w:sdt>
  <w:p w14:paraId="23B6B7C5" w14:textId="77777777" w:rsidR="009D03E2" w:rsidRPr="003A10ED" w:rsidRDefault="009D03E2" w:rsidP="003A10ED">
    <w:pPr>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0EF40" w14:textId="77777777" w:rsidR="009A5BA4" w:rsidRDefault="009A5BA4">
      <w:r>
        <w:separator/>
      </w:r>
    </w:p>
  </w:footnote>
  <w:footnote w:type="continuationSeparator" w:id="0">
    <w:p w14:paraId="6D30728A" w14:textId="77777777" w:rsidR="009A5BA4" w:rsidRDefault="009A5BA4">
      <w:r>
        <w:continuationSeparator/>
      </w:r>
    </w:p>
  </w:footnote>
  <w:footnote w:id="1">
    <w:p w14:paraId="2F2D266E" w14:textId="77777777" w:rsidR="00A0156F" w:rsidRDefault="00A0156F" w:rsidP="00A0156F">
      <w:pPr>
        <w:pStyle w:val="FootnoteText"/>
        <w:rPr>
          <w:rFonts w:asciiTheme="majorHAnsi" w:hAnsiTheme="majorHAnsi" w:cstheme="majorHAnsi"/>
          <w:sz w:val="16"/>
          <w:szCs w:val="16"/>
          <w:lang w:eastAsia="en-US"/>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See also BETTER FINANCE Key Priorities for the next 5 years 2019-2024 </w:t>
      </w:r>
      <w:hyperlink r:id="rId1" w:history="1">
        <w:r>
          <w:rPr>
            <w:rStyle w:val="Hyperlink"/>
            <w:rFonts w:asciiTheme="majorHAnsi" w:hAnsiTheme="majorHAnsi" w:cstheme="majorHAnsi"/>
            <w:sz w:val="16"/>
            <w:szCs w:val="16"/>
          </w:rPr>
          <w:t>https://betterfinance.eu/wp-content/uploads/BETTER-FINANCE-Key-Priorities-2019-2024-with-Infographic.pdf</w:t>
        </w:r>
      </w:hyperlink>
      <w:r>
        <w:rPr>
          <w:rFonts w:asciiTheme="majorHAnsi" w:hAnsiTheme="majorHAnsi" w:cstheme="majorHAnsi"/>
          <w:sz w:val="16"/>
          <w:szCs w:val="16"/>
        </w:rPr>
        <w:t>.</w:t>
      </w:r>
    </w:p>
  </w:footnote>
  <w:footnote w:id="2">
    <w:p w14:paraId="72280706" w14:textId="77777777" w:rsidR="00A0156F" w:rsidRDefault="00A0156F" w:rsidP="00A0156F">
      <w:pPr>
        <w:pStyle w:val="FootnoteText"/>
        <w:rPr>
          <w:rFonts w:asciiTheme="majorHAnsi" w:hAnsiTheme="majorHAnsi" w:cstheme="majorHAnsi"/>
          <w:sz w:val="16"/>
          <w:szCs w:val="16"/>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N. Gentile, N. Linciano, C. Lucarelli, P. Soccorso, ‘Financial Disclosure, Risk Perception and Investment Choice: Evidence from a Consumer Testing Exercise’ (2015) CONSOB, page 10, hereinafter “CONSOB CTE”, available at: </w:t>
      </w:r>
      <w:hyperlink r:id="rId2" w:history="1">
        <w:r>
          <w:rPr>
            <w:rStyle w:val="Hyperlink"/>
            <w:rFonts w:asciiTheme="majorHAnsi" w:hAnsiTheme="majorHAnsi" w:cstheme="majorHAnsi"/>
            <w:sz w:val="16"/>
            <w:szCs w:val="16"/>
          </w:rPr>
          <w:t>http://www.consob.it/documents/11973/204072/qdf82.pdf/58dc22f8-504b-4bad-9679-610306359dfc</w:t>
        </w:r>
      </w:hyperlink>
    </w:p>
  </w:footnote>
  <w:footnote w:id="3">
    <w:p w14:paraId="04A272CF" w14:textId="77777777" w:rsidR="00A0156F" w:rsidRDefault="00A0156F" w:rsidP="00A0156F">
      <w:pPr>
        <w:pStyle w:val="FootnoteText"/>
        <w:rPr>
          <w:rFonts w:asciiTheme="majorHAnsi" w:hAnsiTheme="majorHAnsi" w:cstheme="majorHAnsi"/>
          <w:sz w:val="16"/>
          <w:szCs w:val="16"/>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BETTER FINANCE Response to the ESAs JCP (16/10/2019) on amendments to the PRIIPs KID, available here </w:t>
      </w:r>
      <w:hyperlink r:id="rId3" w:history="1">
        <w:r>
          <w:rPr>
            <w:rStyle w:val="Hyperlink"/>
            <w:rFonts w:asciiTheme="majorHAnsi" w:hAnsiTheme="majorHAnsi" w:cstheme="majorHAnsi"/>
            <w:sz w:val="16"/>
            <w:szCs w:val="16"/>
          </w:rPr>
          <w:t>https://betterfinance.eu/publication/better-finance-response-to-the-esas-jcp-16-10-2019-on-amendments-to-the-priips-kid/</w:t>
        </w:r>
      </w:hyperlink>
      <w:r>
        <w:rPr>
          <w:rFonts w:asciiTheme="majorHAnsi" w:hAnsiTheme="majorHAnsi" w:cstheme="majorHAnsi"/>
          <w:sz w:val="16"/>
          <w:szCs w:val="16"/>
        </w:rPr>
        <w:t>, hereinafter PRIIPs KID Consultation Response.</w:t>
      </w:r>
    </w:p>
  </w:footnote>
  <w:footnote w:id="4">
    <w:p w14:paraId="671B2BF7" w14:textId="77777777" w:rsidR="00A0156F" w:rsidRDefault="00A0156F" w:rsidP="00A0156F">
      <w:pPr>
        <w:pStyle w:val="FootnoteText"/>
        <w:jc w:val="both"/>
        <w:rPr>
          <w:rFonts w:asciiTheme="majorHAnsi" w:hAnsiTheme="majorHAnsi" w:cstheme="majorHAnsi"/>
          <w:sz w:val="16"/>
          <w:szCs w:val="16"/>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European Commission, ‘Impact Assessment Accompanying the document Proposal for a Regulation of the European Parliament and of the Council on Key Information Documents for Investment Products, COM(2012) 352 final, page 18, available here  </w:t>
      </w:r>
      <w:hyperlink r:id="rId4" w:history="1">
        <w:r>
          <w:rPr>
            <w:rStyle w:val="Hyperlink"/>
            <w:rFonts w:asciiTheme="majorHAnsi" w:hAnsiTheme="majorHAnsi" w:cstheme="majorHAnsi"/>
            <w:sz w:val="16"/>
            <w:szCs w:val="16"/>
          </w:rPr>
          <w:t>https://eur-lex.europa.eu/legal-content/EN/TXT/PDF/?uri=CELEX:52012SC0187&amp;from=EN</w:t>
        </w:r>
      </w:hyperlink>
      <w:r>
        <w:rPr>
          <w:rFonts w:asciiTheme="majorHAnsi" w:hAnsiTheme="majorHAnsi" w:cstheme="majorHAnsi"/>
          <w:sz w:val="16"/>
          <w:szCs w:val="16"/>
        </w:rPr>
        <w:t xml:space="preserve">. </w:t>
      </w:r>
    </w:p>
  </w:footnote>
  <w:footnote w:id="5">
    <w:p w14:paraId="1872887C" w14:textId="77777777" w:rsidR="00A0156F" w:rsidRDefault="00A0156F" w:rsidP="00A0156F">
      <w:pPr>
        <w:pStyle w:val="FootnoteText"/>
        <w:rPr>
          <w:rFonts w:asciiTheme="majorHAnsi" w:hAnsiTheme="majorHAnsi" w:cstheme="majorHAnsi"/>
          <w:sz w:val="16"/>
          <w:szCs w:val="16"/>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European Commission, ‘Final Report: Consumer Testing Study of the Possible New Format and Content of for Retail Disclosures of Packaged Retail and Insurance-based Investment Products’ (2015)</w:t>
      </w:r>
      <w:r>
        <w:rPr>
          <w:rFonts w:asciiTheme="majorHAnsi" w:hAnsiTheme="majorHAnsi" w:cstheme="majorHAnsi"/>
          <w:i/>
          <w:iCs/>
          <w:sz w:val="16"/>
          <w:szCs w:val="16"/>
        </w:rPr>
        <w:t xml:space="preserve"> </w:t>
      </w:r>
      <w:r>
        <w:rPr>
          <w:rFonts w:asciiTheme="majorHAnsi" w:hAnsiTheme="majorHAnsi" w:cstheme="majorHAnsi"/>
          <w:sz w:val="16"/>
          <w:szCs w:val="16"/>
        </w:rPr>
        <w:t xml:space="preserve">18, hereinafter “PRIIPs CTE 2015” available </w:t>
      </w:r>
      <w:hyperlink r:id="rId5" w:history="1">
        <w:r>
          <w:rPr>
            <w:rStyle w:val="Hyperlink"/>
            <w:rFonts w:asciiTheme="majorHAnsi" w:hAnsiTheme="majorHAnsi" w:cstheme="majorHAnsi"/>
            <w:sz w:val="16"/>
            <w:szCs w:val="16"/>
          </w:rPr>
          <w:t>https://ec.europa.eu/info/sites/info/files/consumer-testing-study-2015_en.pdf</w:t>
        </w:r>
      </w:hyperlink>
      <w:r>
        <w:rPr>
          <w:rFonts w:asciiTheme="majorHAnsi" w:hAnsiTheme="majorHAnsi" w:cstheme="majorHAnsi"/>
          <w:sz w:val="16"/>
          <w:szCs w:val="16"/>
        </w:rPr>
        <w:t>.</w:t>
      </w:r>
    </w:p>
  </w:footnote>
  <w:footnote w:id="6">
    <w:p w14:paraId="7CEACA25" w14:textId="77777777" w:rsidR="00A0156F" w:rsidRDefault="00A0156F" w:rsidP="00A0156F">
      <w:pPr>
        <w:pStyle w:val="FootnoteText"/>
        <w:jc w:val="both"/>
        <w:rPr>
          <w:rFonts w:asciiTheme="majorHAnsi" w:hAnsiTheme="majorHAnsi" w:cstheme="majorHAnsi"/>
          <w:sz w:val="16"/>
          <w:szCs w:val="16"/>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Gentile, Linciano, Lucarelli, Soccorso, ‘Financial Disclosure, Risk Perception and Investment Choice: Evidence from a Consumer Testing Exercise’ (n 6); see also. </w:t>
      </w:r>
    </w:p>
  </w:footnote>
  <w:footnote w:id="7">
    <w:p w14:paraId="409E5870" w14:textId="24DC3C12" w:rsidR="004C5F67" w:rsidRPr="004C5F67" w:rsidRDefault="004C5F67">
      <w:pPr>
        <w:pStyle w:val="FootnoteText"/>
        <w:rPr>
          <w:rFonts w:asciiTheme="majorHAnsi" w:hAnsiTheme="majorHAnsi"/>
        </w:rPr>
      </w:pPr>
      <w:r w:rsidRPr="004C5F67">
        <w:rPr>
          <w:rStyle w:val="FootnoteReference"/>
          <w:rFonts w:asciiTheme="majorHAnsi" w:hAnsiTheme="majorHAnsi"/>
          <w:sz w:val="16"/>
          <w:szCs w:val="12"/>
        </w:rPr>
        <w:footnoteRef/>
      </w:r>
      <w:r w:rsidRPr="004C5F67">
        <w:rPr>
          <w:rFonts w:asciiTheme="majorHAnsi" w:hAnsiTheme="majorHAnsi"/>
          <w:sz w:val="16"/>
          <w:szCs w:val="12"/>
        </w:rPr>
        <w:t xml:space="preserve"> See BETTER FINANCE Technical Working Paper 1/2020, p. 63 et seq.</w:t>
      </w:r>
    </w:p>
  </w:footnote>
  <w:footnote w:id="8">
    <w:p w14:paraId="5659EA1F" w14:textId="77777777" w:rsidR="00A0156F" w:rsidRDefault="00A0156F" w:rsidP="00A0156F">
      <w:pPr>
        <w:pStyle w:val="FootnoteText"/>
        <w:rPr>
          <w:rFonts w:asciiTheme="majorHAnsi" w:hAnsiTheme="majorHAnsi" w:cstheme="majorHAnsi"/>
          <w:sz w:val="16"/>
          <w:szCs w:val="16"/>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See BETTER FINANCE’s remarks in this sense in the response to the PRIIPs KID Consultation Response (n 10).</w:t>
      </w:r>
    </w:p>
  </w:footnote>
  <w:footnote w:id="9">
    <w:p w14:paraId="52778AB1" w14:textId="77777777" w:rsidR="00A0156F" w:rsidRDefault="00A0156F" w:rsidP="00A0156F">
      <w:pPr>
        <w:pStyle w:val="FootnoteText"/>
        <w:rPr>
          <w:rFonts w:asciiTheme="majorHAnsi" w:hAnsiTheme="majorHAnsi" w:cstheme="majorHAnsi"/>
          <w:sz w:val="16"/>
          <w:szCs w:val="16"/>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See EIOPA webpage (</w:t>
      </w:r>
      <w:hyperlink r:id="rId6" w:history="1">
        <w:r>
          <w:rPr>
            <w:rStyle w:val="Hyperlink"/>
            <w:rFonts w:asciiTheme="majorHAnsi" w:hAnsiTheme="majorHAnsi" w:cstheme="majorHAnsi"/>
            <w:sz w:val="16"/>
            <w:szCs w:val="16"/>
          </w:rPr>
          <w:t>https://eiopa.europa.eu/Pages/News/Consultation-concerning-technical-advice-implementing-and-regulatory-technical-standards-for-the-PEPP.aspx</w:t>
        </w:r>
      </w:hyperlink>
      <w:r>
        <w:rPr>
          <w:rFonts w:asciiTheme="majorHAnsi" w:hAnsiTheme="majorHAnsi" w:cstheme="majorHAnsi"/>
          <w:sz w:val="16"/>
          <w:szCs w:val="16"/>
        </w:rPr>
        <w:t>), Illustrative example A (</w:t>
      </w:r>
      <w:hyperlink r:id="rId7" w:history="1">
        <w:r>
          <w:rPr>
            <w:rStyle w:val="Hyperlink"/>
            <w:rFonts w:asciiTheme="majorHAnsi" w:hAnsiTheme="majorHAnsi" w:cstheme="majorHAnsi"/>
            <w:sz w:val="16"/>
            <w:szCs w:val="16"/>
          </w:rPr>
          <w:t>https://eiopa.europa.eu/Publications/Consultations/PEPP%20KID_Illustrative%20example%20A.pdf</w:t>
        </w:r>
      </w:hyperlink>
      <w:r>
        <w:rPr>
          <w:rFonts w:asciiTheme="majorHAnsi" w:hAnsiTheme="majorHAnsi" w:cstheme="majorHAnsi"/>
          <w:sz w:val="16"/>
          <w:szCs w:val="16"/>
        </w:rPr>
        <w:t xml:space="preserve"> ) and illustrative example B (</w:t>
      </w:r>
      <w:hyperlink r:id="rId8" w:history="1">
        <w:r>
          <w:rPr>
            <w:rStyle w:val="Hyperlink"/>
            <w:rFonts w:asciiTheme="majorHAnsi" w:hAnsiTheme="majorHAnsi" w:cstheme="majorHAnsi"/>
            <w:sz w:val="16"/>
            <w:szCs w:val="16"/>
          </w:rPr>
          <w:t>https://eiopa.europa.eu/Publications/Consultations/PEPP%20KID_Illustrative%20example%20B.pdf</w:t>
        </w:r>
      </w:hyperlink>
      <w:r>
        <w:rPr>
          <w:rFonts w:asciiTheme="majorHAnsi" w:hAnsiTheme="majorHAnsi" w:cstheme="majorHAnsi"/>
          <w:sz w:val="16"/>
          <w:szCs w:val="16"/>
        </w:rPr>
        <w:t>).</w:t>
      </w:r>
    </w:p>
  </w:footnote>
  <w:footnote w:id="10">
    <w:p w14:paraId="4F108390" w14:textId="77777777" w:rsidR="00A0156F" w:rsidRDefault="00A0156F" w:rsidP="00A0156F">
      <w:pPr>
        <w:pStyle w:val="FootnoteText"/>
        <w:rPr>
          <w:rFonts w:asciiTheme="majorHAnsi" w:hAnsiTheme="majorHAnsi" w:cstheme="majorHAnsi"/>
          <w:sz w:val="16"/>
          <w:szCs w:val="16"/>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BETTER FINANCE – </w:t>
      </w:r>
      <w:hyperlink r:id="rId9" w:history="1">
        <w:r>
          <w:rPr>
            <w:rStyle w:val="Hyperlink"/>
            <w:rFonts w:asciiTheme="majorHAnsi" w:hAnsiTheme="majorHAnsi" w:cstheme="majorHAnsi"/>
            <w:sz w:val="16"/>
            <w:szCs w:val="16"/>
          </w:rPr>
          <w:t>https://betterfinance.eu/wp-content/uploads/PEPP-Key-Information-Document-current-requirements.pdf</w:t>
        </w:r>
      </w:hyperlink>
      <w:r>
        <w:rPr>
          <w:rFonts w:asciiTheme="majorHAnsi" w:hAnsiTheme="majorHAnsi" w:cstheme="majorHAnsi"/>
          <w:sz w:val="16"/>
          <w:szCs w:val="16"/>
        </w:rPr>
        <w:t xml:space="preserve"> </w:t>
      </w:r>
    </w:p>
  </w:footnote>
  <w:footnote w:id="11">
    <w:p w14:paraId="47940E4B" w14:textId="77777777" w:rsidR="00A0156F" w:rsidRDefault="00A0156F" w:rsidP="00A0156F">
      <w:pPr>
        <w:pStyle w:val="FootnoteText"/>
        <w:rPr>
          <w:rFonts w:asciiTheme="majorHAnsi" w:hAnsiTheme="majorHAnsi" w:cstheme="majorHAnsi"/>
          <w:sz w:val="16"/>
          <w:szCs w:val="16"/>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See BETTER FINANCE study on sustainable investments (March 2019)</w:t>
      </w:r>
    </w:p>
  </w:footnote>
  <w:footnote w:id="12">
    <w:p w14:paraId="15F52B11" w14:textId="77777777" w:rsidR="00A0156F" w:rsidRDefault="00A0156F" w:rsidP="00A0156F">
      <w:pPr>
        <w:pStyle w:val="FootnoteText"/>
        <w:jc w:val="both"/>
        <w:rPr>
          <w:rFonts w:asciiTheme="majorHAnsi" w:hAnsiTheme="majorHAnsi" w:cstheme="majorHAnsi"/>
          <w:sz w:val="16"/>
          <w:szCs w:val="16"/>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See SCM Direct, ‘Greenwashing: Misclassification and Mis-selling of Ethical Investments’ (November 2019) </w:t>
      </w:r>
      <w:hyperlink r:id="rId10" w:history="1">
        <w:r>
          <w:rPr>
            <w:rStyle w:val="Hyperlink"/>
            <w:rFonts w:asciiTheme="majorHAnsi" w:hAnsiTheme="majorHAnsi" w:cstheme="majorHAnsi"/>
            <w:sz w:val="16"/>
            <w:szCs w:val="16"/>
          </w:rPr>
          <w:t>https://scmdirect.com/wp-content/uploads/2019/11/SCM-Direct-Greenwashing-Report.pdf</w:t>
        </w:r>
      </w:hyperlink>
      <w:r>
        <w:rPr>
          <w:rFonts w:asciiTheme="majorHAnsi" w:hAnsiTheme="majorHAnsi" w:cstheme="majorHAnsi"/>
          <w:sz w:val="16"/>
          <w:szCs w:val="16"/>
        </w:rPr>
        <w:t xml:space="preserve">. </w:t>
      </w:r>
    </w:p>
  </w:footnote>
  <w:footnote w:id="13">
    <w:p w14:paraId="2445D2D5" w14:textId="77777777" w:rsidR="00EA70B1" w:rsidRDefault="00EA70B1" w:rsidP="00EA70B1">
      <w:pPr>
        <w:pStyle w:val="FootnoteText"/>
        <w:jc w:val="both"/>
        <w:rPr>
          <w:rFonts w:asciiTheme="majorHAnsi" w:hAnsiTheme="majorHAnsi" w:cstheme="majorHAnsi"/>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Mark St Gilles, Ekaterina Alexeeva, Sally Buxton, </w:t>
      </w:r>
      <w:r>
        <w:rPr>
          <w:rFonts w:asciiTheme="majorHAnsi" w:hAnsiTheme="majorHAnsi" w:cstheme="majorHAnsi"/>
          <w:i/>
          <w:iCs/>
          <w:sz w:val="16"/>
          <w:szCs w:val="16"/>
        </w:rPr>
        <w:t>Managing Collective Investment Funds</w:t>
      </w:r>
      <w:r>
        <w:rPr>
          <w:rFonts w:asciiTheme="majorHAnsi" w:hAnsiTheme="majorHAnsi" w:cstheme="majorHAnsi"/>
          <w:sz w:val="16"/>
          <w:szCs w:val="16"/>
        </w:rPr>
        <w:t>, (2003) Wiley Publishing, p. 75.</w:t>
      </w:r>
    </w:p>
  </w:footnote>
  <w:footnote w:id="14">
    <w:p w14:paraId="25B60794" w14:textId="77777777" w:rsidR="00EA70B1" w:rsidRDefault="00EA70B1" w:rsidP="00EA70B1">
      <w:pPr>
        <w:pStyle w:val="FootnoteText"/>
        <w:jc w:val="both"/>
        <w:rPr>
          <w:rFonts w:asciiTheme="majorHAnsi" w:hAnsiTheme="majorHAnsi" w:cstheme="minorBidi"/>
        </w:rPr>
      </w:pPr>
      <w:r>
        <w:rPr>
          <w:rStyle w:val="FootnoteReference"/>
          <w:rFonts w:asciiTheme="majorHAnsi" w:hAnsiTheme="majorHAnsi"/>
          <w:sz w:val="18"/>
          <w:szCs w:val="18"/>
        </w:rPr>
        <w:footnoteRef/>
      </w:r>
      <w:r>
        <w:rPr>
          <w:rFonts w:asciiTheme="majorHAnsi" w:hAnsiTheme="majorHAnsi"/>
          <w:sz w:val="18"/>
          <w:szCs w:val="18"/>
        </w:rPr>
        <w:t xml:space="preserve"> The term “money illusion” was coined by Fishner in describing that most people think of money in nominal terms (inscripted value) instead of considering its </w:t>
      </w:r>
      <w:r>
        <w:rPr>
          <w:rFonts w:asciiTheme="majorHAnsi" w:hAnsiTheme="majorHAnsi"/>
          <w:i/>
          <w:iCs/>
          <w:sz w:val="18"/>
          <w:szCs w:val="18"/>
          <w:u w:val="single"/>
        </w:rPr>
        <w:t>real</w:t>
      </w:r>
      <w:r>
        <w:rPr>
          <w:rFonts w:asciiTheme="majorHAnsi" w:hAnsiTheme="majorHAnsi"/>
          <w:sz w:val="18"/>
          <w:szCs w:val="18"/>
        </w:rPr>
        <w:t xml:space="preserve"> value, i.e. what quantity of goods and services can a certain amount of money buy at a certain date - See Irving Fishner, </w:t>
      </w:r>
      <w:r>
        <w:rPr>
          <w:rFonts w:asciiTheme="majorHAnsi" w:hAnsiTheme="majorHAnsi"/>
          <w:i/>
          <w:iCs/>
          <w:sz w:val="18"/>
          <w:szCs w:val="18"/>
        </w:rPr>
        <w:t>The Money Illusion</w:t>
      </w:r>
      <w:r>
        <w:rPr>
          <w:rFonts w:asciiTheme="majorHAnsi" w:hAnsiTheme="majorHAnsi"/>
          <w:sz w:val="18"/>
          <w:szCs w:val="18"/>
        </w:rPr>
        <w:t xml:space="preserve"> (2011) Martino Publishing.</w:t>
      </w:r>
    </w:p>
  </w:footnote>
  <w:footnote w:id="15">
    <w:p w14:paraId="534D7635" w14:textId="77777777" w:rsidR="00EA70B1" w:rsidRDefault="00EA70B1" w:rsidP="00EA70B1">
      <w:pPr>
        <w:pStyle w:val="FootnoteText"/>
        <w:rPr>
          <w:rFonts w:asciiTheme="majorHAnsi" w:hAnsiTheme="majorHAnsi"/>
        </w:rPr>
      </w:pPr>
      <w:r>
        <w:rPr>
          <w:rStyle w:val="FootnoteReference"/>
          <w:rFonts w:asciiTheme="majorHAnsi" w:hAnsiTheme="majorHAnsi"/>
          <w:sz w:val="18"/>
          <w:szCs w:val="18"/>
        </w:rPr>
        <w:footnoteRef/>
      </w:r>
      <w:r>
        <w:rPr>
          <w:rFonts w:asciiTheme="majorHAnsi" w:hAnsiTheme="majorHAnsi"/>
          <w:sz w:val="18"/>
          <w:szCs w:val="18"/>
        </w:rPr>
        <w:t xml:space="preserve"> Which is below the last 19 years’ average and currently the target of the European Central Bank.</w:t>
      </w:r>
    </w:p>
  </w:footnote>
  <w:footnote w:id="16">
    <w:p w14:paraId="5DBCA6FE" w14:textId="77777777" w:rsidR="00EA70B1" w:rsidRDefault="00EA70B1" w:rsidP="00EA70B1">
      <w:pPr>
        <w:pStyle w:val="FootnoteText"/>
        <w:rPr>
          <w:rFonts w:asciiTheme="majorHAnsi" w:hAnsiTheme="majorHAnsi"/>
        </w:rPr>
      </w:pPr>
      <w:r>
        <w:rPr>
          <w:rStyle w:val="FootnoteReference"/>
          <w:rFonts w:asciiTheme="majorHAnsi" w:hAnsiTheme="majorHAnsi"/>
          <w:sz w:val="16"/>
          <w:szCs w:val="16"/>
        </w:rPr>
        <w:footnoteRef/>
      </w:r>
      <w:r>
        <w:rPr>
          <w:rFonts w:asciiTheme="majorHAnsi" w:hAnsiTheme="majorHAnsi"/>
          <w:sz w:val="16"/>
          <w:szCs w:val="16"/>
        </w:rPr>
        <w:t xml:space="preserve"> </w:t>
      </w:r>
      <w:hyperlink r:id="rId11" w:history="1">
        <w:r>
          <w:rPr>
            <w:rStyle w:val="Hyperlink"/>
            <w:rFonts w:asciiTheme="majorHAnsi" w:hAnsiTheme="majorHAnsi"/>
            <w:sz w:val="16"/>
            <w:szCs w:val="16"/>
          </w:rPr>
          <w:t>http://betterfinance.eu/PEPP-TWP-1-2020/</w:t>
        </w:r>
      </w:hyperlink>
      <w:r>
        <w:rPr>
          <w:rFonts w:asciiTheme="majorHAnsi" w:hAnsiTheme="majorHAnsi"/>
          <w:sz w:val="16"/>
          <w:szCs w:val="16"/>
        </w:rPr>
        <w:t xml:space="preserve"> </w:t>
      </w:r>
    </w:p>
  </w:footnote>
  <w:footnote w:id="17">
    <w:p w14:paraId="0DCA71B8" w14:textId="77777777" w:rsidR="00C26AE2" w:rsidRDefault="00C26AE2" w:rsidP="00C26AE2">
      <w:pPr>
        <w:pStyle w:val="FootnoteText"/>
        <w:rPr>
          <w:rFonts w:asciiTheme="majorHAnsi" w:hAnsiTheme="majorHAnsi" w:cstheme="majorHAnsi"/>
          <w:sz w:val="16"/>
          <w:szCs w:val="16"/>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Article 45(2) PEPP Regulation.</w:t>
      </w:r>
    </w:p>
  </w:footnote>
  <w:footnote w:id="18">
    <w:p w14:paraId="2A7954C8" w14:textId="77777777" w:rsidR="00C26AE2" w:rsidRDefault="00C26AE2" w:rsidP="00C26AE2">
      <w:pPr>
        <w:pStyle w:val="FootnoteText"/>
        <w:rPr>
          <w:rFonts w:asciiTheme="majorHAnsi" w:hAnsiTheme="majorHAnsi" w:cstheme="majorHAnsi"/>
          <w:sz w:val="20"/>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Page 28 of the Consultation Paper.</w:t>
      </w:r>
    </w:p>
  </w:footnote>
  <w:footnote w:id="19">
    <w:p w14:paraId="0BB64FF1" w14:textId="77777777" w:rsidR="00C26AE2" w:rsidRDefault="00C26AE2" w:rsidP="00C26AE2">
      <w:pPr>
        <w:pStyle w:val="FootnoteText"/>
        <w:jc w:val="both"/>
        <w:rPr>
          <w:rFonts w:asciiTheme="majorHAnsi" w:hAnsiTheme="majorHAnsi" w:cstheme="majorHAnsi"/>
          <w:sz w:val="16"/>
          <w:szCs w:val="16"/>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Art. 45(3) PEPP Regulation provides that “</w:t>
      </w:r>
      <w:r>
        <w:rPr>
          <w:rFonts w:asciiTheme="majorHAnsi" w:hAnsiTheme="majorHAnsi" w:cstheme="majorHAnsi"/>
          <w:i/>
          <w:iCs/>
          <w:sz w:val="16"/>
          <w:szCs w:val="16"/>
        </w:rPr>
        <w:t>EIOPA shall develop draft regulatory technical standards specifying the types of costs and fees referred to</w:t>
      </w:r>
      <w:r>
        <w:rPr>
          <w:rFonts w:asciiTheme="majorHAnsi" w:hAnsiTheme="majorHAnsi" w:cstheme="majorHAnsi"/>
          <w:sz w:val="16"/>
          <w:szCs w:val="16"/>
        </w:rPr>
        <w:t>” in paragraph (2).</w:t>
      </w:r>
    </w:p>
  </w:footnote>
  <w:footnote w:id="20">
    <w:p w14:paraId="6C25931F" w14:textId="77777777" w:rsidR="00C26AE2" w:rsidRDefault="00C26AE2" w:rsidP="00C26AE2">
      <w:pPr>
        <w:pStyle w:val="FootnoteText"/>
        <w:rPr>
          <w:rFonts w:asciiTheme="majorHAnsi" w:hAnsiTheme="majorHAnsi" w:cstheme="majorHAnsi"/>
          <w:sz w:val="20"/>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See OECD Pensions Outlook 2018 (</w:t>
      </w:r>
      <w:hyperlink r:id="rId12" w:history="1">
        <w:r>
          <w:rPr>
            <w:rStyle w:val="Hyperlink"/>
            <w:rFonts w:asciiTheme="majorHAnsi" w:hAnsiTheme="majorHAnsi" w:cstheme="majorHAnsi"/>
            <w:sz w:val="16"/>
            <w:szCs w:val="16"/>
          </w:rPr>
          <w:t>https://www.oecd.org/finance/oecd-pensions-outlook-23137649.htm</w:t>
        </w:r>
      </w:hyperlink>
      <w:r>
        <w:rPr>
          <w:rFonts w:asciiTheme="majorHAnsi" w:hAnsiTheme="majorHAnsi" w:cstheme="majorHAnsi"/>
          <w:sz w:val="16"/>
          <w:szCs w:val="16"/>
        </w:rPr>
        <w:t xml:space="preserve">); see the Final report of the High Level Group of Experts on Pensions, p 82, available here </w:t>
      </w:r>
      <w:hyperlink r:id="rId13" w:history="1">
        <w:r>
          <w:rPr>
            <w:rStyle w:val="Hyperlink"/>
            <w:rFonts w:asciiTheme="majorHAnsi" w:hAnsiTheme="majorHAnsi" w:cstheme="majorHAnsi"/>
            <w:sz w:val="16"/>
            <w:szCs w:val="16"/>
          </w:rPr>
          <w:t>https://ec.europa.eu/transparency/regexpert/index.cfm?do=groupDetail.groupMeetingDoc&amp;docid=38547</w:t>
        </w:r>
      </w:hyperlink>
      <w:r>
        <w:rPr>
          <w:rFonts w:asciiTheme="majorHAnsi" w:hAnsiTheme="majorHAnsi" w:cstheme="majorHAnsi"/>
          <w:sz w:val="16"/>
          <w:szCs w:val="16"/>
        </w:rPr>
        <w:t xml:space="preserve">. </w:t>
      </w:r>
    </w:p>
  </w:footnote>
  <w:footnote w:id="21">
    <w:p w14:paraId="788A0827" w14:textId="77777777" w:rsidR="00C26AE2" w:rsidRDefault="00C26AE2" w:rsidP="00C26AE2">
      <w:pPr>
        <w:pStyle w:val="FootnoteText"/>
        <w:jc w:val="both"/>
        <w:rPr>
          <w:rFonts w:asciiTheme="majorHAnsi" w:hAnsiTheme="majorHAnsi" w:cstheme="majorHAnsi"/>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Norwegian Consumer Council: </w:t>
      </w:r>
      <w:hyperlink r:id="rId14" w:history="1">
        <w:r>
          <w:rPr>
            <w:rStyle w:val="Hyperlink"/>
            <w:rFonts w:asciiTheme="majorHAnsi" w:hAnsiTheme="majorHAnsi" w:cstheme="majorHAnsi"/>
            <w:sz w:val="16"/>
            <w:szCs w:val="16"/>
          </w:rPr>
          <w:t>https://fil.forbrukerradet.no/wp-content/uploads/2019/10/rapport-kombinasjonsfond-og-fondsprofiler.pdf</w:t>
        </w:r>
      </w:hyperlink>
      <w:r>
        <w:rPr>
          <w:rFonts w:asciiTheme="majorHAnsi" w:hAnsiTheme="majorHAnsi" w:cstheme="majorHAnsi"/>
          <w:sz w:val="16"/>
          <w:szCs w:val="16"/>
        </w:rPr>
        <w:t>.</w:t>
      </w:r>
    </w:p>
  </w:footnote>
  <w:footnote w:id="22">
    <w:p w14:paraId="6267BA60" w14:textId="77777777" w:rsidR="00C26AE2" w:rsidRDefault="00C26AE2" w:rsidP="00C26AE2">
      <w:pPr>
        <w:pStyle w:val="FootnoteText"/>
        <w:rPr>
          <w:rFonts w:asciiTheme="majorHAnsi" w:hAnsiTheme="majorHAnsi" w:cstheme="majorHAnsi"/>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OECD, </w:t>
      </w:r>
      <w:r>
        <w:rPr>
          <w:rFonts w:asciiTheme="majorHAnsi" w:hAnsiTheme="majorHAnsi" w:cstheme="majorHAnsi"/>
          <w:i/>
          <w:iCs/>
          <w:sz w:val="16"/>
          <w:szCs w:val="16"/>
        </w:rPr>
        <w:t>Pensions at a Glance 2019</w:t>
      </w:r>
      <w:r>
        <w:rPr>
          <w:rFonts w:asciiTheme="majorHAnsi" w:hAnsiTheme="majorHAnsi" w:cstheme="majorHAnsi"/>
          <w:sz w:val="16"/>
          <w:szCs w:val="16"/>
        </w:rPr>
        <w:t xml:space="preserve">, </w:t>
      </w:r>
      <w:hyperlink r:id="rId15" w:history="1">
        <w:r>
          <w:rPr>
            <w:rStyle w:val="Hyperlink"/>
            <w:rFonts w:asciiTheme="majorHAnsi" w:hAnsiTheme="majorHAnsi" w:cstheme="majorHAnsi"/>
            <w:sz w:val="16"/>
            <w:szCs w:val="16"/>
          </w:rPr>
          <w:t>https://www.oecd-ilibrary.org/social-issues-migration-health/pensions-at-a-glance-2019_b6d3dcfc-en</w:t>
        </w:r>
      </w:hyperlink>
      <w:r>
        <w:rPr>
          <w:rFonts w:asciiTheme="majorHAnsi" w:hAnsiTheme="majorHAnsi" w:cstheme="majorHAnsi"/>
          <w:sz w:val="16"/>
          <w:szCs w:val="16"/>
        </w:rPr>
        <w:t xml:space="preserve">. </w:t>
      </w:r>
    </w:p>
  </w:footnote>
  <w:footnote w:id="23">
    <w:p w14:paraId="4065D89B" w14:textId="77777777" w:rsidR="00C26AE2" w:rsidRDefault="00C26AE2" w:rsidP="00C26AE2">
      <w:pPr>
        <w:pStyle w:val="FootnoteText"/>
        <w:rPr>
          <w:rFonts w:asciiTheme="majorHAnsi" w:hAnsiTheme="majorHAnsi" w:cstheme="majorHAnsi"/>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Range of 0.1% to 1.2% administrative cost plus 0.1% average investment costs, regardless of number of participants and fund size.</w:t>
      </w:r>
    </w:p>
  </w:footnote>
  <w:footnote w:id="24">
    <w:p w14:paraId="1E338315" w14:textId="77777777" w:rsidR="00C26AE2" w:rsidRDefault="00C26AE2" w:rsidP="00C26AE2">
      <w:pPr>
        <w:pStyle w:val="FootnoteText"/>
        <w:jc w:val="both"/>
        <w:rPr>
          <w:rFonts w:asciiTheme="majorHAnsi" w:hAnsiTheme="majorHAnsi" w:cstheme="majorHAnsi"/>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See Jakob A. Bikker, Jan de Dreu, ‘Operating Costs of Pension Funds: The Impact of Scale, Governance, and Plan Design’ (2009) PEF 8(1) Cambridge University Press 63 – 89.</w:t>
      </w:r>
    </w:p>
  </w:footnote>
  <w:footnote w:id="25">
    <w:p w14:paraId="39388F20" w14:textId="77777777" w:rsidR="00C26AE2" w:rsidRDefault="00C26AE2" w:rsidP="00C26AE2">
      <w:pPr>
        <w:pStyle w:val="FootnoteText"/>
        <w:rPr>
          <w:rFonts w:asciiTheme="majorHAnsi" w:hAnsiTheme="majorHAnsi" w:cstheme="majorHAnsi"/>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Jennifer Erickson, David Madland, ‘Fixing the Drain on Retirement Savings: How Retirement Fees Are Straining the Middle Class and What We Can Do about Them’ (11 April 2014) Center for American Progress, available here </w:t>
      </w:r>
      <w:hyperlink r:id="rId16" w:history="1">
        <w:r>
          <w:rPr>
            <w:rStyle w:val="Hyperlink"/>
            <w:rFonts w:asciiTheme="majorHAnsi" w:hAnsiTheme="majorHAnsi" w:cstheme="majorHAnsi"/>
            <w:sz w:val="16"/>
            <w:szCs w:val="16"/>
          </w:rPr>
          <w:t>https://cdn.americanprogress.org/wp-content/uploads/2014/04/401kFees-brief3.pdf</w:t>
        </w:r>
      </w:hyperlink>
      <w:r>
        <w:rPr>
          <w:rFonts w:asciiTheme="majorHAnsi" w:hAnsiTheme="majorHAnsi" w:cstheme="majorHAnsi"/>
          <w:sz w:val="16"/>
          <w:szCs w:val="16"/>
        </w:rPr>
        <w:t xml:space="preserve">. </w:t>
      </w:r>
    </w:p>
  </w:footnote>
  <w:footnote w:id="26">
    <w:p w14:paraId="49D797F0" w14:textId="77777777" w:rsidR="00C26AE2" w:rsidRDefault="00C26AE2" w:rsidP="00C26AE2">
      <w:pPr>
        <w:pStyle w:val="FootnoteText"/>
        <w:jc w:val="both"/>
        <w:rPr>
          <w:rFonts w:asciiTheme="majorHAnsi" w:hAnsiTheme="majorHAnsi" w:cstheme="majorHAnsi"/>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Ian Ayres, Quinn Curtis, ‘Beyond Diversification: The Pervasive Problem of Excessive Fees and “Dominated Funds” in 401(k) Plans” (2015) 124 The Yale Law Journal 1476-1550, available here </w:t>
      </w:r>
      <w:hyperlink r:id="rId17" w:history="1">
        <w:r>
          <w:rPr>
            <w:rStyle w:val="Hyperlink"/>
            <w:rFonts w:asciiTheme="majorHAnsi" w:hAnsiTheme="majorHAnsi" w:cstheme="majorHAnsi"/>
            <w:sz w:val="16"/>
            <w:szCs w:val="16"/>
          </w:rPr>
          <w:t>https://www.yalelawjournal.org/pdf/c.1476.Ayres-Curtis.1552_6gag5s3c.pdf</w:t>
        </w:r>
      </w:hyperlink>
      <w:r>
        <w:rPr>
          <w:rFonts w:asciiTheme="majorHAnsi" w:hAnsiTheme="majorHAnsi" w:cstheme="majorHAnsi"/>
          <w:sz w:val="16"/>
          <w:szCs w:val="16"/>
        </w:rPr>
        <w:t xml:space="preserve">. </w:t>
      </w:r>
    </w:p>
  </w:footnote>
  <w:footnote w:id="27">
    <w:p w14:paraId="6EECBFCE" w14:textId="77777777" w:rsidR="00C26AE2" w:rsidRDefault="00C26AE2" w:rsidP="00C26AE2">
      <w:pPr>
        <w:pStyle w:val="FootnoteText"/>
        <w:jc w:val="both"/>
        <w:rPr>
          <w:rFonts w:asciiTheme="majorHAnsi" w:hAnsiTheme="majorHAnsi" w:cstheme="majorHAnsi"/>
          <w:sz w:val="16"/>
          <w:szCs w:val="16"/>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BETTER FINANCE, </w:t>
      </w:r>
      <w:r>
        <w:rPr>
          <w:rFonts w:asciiTheme="majorHAnsi" w:hAnsiTheme="majorHAnsi" w:cstheme="majorHAnsi"/>
          <w:i/>
          <w:iCs/>
          <w:sz w:val="16"/>
          <w:szCs w:val="16"/>
        </w:rPr>
        <w:t>Study on the Correlation between Cost and Performance in EU Equity Retail Funds</w:t>
      </w:r>
      <w:r>
        <w:rPr>
          <w:rFonts w:asciiTheme="majorHAnsi" w:hAnsiTheme="majorHAnsi" w:cstheme="majorHAnsi"/>
          <w:sz w:val="16"/>
          <w:szCs w:val="16"/>
        </w:rPr>
        <w:t xml:space="preserve"> (June 2019), available here: </w:t>
      </w:r>
      <w:hyperlink r:id="rId18" w:history="1">
        <w:r>
          <w:rPr>
            <w:rStyle w:val="Hyperlink"/>
            <w:rFonts w:asciiTheme="majorHAnsi" w:hAnsiTheme="majorHAnsi" w:cstheme="majorHAnsi"/>
            <w:sz w:val="16"/>
            <w:szCs w:val="16"/>
          </w:rPr>
          <w:t>https://betterfinance.eu/wp-content/uploads/BETTER1.pdf</w:t>
        </w:r>
      </w:hyperlink>
      <w:r>
        <w:rPr>
          <w:rFonts w:asciiTheme="majorHAnsi" w:hAnsiTheme="majorHAnsi" w:cstheme="majorHAnsi"/>
          <w:sz w:val="16"/>
          <w:szCs w:val="16"/>
        </w:rPr>
        <w:t xml:space="preserve">. </w:t>
      </w:r>
    </w:p>
  </w:footnote>
  <w:footnote w:id="28">
    <w:p w14:paraId="7DD72E44" w14:textId="77777777" w:rsidR="006F244F" w:rsidRDefault="006F244F" w:rsidP="006F244F">
      <w:pPr>
        <w:pStyle w:val="FootnoteText"/>
        <w:jc w:val="both"/>
        <w:rPr>
          <w:rFonts w:asciiTheme="majorHAnsi" w:hAnsiTheme="majorHAnsi" w:cstheme="majorHAnsi"/>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In the proposal text published by the European Commission and the one after the European Parliament’s position in first reading.</w:t>
      </w:r>
    </w:p>
  </w:footnote>
  <w:footnote w:id="29">
    <w:p w14:paraId="4316EE19" w14:textId="77777777" w:rsidR="006F244F" w:rsidRDefault="006F244F" w:rsidP="006F244F">
      <w:pPr>
        <w:pStyle w:val="FootnoteText"/>
        <w:rPr>
          <w:rFonts w:asciiTheme="majorHAnsi" w:hAnsiTheme="majorHAnsi" w:cstheme="majorHAnsi"/>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See EIOPA, ‘Survey of EU Practice on Default Investment Options” (EIOPA-BoS-13/033, 8 April 2013).</w:t>
      </w:r>
    </w:p>
  </w:footnote>
  <w:footnote w:id="30">
    <w:p w14:paraId="61B9179C" w14:textId="77777777" w:rsidR="006F244F" w:rsidRDefault="006F244F" w:rsidP="006F244F">
      <w:pPr>
        <w:pStyle w:val="FootnoteText"/>
        <w:jc w:val="both"/>
        <w:rPr>
          <w:rFonts w:asciiTheme="majorHAnsi" w:hAnsiTheme="majorHAnsi" w:cstheme="majorHAnsi"/>
          <w:sz w:val="16"/>
          <w:szCs w:val="16"/>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Since an auto- or mandatory-enrolment pension system cannot properly function if savers who do not make an active choice are not assigned to any asset allocation and investment strategy; see Jakub Fodor, Juraj Cenker, ‘Default Strategy in Pension Saving: The Case of Slovakia’ (March 2019) Institut Financnej Politiky, 11.</w:t>
      </w:r>
    </w:p>
  </w:footnote>
  <w:footnote w:id="31">
    <w:p w14:paraId="14CBB668" w14:textId="77777777" w:rsidR="006F244F" w:rsidRDefault="006F244F" w:rsidP="006F244F">
      <w:pPr>
        <w:pStyle w:val="FootnoteText"/>
        <w:jc w:val="both"/>
        <w:rPr>
          <w:rFonts w:asciiTheme="minorHAnsi" w:hAnsiTheme="minorHAnsi" w:cstheme="minorBidi"/>
          <w:sz w:val="20"/>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As academic literature shows, and BETTER FINANCE’s national members’ experience as well, many savers wish to save for retirement, but do not do so for reasons that sum up in the inability to choose. </w:t>
      </w:r>
    </w:p>
  </w:footnote>
  <w:footnote w:id="32">
    <w:p w14:paraId="66217B7C" w14:textId="77777777" w:rsidR="006F244F" w:rsidRDefault="006F244F" w:rsidP="006F244F">
      <w:pPr>
        <w:pStyle w:val="FootnoteText"/>
        <w:jc w:val="both"/>
        <w:rPr>
          <w:rFonts w:asciiTheme="majorHAnsi" w:hAnsiTheme="majorHAnsi" w:cstheme="majorHAnsi"/>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See EIOPA, ‘Survey of EU Practice on Default Investment Options” (EIOPA-BoS-13/033, 8 April 2013); see Theo Nijman, Niku M</w:t>
      </w:r>
      <w:r>
        <w:rPr>
          <w:rFonts w:ascii="Calibri" w:hAnsi="Calibri" w:cs="Calibri"/>
          <w:sz w:val="16"/>
          <w:szCs w:val="16"/>
        </w:rPr>
        <w:t>ää</w:t>
      </w:r>
      <w:r>
        <w:rPr>
          <w:rFonts w:asciiTheme="majorHAnsi" w:hAnsiTheme="majorHAnsi" w:cstheme="majorHAnsi"/>
          <w:sz w:val="16"/>
          <w:szCs w:val="16"/>
        </w:rPr>
        <w:t>t</w:t>
      </w:r>
      <w:r>
        <w:rPr>
          <w:rFonts w:ascii="Calibri" w:hAnsi="Calibri" w:cs="Calibri"/>
          <w:sz w:val="16"/>
          <w:szCs w:val="16"/>
        </w:rPr>
        <w:t xml:space="preserve">änen, </w:t>
      </w:r>
      <w:r>
        <w:rPr>
          <w:rFonts w:asciiTheme="majorHAnsi" w:hAnsiTheme="majorHAnsi" w:cstheme="majorHAnsi"/>
          <w:sz w:val="16"/>
          <w:szCs w:val="16"/>
        </w:rPr>
        <w:t xml:space="preserve">Andres Vork, Magnus Piirits, Robert. I Gal, ‘Analysis of the Standardized Pan European Personal Pension (PEPP) Product and its Impact in Four European Countries: the Netherlands, Estonia, Finland and Hungary’ (2015) NETSPAR Academic Series, DP 11/2015-064; John Beshears, James J. Choi, David Laibson, Brigitte C. Madrian, ‘The Importance of Default Options for Retirement Savings Outcomes: Evidence from the United States’ (February 2006) NBER Working Paper No. 12009; Julie R. Agnew, Lisa R. Szykman, ‘Asset Allocation and Information Overload: The Influence of Information Display, Asset Choice, and Investor Experience’ (2005) 6(2) Journal of Behavioural Finance 57-70; Gur Huberman, Wei Jiang, ‘Offering vs. Choice in 401(k) Plans: Equity Exposure and Number of Funds’ (September 2004) Columbia Business School, Finance and Economics Division; see Pablo Antolin, Stephanie Payet, Juan Yermo, ‘Assessing Default Investment Strategies in Defined Contribution Plans’ (2010) 1 OECD Journal: Financial Market Trends, </w:t>
      </w:r>
      <w:hyperlink r:id="rId19" w:history="1">
        <w:r>
          <w:rPr>
            <w:rStyle w:val="Hyperlink"/>
            <w:rFonts w:asciiTheme="majorHAnsi" w:hAnsiTheme="majorHAnsi" w:cstheme="majorHAnsi"/>
            <w:sz w:val="16"/>
            <w:szCs w:val="16"/>
          </w:rPr>
          <w:t>https://www.oecd.org/finance/financial-markets/46010869.pdf</w:t>
        </w:r>
      </w:hyperlink>
      <w:r>
        <w:rPr>
          <w:rFonts w:asciiTheme="majorHAnsi" w:hAnsiTheme="majorHAnsi" w:cstheme="majorHAnsi"/>
          <w:sz w:val="16"/>
          <w:szCs w:val="16"/>
        </w:rPr>
        <w:t>; see Heinz P. Rudolph, ‘Building Voluntary Pension Schemes in Emerging Economies’ (2016) World Bank Group, Policy Research Working Paper WPS 779.</w:t>
      </w:r>
    </w:p>
  </w:footnote>
  <w:footnote w:id="33">
    <w:p w14:paraId="2D8B3DBB" w14:textId="77777777" w:rsidR="006F244F" w:rsidRDefault="006F244F" w:rsidP="006F244F">
      <w:pPr>
        <w:pStyle w:val="FootnoteText"/>
        <w:jc w:val="both"/>
        <w:rPr>
          <w:rFonts w:asciiTheme="majorHAnsi" w:hAnsiTheme="majorHAnsi" w:cstheme="majorHAnsi"/>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More or less all the precited authors (n 39), in particular: ; Beshears, Choi, Laibson, Madrian, ‘The Importance of Default Options for Retirement Savings Outcomes: Evidence from the United States’ (n 39); Jeffrey W. Clark, Jean A. Young, ‘Automatic enrolment: The Power of the Default’ (March 2018) Vanguard Research.</w:t>
      </w:r>
    </w:p>
  </w:footnote>
  <w:footnote w:id="34">
    <w:p w14:paraId="51CC082C" w14:textId="77777777" w:rsidR="006F244F" w:rsidRDefault="006F244F" w:rsidP="006F244F">
      <w:pPr>
        <w:pStyle w:val="FootnoteText"/>
        <w:jc w:val="both"/>
        <w:rPr>
          <w:rFonts w:asciiTheme="majorHAnsi" w:hAnsiTheme="majorHAnsi" w:cstheme="majorHAnsi"/>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Exceptionally not, but it depends whether the product manufacturer allows to buy a product in absence of advice or contrary to the advice received.</w:t>
      </w:r>
    </w:p>
  </w:footnote>
  <w:footnote w:id="35">
    <w:p w14:paraId="1B6266A4" w14:textId="77777777" w:rsidR="006F244F" w:rsidRDefault="006F244F" w:rsidP="006F244F">
      <w:pPr>
        <w:pStyle w:val="FootnoteText"/>
        <w:jc w:val="both"/>
        <w:rPr>
          <w:rFonts w:asciiTheme="minorHAnsi" w:hAnsiTheme="minorHAnsi" w:cstheme="minorBidi"/>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See potential reasons in Agnes, Szykman,</w:t>
      </w:r>
      <w:r>
        <w:rPr>
          <w:rFonts w:asciiTheme="majorHAnsi" w:hAnsiTheme="majorHAnsi" w:cstheme="majorHAnsi"/>
          <w:sz w:val="12"/>
          <w:szCs w:val="12"/>
        </w:rPr>
        <w:t xml:space="preserve"> </w:t>
      </w:r>
      <w:r>
        <w:rPr>
          <w:rFonts w:asciiTheme="majorHAnsi" w:hAnsiTheme="majorHAnsi" w:cstheme="majorHAnsi"/>
          <w:sz w:val="16"/>
          <w:szCs w:val="16"/>
        </w:rPr>
        <w:t>‘Asset Allocation and Information Overload: The Influence of Information Display, Asset Choice, and Investor Experience’ (n 32) above.</w:t>
      </w:r>
    </w:p>
  </w:footnote>
  <w:footnote w:id="36">
    <w:p w14:paraId="29084F36" w14:textId="77777777" w:rsidR="006F244F" w:rsidRDefault="006F244F" w:rsidP="006F244F">
      <w:pPr>
        <w:pStyle w:val="FootnoteText"/>
        <w:rPr>
          <w:rFonts w:asciiTheme="majorHAnsi" w:hAnsiTheme="majorHAnsi" w:cstheme="majorHAnsi"/>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Of course, the DIO may be actually the preferred and chosen option by an active saver.</w:t>
      </w:r>
    </w:p>
  </w:footnote>
  <w:footnote w:id="37">
    <w:p w14:paraId="3ED395D8" w14:textId="77777777" w:rsidR="006F244F" w:rsidRDefault="006F244F" w:rsidP="006F244F">
      <w:pPr>
        <w:pStyle w:val="FootnoteText"/>
        <w:jc w:val="both"/>
        <w:rPr>
          <w:rFonts w:asciiTheme="minorHAnsi" w:hAnsiTheme="minorHAnsi" w:cstheme="minorBidi"/>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See also EIOPA ‘Survey of EU Practice on Default Investment Options” (n 32) acknowledging the need to supervise and regulate the DIO.</w:t>
      </w:r>
    </w:p>
  </w:footnote>
  <w:footnote w:id="38">
    <w:p w14:paraId="56286765" w14:textId="77777777" w:rsidR="006F244F" w:rsidRDefault="006F244F" w:rsidP="006F244F">
      <w:pPr>
        <w:pStyle w:val="FootnoteText"/>
        <w:rPr>
          <w:rFonts w:asciiTheme="majorHAnsi" w:hAnsiTheme="majorHAnsi"/>
        </w:rPr>
      </w:pPr>
      <w:r>
        <w:rPr>
          <w:rStyle w:val="FootnoteReference"/>
          <w:rFonts w:asciiTheme="majorHAnsi" w:hAnsiTheme="majorHAnsi"/>
          <w:sz w:val="16"/>
          <w:szCs w:val="16"/>
        </w:rPr>
        <w:footnoteRef/>
      </w:r>
      <w:r>
        <w:rPr>
          <w:rFonts w:asciiTheme="majorHAnsi" w:hAnsiTheme="majorHAnsi"/>
          <w:sz w:val="16"/>
          <w:szCs w:val="16"/>
        </w:rPr>
        <w:t xml:space="preserve"> Gaobo Pang, Mark J. Warshawsky, ‘Default Investment Options in Defined Contribution Plans: A Quantitative Comparison’ (2008) 13(4) Pensions: An International Journal 221 – 226, available at: </w:t>
      </w:r>
      <w:hyperlink r:id="rId20" w:history="1">
        <w:r>
          <w:rPr>
            <w:rStyle w:val="Hyperlink"/>
            <w:rFonts w:asciiTheme="majorHAnsi" w:hAnsiTheme="majorHAnsi"/>
            <w:sz w:val="16"/>
            <w:szCs w:val="16"/>
          </w:rPr>
          <w:t>https://link.springer.com/article/10.1057/pm.2008.23</w:t>
        </w:r>
      </w:hyperlink>
      <w:r>
        <w:rPr>
          <w:rFonts w:asciiTheme="majorHAnsi" w:hAnsiTheme="majorHAnsi"/>
          <w:sz w:val="16"/>
          <w:szCs w:val="16"/>
        </w:rPr>
        <w:t xml:space="preserve">. </w:t>
      </w:r>
    </w:p>
  </w:footnote>
  <w:footnote w:id="39">
    <w:p w14:paraId="6713650E" w14:textId="77777777" w:rsidR="006F244F" w:rsidRDefault="006F244F" w:rsidP="006F244F">
      <w:pPr>
        <w:pStyle w:val="FootnoteText"/>
        <w:jc w:val="both"/>
        <w:rPr>
          <w:rFonts w:asciiTheme="minorHAnsi" w:hAnsiTheme="minorHAnsi"/>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see Ibid; see Antolin, Payet, Yermo, ‘Assessing Default Investment Strategies in Defined Contribution Plans’ (n 32) 2; see Andrea Berardi, Claudio Tebaldi, Fabio Trojani, ‘Consumer Protection and the Design of the Default Investment Option of a Pan-European Personal Pension Product’ (1 February 2018) SDA  BocconiSchool of Management by the European Fund and Asset Management Association, page v; see Jakub Fodor, Juraj Cenker, ‘Default Strategy in Pension Saving: The Case of Slovakia’ (March 2019) Institut Financnej Politiky, 11; </w:t>
      </w:r>
    </w:p>
  </w:footnote>
  <w:footnote w:id="40">
    <w:p w14:paraId="6E18C258" w14:textId="77777777" w:rsidR="006F244F" w:rsidRDefault="006F244F" w:rsidP="006F244F">
      <w:pPr>
        <w:pStyle w:val="FootnoteText"/>
        <w:rPr>
          <w:rFonts w:asciiTheme="majorHAnsi" w:hAnsiTheme="majorHAnsi"/>
        </w:rPr>
      </w:pPr>
      <w:r>
        <w:rPr>
          <w:rStyle w:val="FootnoteReference"/>
          <w:rFonts w:asciiTheme="majorHAnsi" w:hAnsiTheme="majorHAnsi"/>
          <w:sz w:val="16"/>
          <w:szCs w:val="16"/>
        </w:rPr>
        <w:footnoteRef/>
      </w:r>
      <w:r>
        <w:rPr>
          <w:rFonts w:asciiTheme="majorHAnsi" w:hAnsiTheme="majorHAnsi"/>
          <w:sz w:val="16"/>
          <w:szCs w:val="16"/>
        </w:rPr>
        <w:t xml:space="preserve"> See BETTER FINANCE, ‘Dispersion of Risk Mitigation Techniques in Life Cycle Pensions’ (June 2018), available here: </w:t>
      </w:r>
      <w:hyperlink r:id="rId21" w:history="1">
        <w:r>
          <w:rPr>
            <w:rStyle w:val="Hyperlink"/>
            <w:rFonts w:asciiTheme="majorHAnsi" w:hAnsiTheme="majorHAnsi"/>
            <w:sz w:val="16"/>
            <w:szCs w:val="16"/>
          </w:rPr>
          <w:t>https://betterfinance.eu/wp-content/uploads/The_Dispersion_of_Risk_Mitigation_Techniques_in_Life_Cycle_Pensions_-_Final_Report_-_130618.pdf</w:t>
        </w:r>
      </w:hyperlink>
      <w:r>
        <w:rPr>
          <w:rFonts w:asciiTheme="majorHAnsi" w:hAnsiTheme="majorHAnsi"/>
          <w:sz w:val="16"/>
          <w:szCs w:val="16"/>
        </w:rPr>
        <w:t xml:space="preserve">. </w:t>
      </w:r>
    </w:p>
  </w:footnote>
  <w:footnote w:id="41">
    <w:p w14:paraId="46E49843" w14:textId="77777777" w:rsidR="006F244F" w:rsidRDefault="006F244F" w:rsidP="006F244F">
      <w:pPr>
        <w:pStyle w:val="FootnoteText"/>
        <w:jc w:val="both"/>
        <w:rPr>
          <w:rFonts w:asciiTheme="minorHAnsi" w:hAnsiTheme="minorHAnsi"/>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See Fodor, Cenker, ‘Default Strategy in Pension Saving: The Case of Slovakia’ (n 46), 12.</w:t>
      </w:r>
    </w:p>
  </w:footnote>
  <w:footnote w:id="42">
    <w:p w14:paraId="4AB22A91" w14:textId="77777777" w:rsidR="006F244F" w:rsidRDefault="006F244F" w:rsidP="006F244F">
      <w:pPr>
        <w:pStyle w:val="FootnoteText"/>
        <w:rPr>
          <w:rFonts w:asciiTheme="majorHAnsi" w:hAnsiTheme="majorHAnsi" w:cstheme="majorHAnsi"/>
          <w:sz w:val="16"/>
          <w:szCs w:val="16"/>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See Antolin, Payet, Yermo, ‘Assessing Default Investment Strategies in Defined Contribution Plans’ (n 32) 24.</w:t>
      </w:r>
    </w:p>
  </w:footnote>
  <w:footnote w:id="43">
    <w:p w14:paraId="3017C98E" w14:textId="77777777" w:rsidR="006F244F" w:rsidRDefault="006F244F" w:rsidP="006F244F">
      <w:pPr>
        <w:pStyle w:val="FootnoteText"/>
        <w:rPr>
          <w:rFonts w:asciiTheme="majorHAnsi" w:hAnsiTheme="majorHAnsi" w:cstheme="majorHAnsi"/>
          <w:sz w:val="16"/>
          <w:szCs w:val="16"/>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Fodor, Cenker, ‘Default Strategy in Pension Saving: The Case of Slovakia’ (n 46), 18.</w:t>
      </w:r>
    </w:p>
  </w:footnote>
  <w:footnote w:id="44">
    <w:p w14:paraId="1B9C0E00" w14:textId="77777777" w:rsidR="006F244F" w:rsidRDefault="006F244F" w:rsidP="006F244F">
      <w:pPr>
        <w:pStyle w:val="FootnoteText"/>
        <w:rPr>
          <w:rFonts w:asciiTheme="majorHAnsi" w:hAnsiTheme="majorHAnsi" w:cstheme="majorHAnsi"/>
          <w:sz w:val="20"/>
          <w:lang w:val="fr-FR"/>
        </w:rPr>
      </w:pPr>
      <w:r>
        <w:rPr>
          <w:rStyle w:val="FootnoteReference"/>
          <w:rFonts w:asciiTheme="majorHAnsi" w:hAnsiTheme="majorHAnsi" w:cstheme="majorHAnsi"/>
          <w:sz w:val="16"/>
          <w:szCs w:val="16"/>
        </w:rPr>
        <w:footnoteRef/>
      </w:r>
      <w:r>
        <w:rPr>
          <w:rFonts w:asciiTheme="majorHAnsi" w:hAnsiTheme="majorHAnsi" w:cstheme="majorHAnsi"/>
          <w:sz w:val="16"/>
          <w:szCs w:val="16"/>
          <w:lang w:val="fr-FR"/>
        </w:rPr>
        <w:t xml:space="preserve"> Ibid, 24.</w:t>
      </w:r>
    </w:p>
  </w:footnote>
  <w:footnote w:id="45">
    <w:p w14:paraId="4CD1DF6E" w14:textId="77777777" w:rsidR="006F244F" w:rsidRDefault="006F244F" w:rsidP="006F244F">
      <w:pPr>
        <w:pStyle w:val="FootnoteText"/>
        <w:jc w:val="both"/>
        <w:rPr>
          <w:rFonts w:asciiTheme="majorHAnsi" w:hAnsiTheme="majorHAnsi" w:cstheme="minorBidi"/>
          <w:lang w:val="fr-FR"/>
        </w:rPr>
      </w:pPr>
      <w:r>
        <w:rPr>
          <w:rStyle w:val="FootnoteReference"/>
          <w:rFonts w:asciiTheme="majorHAnsi" w:hAnsiTheme="majorHAnsi"/>
          <w:sz w:val="16"/>
          <w:szCs w:val="16"/>
        </w:rPr>
        <w:footnoteRef/>
      </w:r>
      <w:r>
        <w:rPr>
          <w:rFonts w:asciiTheme="majorHAnsi" w:hAnsiTheme="majorHAnsi"/>
          <w:sz w:val="16"/>
          <w:szCs w:val="16"/>
          <w:lang w:val="fr-FR"/>
        </w:rPr>
        <w:t xml:space="preserve"> Arrêté du MINISTÈRE DE L’ÉCONOMIE ET DES FINANCES du 7 août 2019 portant application de la réforme de l’épargne retraite, Journal Officiel de la Republique Française, 11 août 2019. </w:t>
      </w:r>
    </w:p>
  </w:footnote>
  <w:footnote w:id="46">
    <w:p w14:paraId="2E6E47A6" w14:textId="77777777" w:rsidR="00A24931" w:rsidRDefault="00A24931" w:rsidP="00A24931">
      <w:pPr>
        <w:pStyle w:val="FootnoteText"/>
        <w:rPr>
          <w:rFonts w:asciiTheme="majorHAnsi" w:hAnsiTheme="majorHAnsi" w:cstheme="majorHAnsi"/>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BETTER FINANCE Technical Working Paper PEPP Series 1/2020.</w:t>
      </w:r>
    </w:p>
  </w:footnote>
  <w:footnote w:id="47">
    <w:p w14:paraId="0FC0D6DB" w14:textId="77777777" w:rsidR="002E096F" w:rsidRDefault="002E096F" w:rsidP="002E096F">
      <w:pPr>
        <w:pStyle w:val="FootnoteText"/>
        <w:rPr>
          <w:rFonts w:asciiTheme="majorHAnsi" w:hAnsiTheme="majorHAnsi" w:cstheme="majorHAnsi"/>
          <w:lang w:eastAsia="en-US"/>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BETTER FINANCE, ‘Robo-Advice: A Look Under the Hood 2.0’ (November 2019) </w:t>
      </w:r>
      <w:hyperlink r:id="rId22" w:history="1">
        <w:r>
          <w:rPr>
            <w:rStyle w:val="Hyperlink"/>
            <w:rFonts w:asciiTheme="majorHAnsi" w:hAnsiTheme="majorHAnsi" w:cstheme="majorHAnsi"/>
            <w:sz w:val="16"/>
            <w:szCs w:val="16"/>
          </w:rPr>
          <w:t>https://betterfinance.eu/wp-content/uploads/Robo-Advice-Report-2019-FINAL.pdf</w:t>
        </w:r>
      </w:hyperlink>
      <w:r>
        <w:rPr>
          <w:rFonts w:asciiTheme="majorHAnsi" w:hAnsiTheme="majorHAnsi" w:cstheme="majorHAnsi"/>
          <w:sz w:val="16"/>
          <w:szCs w:val="16"/>
        </w:rPr>
        <w:t xml:space="preserve">. </w:t>
      </w:r>
    </w:p>
  </w:footnote>
  <w:footnote w:id="48">
    <w:p w14:paraId="55B7E0F0" w14:textId="77777777" w:rsidR="003546FC" w:rsidRDefault="003546FC" w:rsidP="003546FC">
      <w:pPr>
        <w:pStyle w:val="FootnoteText"/>
        <w:rPr>
          <w:rFonts w:asciiTheme="majorHAnsi" w:hAnsiTheme="majorHAnsi" w:cstheme="majorHAnsi"/>
          <w:sz w:val="16"/>
          <w:szCs w:val="16"/>
          <w:lang w:eastAsia="en-US"/>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BETTER FINANCE own computations based on The Atlas, ‘Global Financial Literacy Ranking’ (2016) </w:t>
      </w:r>
      <w:hyperlink r:id="rId23" w:history="1">
        <w:r>
          <w:rPr>
            <w:rStyle w:val="Hyperlink"/>
            <w:rFonts w:asciiTheme="majorHAnsi" w:hAnsiTheme="majorHAnsi" w:cstheme="majorHAnsi"/>
            <w:sz w:val="16"/>
            <w:szCs w:val="16"/>
          </w:rPr>
          <w:t>https://theatlas.com/charts/VJDhtA8Xe</w:t>
        </w:r>
      </w:hyperlink>
      <w:r>
        <w:rPr>
          <w:rFonts w:asciiTheme="majorHAnsi" w:hAnsiTheme="majorHAnsi" w:cstheme="majorHAnsi"/>
          <w:sz w:val="16"/>
          <w:szCs w:val="16"/>
        </w:rPr>
        <w:t xml:space="preserve">. </w:t>
      </w:r>
    </w:p>
  </w:footnote>
  <w:footnote w:id="49">
    <w:p w14:paraId="0A3D45DC" w14:textId="77777777" w:rsidR="003546FC" w:rsidRDefault="003546FC" w:rsidP="003546FC">
      <w:pPr>
        <w:pStyle w:val="FootnoteText"/>
        <w:jc w:val="both"/>
        <w:rPr>
          <w:rFonts w:asciiTheme="majorHAnsi" w:hAnsiTheme="majorHAnsi" w:cstheme="majorHAnsi"/>
          <w:sz w:val="16"/>
          <w:szCs w:val="16"/>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EIOPA Consultation Paper on the proposed approaches and considerations for EIOPA’s Technical Advice, Implementing and Regulatory Technical Standards under Regulation (EU) 2019/1238 on a Pan-European Personal Pensions Product (PEPP), hereinafter “CP”.</w:t>
      </w:r>
    </w:p>
  </w:footnote>
  <w:footnote w:id="50">
    <w:p w14:paraId="6BADC743" w14:textId="77777777" w:rsidR="003546FC" w:rsidRDefault="003546FC" w:rsidP="003546FC">
      <w:pPr>
        <w:pStyle w:val="FootnoteText"/>
        <w:jc w:val="both"/>
        <w:rPr>
          <w:rFonts w:asciiTheme="majorHAnsi" w:hAnsiTheme="majorHAnsi" w:cstheme="majorHAnsi"/>
          <w:sz w:val="16"/>
          <w:szCs w:val="16"/>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See BETTER FINANCE’s simple video on the PEPP Capital Guarantee Scam: </w:t>
      </w:r>
      <w:hyperlink r:id="rId24" w:history="1">
        <w:r>
          <w:rPr>
            <w:rStyle w:val="Hyperlink"/>
            <w:rFonts w:asciiTheme="majorHAnsi" w:hAnsiTheme="majorHAnsi" w:cstheme="majorHAnsi"/>
            <w:sz w:val="16"/>
            <w:szCs w:val="16"/>
          </w:rPr>
          <w:t>https://www.youtube.com/watch?v=XyABzZd5-0I</w:t>
        </w:r>
      </w:hyperlink>
      <w:r>
        <w:rPr>
          <w:rFonts w:asciiTheme="majorHAnsi" w:hAnsiTheme="majorHAnsi" w:cstheme="majorHAnsi"/>
          <w:sz w:val="16"/>
          <w:szCs w:val="16"/>
        </w:rPr>
        <w:t xml:space="preserve">. </w:t>
      </w:r>
    </w:p>
  </w:footnote>
  <w:footnote w:id="51">
    <w:p w14:paraId="04C233FA" w14:textId="77777777" w:rsidR="003546FC" w:rsidRDefault="003546FC" w:rsidP="003546FC">
      <w:pPr>
        <w:pStyle w:val="FootnoteText"/>
        <w:rPr>
          <w:rFonts w:asciiTheme="majorHAnsi" w:hAnsiTheme="majorHAnsi" w:cstheme="majorHAnsi"/>
          <w:sz w:val="16"/>
          <w:szCs w:val="16"/>
          <w:highlight w:val="yellow"/>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w:t>
      </w:r>
      <w:hyperlink r:id="rId25" w:history="1">
        <w:r>
          <w:rPr>
            <w:rStyle w:val="Hyperlink"/>
            <w:rFonts w:asciiTheme="majorHAnsi" w:hAnsiTheme="majorHAnsi"/>
            <w:sz w:val="16"/>
            <w:szCs w:val="16"/>
          </w:rPr>
          <w:t>https://betterfinance.eu/publication/pepp-position-paper/</w:t>
        </w:r>
      </w:hyperlink>
      <w:r>
        <w:rPr>
          <w:rFonts w:asciiTheme="majorHAnsi" w:hAnsiTheme="majorHAnsi"/>
          <w:sz w:val="16"/>
          <w:szCs w:val="16"/>
        </w:rPr>
        <w:t>.</w:t>
      </w:r>
    </w:p>
  </w:footnote>
  <w:footnote w:id="52">
    <w:p w14:paraId="2950C12F" w14:textId="77777777" w:rsidR="003546FC" w:rsidRDefault="003546FC" w:rsidP="003546FC">
      <w:pPr>
        <w:pStyle w:val="FootnoteText"/>
        <w:rPr>
          <w:rFonts w:asciiTheme="majorHAnsi" w:hAnsiTheme="majorHAnsi" w:cstheme="majorHAnsi"/>
          <w:sz w:val="16"/>
          <w:szCs w:val="16"/>
          <w:highlight w:val="yellow"/>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w:t>
      </w:r>
      <w:hyperlink r:id="rId26" w:history="1">
        <w:r>
          <w:rPr>
            <w:rStyle w:val="Hyperlink"/>
            <w:rFonts w:asciiTheme="majorHAnsi" w:hAnsiTheme="majorHAnsi" w:cstheme="majorHAnsi"/>
            <w:sz w:val="16"/>
            <w:szCs w:val="16"/>
          </w:rPr>
          <w:t>http://betterfinance.eu/pepp/</w:t>
        </w:r>
      </w:hyperlink>
      <w:r>
        <w:rPr>
          <w:rFonts w:asciiTheme="majorHAnsi" w:hAnsiTheme="majorHAnsi" w:cstheme="majorHAnsi"/>
          <w:sz w:val="16"/>
          <w:szCs w:val="16"/>
        </w:rPr>
        <w:t xml:space="preserve"> </w:t>
      </w:r>
    </w:p>
  </w:footnote>
  <w:footnote w:id="53">
    <w:p w14:paraId="1A0FE6DE" w14:textId="77777777" w:rsidR="003546FC" w:rsidRDefault="003546FC" w:rsidP="003546FC">
      <w:pPr>
        <w:pStyle w:val="FootnoteText"/>
        <w:rPr>
          <w:rFonts w:asciiTheme="minorHAnsi" w:hAnsiTheme="minorHAnsi" w:cstheme="minorBidi"/>
          <w:sz w:val="20"/>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w:t>
      </w:r>
      <w:hyperlink r:id="rId27" w:history="1">
        <w:r>
          <w:rPr>
            <w:rStyle w:val="Hyperlink"/>
            <w:rFonts w:asciiTheme="majorHAnsi" w:hAnsiTheme="majorHAnsi" w:cstheme="majorHAnsi"/>
            <w:sz w:val="16"/>
            <w:szCs w:val="16"/>
          </w:rPr>
          <w:t>http://betterfinance.eu/PEPP-TWP-1-2020/</w:t>
        </w:r>
      </w:hyperlink>
      <w:r>
        <w:rPr>
          <w:rFonts w:asciiTheme="majorHAnsi" w:hAnsiTheme="majorHAnsi" w:cstheme="maj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899F9" w14:textId="77777777" w:rsidR="009D03E2" w:rsidRDefault="009D03E2">
    <w:pPr>
      <w:pStyle w:val="Header"/>
    </w:pPr>
    <w:r>
      <w:rPr>
        <w:noProof/>
        <w:lang w:eastAsia="en-GB"/>
      </w:rPr>
      <w:drawing>
        <wp:anchor distT="0" distB="0" distL="114300" distR="114300" simplePos="0" relativeHeight="251657728" behindDoc="1" locked="0" layoutInCell="1" allowOverlap="1" wp14:anchorId="77A3B81A" wp14:editId="5EDAC54A">
          <wp:simplePos x="0" y="0"/>
          <wp:positionH relativeFrom="column">
            <wp:posOffset>7734300</wp:posOffset>
          </wp:positionH>
          <wp:positionV relativeFrom="paragraph">
            <wp:posOffset>-163195</wp:posOffset>
          </wp:positionV>
          <wp:extent cx="1447800" cy="1114425"/>
          <wp:effectExtent l="0" t="0" r="0" b="9525"/>
          <wp:wrapTight wrapText="bothSides">
            <wp:wrapPolygon edited="0">
              <wp:start x="0" y="0"/>
              <wp:lineTo x="0" y="21415"/>
              <wp:lineTo x="21316" y="21415"/>
              <wp:lineTo x="21316" y="0"/>
              <wp:lineTo x="0" y="0"/>
            </wp:wrapPolygon>
          </wp:wrapTight>
          <wp:docPr id="1" name="Picture 1" descr="eiopa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opa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14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0" type="#_x0000_t75" style="width:11.5pt;height:11.5pt" o:bullet="t">
        <v:imagedata r:id="rId1" o:title="clip_image001"/>
      </v:shape>
    </w:pict>
  </w:numPicBullet>
  <w:abstractNum w:abstractNumId="0" w15:restartNumberingAfterBreak="0">
    <w:nsid w:val="0F711CBC"/>
    <w:multiLevelType w:val="hybridMultilevel"/>
    <w:tmpl w:val="3D880146"/>
    <w:lvl w:ilvl="0" w:tplc="160E94CE">
      <w:start w:val="1"/>
      <w:numFmt w:val="bullet"/>
      <w:pStyle w:val="ContinuousSquareBullet"/>
      <w:lvlText w:val="•"/>
      <w:lvlJc w:val="left"/>
      <w:pPr>
        <w:tabs>
          <w:tab w:val="num" w:pos="720"/>
        </w:tabs>
        <w:ind w:left="720" w:hanging="360"/>
      </w:pPr>
      <w:rPr>
        <w:rFonts w:ascii="Times New Roman" w:hAnsi="Times New Roman" w:hint="default"/>
      </w:rPr>
    </w:lvl>
    <w:lvl w:ilvl="1" w:tplc="3FF2B122">
      <w:start w:val="139"/>
      <w:numFmt w:val="bullet"/>
      <w:lvlText w:val=""/>
      <w:lvlJc w:val="left"/>
      <w:pPr>
        <w:tabs>
          <w:tab w:val="num" w:pos="1440"/>
        </w:tabs>
        <w:ind w:left="1440" w:hanging="360"/>
      </w:pPr>
      <w:rPr>
        <w:rFonts w:ascii="Wingdings" w:hAnsi="Wingdings" w:hint="default"/>
      </w:rPr>
    </w:lvl>
    <w:lvl w:ilvl="2" w:tplc="EFA083EE" w:tentative="1">
      <w:start w:val="1"/>
      <w:numFmt w:val="bullet"/>
      <w:lvlText w:val="•"/>
      <w:lvlJc w:val="left"/>
      <w:pPr>
        <w:tabs>
          <w:tab w:val="num" w:pos="2160"/>
        </w:tabs>
        <w:ind w:left="2160" w:hanging="360"/>
      </w:pPr>
      <w:rPr>
        <w:rFonts w:ascii="Times New Roman" w:hAnsi="Times New Roman" w:hint="default"/>
      </w:rPr>
    </w:lvl>
    <w:lvl w:ilvl="3" w:tplc="D514E034" w:tentative="1">
      <w:start w:val="1"/>
      <w:numFmt w:val="bullet"/>
      <w:lvlText w:val="•"/>
      <w:lvlJc w:val="left"/>
      <w:pPr>
        <w:tabs>
          <w:tab w:val="num" w:pos="2880"/>
        </w:tabs>
        <w:ind w:left="2880" w:hanging="360"/>
      </w:pPr>
      <w:rPr>
        <w:rFonts w:ascii="Times New Roman" w:hAnsi="Times New Roman" w:hint="default"/>
      </w:rPr>
    </w:lvl>
    <w:lvl w:ilvl="4" w:tplc="EA242508" w:tentative="1">
      <w:start w:val="1"/>
      <w:numFmt w:val="bullet"/>
      <w:lvlText w:val="•"/>
      <w:lvlJc w:val="left"/>
      <w:pPr>
        <w:tabs>
          <w:tab w:val="num" w:pos="3600"/>
        </w:tabs>
        <w:ind w:left="3600" w:hanging="360"/>
      </w:pPr>
      <w:rPr>
        <w:rFonts w:ascii="Times New Roman" w:hAnsi="Times New Roman" w:hint="default"/>
      </w:rPr>
    </w:lvl>
    <w:lvl w:ilvl="5" w:tplc="FD3CA23C" w:tentative="1">
      <w:start w:val="1"/>
      <w:numFmt w:val="bullet"/>
      <w:lvlText w:val="•"/>
      <w:lvlJc w:val="left"/>
      <w:pPr>
        <w:tabs>
          <w:tab w:val="num" w:pos="4320"/>
        </w:tabs>
        <w:ind w:left="4320" w:hanging="360"/>
      </w:pPr>
      <w:rPr>
        <w:rFonts w:ascii="Times New Roman" w:hAnsi="Times New Roman" w:hint="default"/>
      </w:rPr>
    </w:lvl>
    <w:lvl w:ilvl="6" w:tplc="4F2497AE" w:tentative="1">
      <w:start w:val="1"/>
      <w:numFmt w:val="bullet"/>
      <w:lvlText w:val="•"/>
      <w:lvlJc w:val="left"/>
      <w:pPr>
        <w:tabs>
          <w:tab w:val="num" w:pos="5040"/>
        </w:tabs>
        <w:ind w:left="5040" w:hanging="360"/>
      </w:pPr>
      <w:rPr>
        <w:rFonts w:ascii="Times New Roman" w:hAnsi="Times New Roman" w:hint="default"/>
      </w:rPr>
    </w:lvl>
    <w:lvl w:ilvl="7" w:tplc="57E8B514" w:tentative="1">
      <w:start w:val="1"/>
      <w:numFmt w:val="bullet"/>
      <w:lvlText w:val="•"/>
      <w:lvlJc w:val="left"/>
      <w:pPr>
        <w:tabs>
          <w:tab w:val="num" w:pos="5760"/>
        </w:tabs>
        <w:ind w:left="5760" w:hanging="360"/>
      </w:pPr>
      <w:rPr>
        <w:rFonts w:ascii="Times New Roman" w:hAnsi="Times New Roman" w:hint="default"/>
      </w:rPr>
    </w:lvl>
    <w:lvl w:ilvl="8" w:tplc="76FE82D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AA6DC2"/>
    <w:multiLevelType w:val="hybridMultilevel"/>
    <w:tmpl w:val="D4C298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FA4735"/>
    <w:multiLevelType w:val="hybridMultilevel"/>
    <w:tmpl w:val="FFAC1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4D4C31"/>
    <w:multiLevelType w:val="multilevel"/>
    <w:tmpl w:val="3AF078A6"/>
    <w:styleLink w:val="Decision"/>
    <w:lvl w:ilvl="0">
      <w:start w:val="1"/>
      <w:numFmt w:val="decimal"/>
      <w:pStyle w:val="Titles"/>
      <w:suff w:val="space"/>
      <w:lvlText w:val="Title %1"/>
      <w:lvlJc w:val="left"/>
      <w:pPr>
        <w:ind w:left="0" w:firstLine="0"/>
      </w:pPr>
      <w:rPr>
        <w:rFonts w:hint="default"/>
      </w:rPr>
    </w:lvl>
    <w:lvl w:ilvl="1">
      <w:start w:val="1"/>
      <w:numFmt w:val="decimal"/>
      <w:pStyle w:val="Chapter"/>
      <w:suff w:val="space"/>
      <w:lvlText w:val="Chapter %2"/>
      <w:lvlJc w:val="left"/>
      <w:pPr>
        <w:ind w:left="0" w:firstLine="0"/>
      </w:pPr>
      <w:rPr>
        <w:rFonts w:hint="default"/>
        <w:sz w:val="24"/>
      </w:rPr>
    </w:lvl>
    <w:lvl w:ilvl="2">
      <w:start w:val="1"/>
      <w:numFmt w:val="decimal"/>
      <w:pStyle w:val="Article"/>
      <w:suff w:val="space"/>
      <w:lvlText w:val="Article %3"/>
      <w:lvlJc w:val="left"/>
      <w:pPr>
        <w:ind w:left="0" w:firstLine="0"/>
      </w:pPr>
      <w:rPr>
        <w:rFonts w:hint="default"/>
      </w:rPr>
    </w:lvl>
    <w:lvl w:ilvl="3">
      <w:start w:val="1"/>
      <w:numFmt w:val="decimal"/>
      <w:pStyle w:val="Para1"/>
      <w:lvlText w:val="%4."/>
      <w:lvlJc w:val="left"/>
      <w:pPr>
        <w:tabs>
          <w:tab w:val="num" w:pos="720"/>
        </w:tabs>
        <w:ind w:left="720" w:hanging="720"/>
      </w:pPr>
      <w:rPr>
        <w:rFonts w:hint="default"/>
      </w:rPr>
    </w:lvl>
    <w:lvl w:ilvl="4">
      <w:start w:val="1"/>
      <w:numFmt w:val="lowerLetter"/>
      <w:pStyle w:val="Sub-paraa"/>
      <w:lvlText w:val="(%5)"/>
      <w:lvlJc w:val="left"/>
      <w:pPr>
        <w:tabs>
          <w:tab w:val="num" w:pos="1440"/>
        </w:tabs>
        <w:ind w:left="1440" w:hanging="720"/>
      </w:pPr>
      <w:rPr>
        <w:rFonts w:hint="default"/>
      </w:rPr>
    </w:lvl>
    <w:lvl w:ilvl="5">
      <w:start w:val="1"/>
      <w:numFmt w:val="lowerRoman"/>
      <w:pStyle w:val="Sub-parai"/>
      <w:lvlText w:val="(%6)"/>
      <w:lvlJc w:val="left"/>
      <w:pPr>
        <w:tabs>
          <w:tab w:val="num" w:pos="2160"/>
        </w:tabs>
        <w:ind w:left="2160" w:hanging="72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20DC43D6"/>
    <w:multiLevelType w:val="hybridMultilevel"/>
    <w:tmpl w:val="7BC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D419B"/>
    <w:multiLevelType w:val="multilevel"/>
    <w:tmpl w:val="A89E3C18"/>
    <w:lvl w:ilvl="0">
      <w:start w:val="1"/>
      <w:numFmt w:val="bullet"/>
      <w:lvlText w:val=""/>
      <w:lvlJc w:val="left"/>
      <w:pPr>
        <w:tabs>
          <w:tab w:val="num" w:pos="360"/>
        </w:tabs>
        <w:ind w:left="360" w:hanging="360"/>
      </w:pPr>
      <w:rPr>
        <w:rFonts w:ascii="Wingdings" w:hAnsi="Wingdings" w:hint="default"/>
        <w:sz w:val="20"/>
      </w:rPr>
    </w:lvl>
    <w:lvl w:ilvl="1">
      <w:start w:val="1"/>
      <w:numFmt w:val="bullet"/>
      <w:pStyle w:val="Subbulet"/>
      <w:lvlText w:val=""/>
      <w:lvlJc w:val="left"/>
      <w:pPr>
        <w:tabs>
          <w:tab w:val="num" w:pos="720"/>
        </w:tabs>
        <w:ind w:left="720" w:hanging="360"/>
      </w:pPr>
      <w:rPr>
        <w:rFonts w:ascii="Wingdings" w:hAnsi="Wingdings" w:hint="default"/>
        <w:color w:val="auto"/>
        <w:sz w:val="20"/>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6" w15:restartNumberingAfterBreak="0">
    <w:nsid w:val="29600BDA"/>
    <w:multiLevelType w:val="hybridMultilevel"/>
    <w:tmpl w:val="DD0E150C"/>
    <w:lvl w:ilvl="0" w:tplc="5A7CE264">
      <w:start w:val="1"/>
      <w:numFmt w:val="decimal"/>
      <w:lvlText w:val="%1."/>
      <w:lvlJc w:val="left"/>
      <w:pPr>
        <w:ind w:left="720" w:hanging="360"/>
      </w:pPr>
      <w:rPr>
        <w:rFonts w:ascii="Verdana" w:hAnsi="Verdana"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81DA6"/>
    <w:multiLevelType w:val="hybridMultilevel"/>
    <w:tmpl w:val="605C0894"/>
    <w:lvl w:ilvl="0" w:tplc="DC20374C">
      <w:start w:val="1"/>
      <w:numFmt w:val="decimal"/>
      <w:pStyle w:val="Numberedparagraph"/>
      <w:lvlText w:val="%1."/>
      <w:lvlJc w:val="left"/>
      <w:pPr>
        <w:tabs>
          <w:tab w:val="num" w:pos="0"/>
        </w:tabs>
        <w:ind w:left="0" w:hanging="567"/>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263CF"/>
    <w:multiLevelType w:val="multilevel"/>
    <w:tmpl w:val="3AF078A6"/>
    <w:numStyleLink w:val="Decision"/>
  </w:abstractNum>
  <w:abstractNum w:abstractNumId="9" w15:restartNumberingAfterBreak="0">
    <w:nsid w:val="2C765D7F"/>
    <w:multiLevelType w:val="hybridMultilevel"/>
    <w:tmpl w:val="478892C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0544E30"/>
    <w:multiLevelType w:val="hybridMultilevel"/>
    <w:tmpl w:val="B3C40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39586C"/>
    <w:multiLevelType w:val="hybridMultilevel"/>
    <w:tmpl w:val="D896B52E"/>
    <w:lvl w:ilvl="0" w:tplc="08090001">
      <w:start w:val="1"/>
      <w:numFmt w:val="bullet"/>
      <w:lvlText w:val=""/>
      <w:lvlJc w:val="left"/>
      <w:pPr>
        <w:ind w:left="771" w:hanging="360"/>
      </w:pPr>
      <w:rPr>
        <w:rFonts w:ascii="Symbol" w:hAnsi="Symbol" w:hint="default"/>
      </w:rPr>
    </w:lvl>
    <w:lvl w:ilvl="1" w:tplc="08090003">
      <w:start w:val="1"/>
      <w:numFmt w:val="bullet"/>
      <w:lvlText w:val="o"/>
      <w:lvlJc w:val="left"/>
      <w:pPr>
        <w:ind w:left="1491" w:hanging="360"/>
      </w:pPr>
      <w:rPr>
        <w:rFonts w:ascii="Courier New" w:hAnsi="Courier New" w:cs="Courier New" w:hint="default"/>
      </w:rPr>
    </w:lvl>
    <w:lvl w:ilvl="2" w:tplc="08090005">
      <w:start w:val="1"/>
      <w:numFmt w:val="bullet"/>
      <w:lvlText w:val=""/>
      <w:lvlJc w:val="left"/>
      <w:pPr>
        <w:ind w:left="2211" w:hanging="360"/>
      </w:pPr>
      <w:rPr>
        <w:rFonts w:ascii="Wingdings" w:hAnsi="Wingdings" w:hint="default"/>
      </w:rPr>
    </w:lvl>
    <w:lvl w:ilvl="3" w:tplc="08090001">
      <w:start w:val="1"/>
      <w:numFmt w:val="bullet"/>
      <w:lvlText w:val=""/>
      <w:lvlJc w:val="left"/>
      <w:pPr>
        <w:ind w:left="2931" w:hanging="360"/>
      </w:pPr>
      <w:rPr>
        <w:rFonts w:ascii="Symbol" w:hAnsi="Symbol" w:hint="default"/>
      </w:rPr>
    </w:lvl>
    <w:lvl w:ilvl="4" w:tplc="08090003">
      <w:start w:val="1"/>
      <w:numFmt w:val="bullet"/>
      <w:lvlText w:val="o"/>
      <w:lvlJc w:val="left"/>
      <w:pPr>
        <w:ind w:left="3651" w:hanging="360"/>
      </w:pPr>
      <w:rPr>
        <w:rFonts w:ascii="Courier New" w:hAnsi="Courier New" w:cs="Courier New" w:hint="default"/>
      </w:rPr>
    </w:lvl>
    <w:lvl w:ilvl="5" w:tplc="08090005">
      <w:start w:val="1"/>
      <w:numFmt w:val="bullet"/>
      <w:lvlText w:val=""/>
      <w:lvlJc w:val="left"/>
      <w:pPr>
        <w:ind w:left="4371" w:hanging="360"/>
      </w:pPr>
      <w:rPr>
        <w:rFonts w:ascii="Wingdings" w:hAnsi="Wingdings" w:hint="default"/>
      </w:rPr>
    </w:lvl>
    <w:lvl w:ilvl="6" w:tplc="08090001">
      <w:start w:val="1"/>
      <w:numFmt w:val="bullet"/>
      <w:lvlText w:val=""/>
      <w:lvlJc w:val="left"/>
      <w:pPr>
        <w:ind w:left="5091" w:hanging="360"/>
      </w:pPr>
      <w:rPr>
        <w:rFonts w:ascii="Symbol" w:hAnsi="Symbol" w:hint="default"/>
      </w:rPr>
    </w:lvl>
    <w:lvl w:ilvl="7" w:tplc="08090003">
      <w:start w:val="1"/>
      <w:numFmt w:val="bullet"/>
      <w:lvlText w:val="o"/>
      <w:lvlJc w:val="left"/>
      <w:pPr>
        <w:ind w:left="5811" w:hanging="360"/>
      </w:pPr>
      <w:rPr>
        <w:rFonts w:ascii="Courier New" w:hAnsi="Courier New" w:cs="Courier New" w:hint="default"/>
      </w:rPr>
    </w:lvl>
    <w:lvl w:ilvl="8" w:tplc="08090005">
      <w:start w:val="1"/>
      <w:numFmt w:val="bullet"/>
      <w:lvlText w:val=""/>
      <w:lvlJc w:val="left"/>
      <w:pPr>
        <w:ind w:left="6531" w:hanging="360"/>
      </w:pPr>
      <w:rPr>
        <w:rFonts w:ascii="Wingdings" w:hAnsi="Wingdings" w:hint="default"/>
      </w:rPr>
    </w:lvl>
  </w:abstractNum>
  <w:abstractNum w:abstractNumId="12" w15:restartNumberingAfterBreak="0">
    <w:nsid w:val="36BF7A4A"/>
    <w:multiLevelType w:val="hybridMultilevel"/>
    <w:tmpl w:val="54A49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566C5E"/>
    <w:multiLevelType w:val="hybridMultilevel"/>
    <w:tmpl w:val="48C62F42"/>
    <w:lvl w:ilvl="0" w:tplc="A594C0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1F541A"/>
    <w:multiLevelType w:val="multilevel"/>
    <w:tmpl w:val="6582C414"/>
    <w:lvl w:ilvl="0">
      <w:start w:val="1"/>
      <w:numFmt w:val="decimal"/>
      <w:lvlText w:val="%1."/>
      <w:lvlJc w:val="left"/>
      <w:pPr>
        <w:tabs>
          <w:tab w:val="num" w:pos="1134"/>
        </w:tabs>
        <w:ind w:left="1134" w:hanging="1134"/>
      </w:pPr>
      <w:rPr>
        <w:rFonts w:cs="Times New Roman" w:hint="default"/>
        <w:color w:val="FFFFFF"/>
      </w:rPr>
    </w:lvl>
    <w:lvl w:ilvl="1">
      <w:start w:val="1"/>
      <w:numFmt w:val="decimal"/>
      <w:pStyle w:val="QISTextCharCharCharCharCharCharCharCharCharCharCharCharChar1CharChar"/>
      <w:lvlText w:val="1.%2"/>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15:restartNumberingAfterBreak="0">
    <w:nsid w:val="44261A85"/>
    <w:multiLevelType w:val="hybridMultilevel"/>
    <w:tmpl w:val="9C3C1076"/>
    <w:lvl w:ilvl="0" w:tplc="0F768706">
      <w:start w:val="1"/>
      <w:numFmt w:val="decimal"/>
      <w:pStyle w:val="04aNumeration"/>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39165C"/>
    <w:multiLevelType w:val="hybridMultilevel"/>
    <w:tmpl w:val="D72EA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EB94C5A"/>
    <w:multiLevelType w:val="hybridMultilevel"/>
    <w:tmpl w:val="B3A8A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FB2FB7"/>
    <w:multiLevelType w:val="hybridMultilevel"/>
    <w:tmpl w:val="89A2B314"/>
    <w:lvl w:ilvl="0" w:tplc="08090001">
      <w:start w:val="1"/>
      <w:numFmt w:val="bullet"/>
      <w:lvlText w:val=""/>
      <w:lvlJc w:val="left"/>
      <w:pPr>
        <w:ind w:left="771" w:hanging="360"/>
      </w:pPr>
      <w:rPr>
        <w:rFonts w:ascii="Symbol" w:hAnsi="Symbol" w:hint="default"/>
      </w:rPr>
    </w:lvl>
    <w:lvl w:ilvl="1" w:tplc="08090003">
      <w:start w:val="1"/>
      <w:numFmt w:val="bullet"/>
      <w:lvlText w:val="o"/>
      <w:lvlJc w:val="left"/>
      <w:pPr>
        <w:ind w:left="1491" w:hanging="360"/>
      </w:pPr>
      <w:rPr>
        <w:rFonts w:ascii="Courier New" w:hAnsi="Courier New" w:cs="Courier New" w:hint="default"/>
      </w:rPr>
    </w:lvl>
    <w:lvl w:ilvl="2" w:tplc="08090005">
      <w:start w:val="1"/>
      <w:numFmt w:val="bullet"/>
      <w:lvlText w:val=""/>
      <w:lvlJc w:val="left"/>
      <w:pPr>
        <w:ind w:left="2211" w:hanging="360"/>
      </w:pPr>
      <w:rPr>
        <w:rFonts w:ascii="Wingdings" w:hAnsi="Wingdings" w:hint="default"/>
      </w:rPr>
    </w:lvl>
    <w:lvl w:ilvl="3" w:tplc="08090001">
      <w:start w:val="1"/>
      <w:numFmt w:val="bullet"/>
      <w:lvlText w:val=""/>
      <w:lvlJc w:val="left"/>
      <w:pPr>
        <w:ind w:left="2931" w:hanging="360"/>
      </w:pPr>
      <w:rPr>
        <w:rFonts w:ascii="Symbol" w:hAnsi="Symbol" w:hint="default"/>
      </w:rPr>
    </w:lvl>
    <w:lvl w:ilvl="4" w:tplc="08090003">
      <w:start w:val="1"/>
      <w:numFmt w:val="bullet"/>
      <w:lvlText w:val="o"/>
      <w:lvlJc w:val="left"/>
      <w:pPr>
        <w:ind w:left="3651" w:hanging="360"/>
      </w:pPr>
      <w:rPr>
        <w:rFonts w:ascii="Courier New" w:hAnsi="Courier New" w:cs="Courier New" w:hint="default"/>
      </w:rPr>
    </w:lvl>
    <w:lvl w:ilvl="5" w:tplc="08090005">
      <w:start w:val="1"/>
      <w:numFmt w:val="bullet"/>
      <w:lvlText w:val=""/>
      <w:lvlJc w:val="left"/>
      <w:pPr>
        <w:ind w:left="4371" w:hanging="360"/>
      </w:pPr>
      <w:rPr>
        <w:rFonts w:ascii="Wingdings" w:hAnsi="Wingdings" w:hint="default"/>
      </w:rPr>
    </w:lvl>
    <w:lvl w:ilvl="6" w:tplc="08090001">
      <w:start w:val="1"/>
      <w:numFmt w:val="bullet"/>
      <w:lvlText w:val=""/>
      <w:lvlJc w:val="left"/>
      <w:pPr>
        <w:ind w:left="5091" w:hanging="360"/>
      </w:pPr>
      <w:rPr>
        <w:rFonts w:ascii="Symbol" w:hAnsi="Symbol" w:hint="default"/>
      </w:rPr>
    </w:lvl>
    <w:lvl w:ilvl="7" w:tplc="08090003">
      <w:start w:val="1"/>
      <w:numFmt w:val="bullet"/>
      <w:lvlText w:val="o"/>
      <w:lvlJc w:val="left"/>
      <w:pPr>
        <w:ind w:left="5811" w:hanging="360"/>
      </w:pPr>
      <w:rPr>
        <w:rFonts w:ascii="Courier New" w:hAnsi="Courier New" w:cs="Courier New" w:hint="default"/>
      </w:rPr>
    </w:lvl>
    <w:lvl w:ilvl="8" w:tplc="08090005">
      <w:start w:val="1"/>
      <w:numFmt w:val="bullet"/>
      <w:lvlText w:val=""/>
      <w:lvlJc w:val="left"/>
      <w:pPr>
        <w:ind w:left="6531" w:hanging="360"/>
      </w:pPr>
      <w:rPr>
        <w:rFonts w:ascii="Wingdings" w:hAnsi="Wingdings" w:hint="default"/>
      </w:rPr>
    </w:lvl>
  </w:abstractNum>
  <w:abstractNum w:abstractNumId="19" w15:restartNumberingAfterBreak="0">
    <w:nsid w:val="69192D75"/>
    <w:multiLevelType w:val="hybridMultilevel"/>
    <w:tmpl w:val="4CD4C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99E2B88"/>
    <w:multiLevelType w:val="hybridMultilevel"/>
    <w:tmpl w:val="636CBA02"/>
    <w:lvl w:ilvl="0" w:tplc="2CF65F2A">
      <w:start w:val="165"/>
      <w:numFmt w:val="bullet"/>
      <w:pStyle w:val="CEABullet-Level1"/>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79DE158D"/>
    <w:multiLevelType w:val="hybridMultilevel"/>
    <w:tmpl w:val="FD50A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7"/>
  </w:num>
  <w:num w:numId="5">
    <w:abstractNumId w:val="14"/>
  </w:num>
  <w:num w:numId="6">
    <w:abstractNumId w:val="6"/>
  </w:num>
  <w:num w:numId="7">
    <w:abstractNumId w:val="15"/>
  </w:num>
  <w:num w:numId="8">
    <w:abstractNumId w:val="8"/>
    <w:lvlOverride w:ilvl="0">
      <w:lvl w:ilvl="0">
        <w:start w:val="1"/>
        <w:numFmt w:val="decimal"/>
        <w:pStyle w:val="Titles"/>
        <w:suff w:val="space"/>
        <w:lvlText w:val="Title %1"/>
        <w:lvlJc w:val="left"/>
        <w:pPr>
          <w:ind w:left="0" w:firstLine="0"/>
        </w:pPr>
        <w:rPr>
          <w:rFonts w:hint="default"/>
        </w:rPr>
      </w:lvl>
    </w:lvlOverride>
    <w:lvlOverride w:ilvl="1">
      <w:lvl w:ilvl="1">
        <w:start w:val="1"/>
        <w:numFmt w:val="decimal"/>
        <w:pStyle w:val="Chapter"/>
        <w:suff w:val="space"/>
        <w:lvlText w:val="Chapter %2"/>
        <w:lvlJc w:val="left"/>
        <w:pPr>
          <w:ind w:left="0" w:firstLine="0"/>
        </w:pPr>
        <w:rPr>
          <w:rFonts w:hint="default"/>
          <w:sz w:val="24"/>
        </w:rPr>
      </w:lvl>
    </w:lvlOverride>
    <w:lvlOverride w:ilvl="2">
      <w:lvl w:ilvl="2">
        <w:start w:val="1"/>
        <w:numFmt w:val="decimal"/>
        <w:lvlRestart w:val="0"/>
        <w:pStyle w:val="Article"/>
        <w:suff w:val="space"/>
        <w:lvlText w:val="Article %3"/>
        <w:lvlJc w:val="left"/>
        <w:pPr>
          <w:ind w:left="0" w:firstLine="0"/>
        </w:pPr>
        <w:rPr>
          <w:rFonts w:hint="default"/>
        </w:rPr>
      </w:lvl>
    </w:lvlOverride>
    <w:lvlOverride w:ilvl="3">
      <w:lvl w:ilvl="3">
        <w:start w:val="1"/>
        <w:numFmt w:val="decimal"/>
        <w:pStyle w:val="Para1"/>
        <w:lvlText w:val="(%4)"/>
        <w:lvlJc w:val="left"/>
        <w:pPr>
          <w:tabs>
            <w:tab w:val="num" w:pos="720"/>
          </w:tabs>
          <w:ind w:left="720" w:hanging="720"/>
        </w:pPr>
        <w:rPr>
          <w:rFonts w:hint="default"/>
        </w:rPr>
      </w:lvl>
    </w:lvlOverride>
    <w:lvlOverride w:ilvl="4">
      <w:lvl w:ilvl="4">
        <w:start w:val="1"/>
        <w:numFmt w:val="lowerLetter"/>
        <w:pStyle w:val="Sub-paraa"/>
        <w:lvlText w:val="(%5)"/>
        <w:lvlJc w:val="left"/>
        <w:pPr>
          <w:tabs>
            <w:tab w:val="num" w:pos="1440"/>
          </w:tabs>
          <w:ind w:left="1440" w:hanging="720"/>
        </w:pPr>
        <w:rPr>
          <w:rFonts w:hint="default"/>
        </w:rPr>
      </w:lvl>
    </w:lvlOverride>
    <w:lvlOverride w:ilvl="5">
      <w:lvl w:ilvl="5">
        <w:start w:val="1"/>
        <w:numFmt w:val="lowerRoman"/>
        <w:pStyle w:val="Sub-parai"/>
        <w:lvlText w:val="(%6)"/>
        <w:lvlJc w:val="left"/>
        <w:pPr>
          <w:tabs>
            <w:tab w:val="num" w:pos="2160"/>
          </w:tabs>
          <w:ind w:left="2160" w:hanging="720"/>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Restart w:val="2"/>
        <w:lvlText w:val="%9."/>
        <w:lvlJc w:val="right"/>
        <w:pPr>
          <w:tabs>
            <w:tab w:val="num" w:pos="1584"/>
          </w:tabs>
          <w:ind w:left="1584" w:hanging="144"/>
        </w:pPr>
        <w:rPr>
          <w:rFonts w:hint="default"/>
        </w:rPr>
      </w:lvl>
    </w:lvlOverride>
  </w:num>
  <w:num w:numId="9">
    <w:abstractNumId w:val="3"/>
  </w:num>
  <w:num w:numId="10">
    <w:abstractNumId w:val="21"/>
  </w:num>
  <w:num w:numId="11">
    <w:abstractNumId w:val="11"/>
  </w:num>
  <w:num w:numId="12">
    <w:abstractNumId w:val="2"/>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9"/>
  </w:num>
  <w:num w:numId="17">
    <w:abstractNumId w:val="17"/>
  </w:num>
  <w:num w:numId="18">
    <w:abstractNumId w:val="20"/>
  </w:num>
  <w:num w:numId="19">
    <w:abstractNumId w:val="10"/>
  </w:num>
  <w:num w:numId="20">
    <w:abstractNumId w:val="12"/>
  </w:num>
  <w:num w:numId="21">
    <w:abstractNumId w:val="4"/>
  </w:num>
  <w:num w:numId="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2b3cb956-90f8-4206-8487-3323453ad738"/>
  </w:docVars>
  <w:rsids>
    <w:rsidRoot w:val="00453B39"/>
    <w:rsid w:val="000014BC"/>
    <w:rsid w:val="0000769E"/>
    <w:rsid w:val="000102E7"/>
    <w:rsid w:val="000109CD"/>
    <w:rsid w:val="00014DDB"/>
    <w:rsid w:val="00015293"/>
    <w:rsid w:val="00015589"/>
    <w:rsid w:val="00020EEB"/>
    <w:rsid w:val="00021B6A"/>
    <w:rsid w:val="000311EE"/>
    <w:rsid w:val="000327C4"/>
    <w:rsid w:val="00032CCE"/>
    <w:rsid w:val="00033CCC"/>
    <w:rsid w:val="000363B3"/>
    <w:rsid w:val="00036C1B"/>
    <w:rsid w:val="00037D4D"/>
    <w:rsid w:val="00040B7A"/>
    <w:rsid w:val="00040F83"/>
    <w:rsid w:val="00041536"/>
    <w:rsid w:val="000420CE"/>
    <w:rsid w:val="00050E8C"/>
    <w:rsid w:val="00051C34"/>
    <w:rsid w:val="00051EA7"/>
    <w:rsid w:val="0005214C"/>
    <w:rsid w:val="00052570"/>
    <w:rsid w:val="000536D7"/>
    <w:rsid w:val="00054A6F"/>
    <w:rsid w:val="000569A6"/>
    <w:rsid w:val="00061CF8"/>
    <w:rsid w:val="000634C5"/>
    <w:rsid w:val="00064453"/>
    <w:rsid w:val="00064913"/>
    <w:rsid w:val="00064A1A"/>
    <w:rsid w:val="00066ABD"/>
    <w:rsid w:val="00074DC7"/>
    <w:rsid w:val="00076C59"/>
    <w:rsid w:val="000772EB"/>
    <w:rsid w:val="00077446"/>
    <w:rsid w:val="0008066A"/>
    <w:rsid w:val="00082B03"/>
    <w:rsid w:val="00084B95"/>
    <w:rsid w:val="00084CDE"/>
    <w:rsid w:val="00086905"/>
    <w:rsid w:val="00096230"/>
    <w:rsid w:val="000963E5"/>
    <w:rsid w:val="000A0821"/>
    <w:rsid w:val="000A207B"/>
    <w:rsid w:val="000A6467"/>
    <w:rsid w:val="000A668D"/>
    <w:rsid w:val="000B222E"/>
    <w:rsid w:val="000B31B2"/>
    <w:rsid w:val="000B33D5"/>
    <w:rsid w:val="000B405F"/>
    <w:rsid w:val="000B5881"/>
    <w:rsid w:val="000B623B"/>
    <w:rsid w:val="000B7EAF"/>
    <w:rsid w:val="000C0AFF"/>
    <w:rsid w:val="000C0DA8"/>
    <w:rsid w:val="000C59A8"/>
    <w:rsid w:val="000C5E2B"/>
    <w:rsid w:val="000C5F42"/>
    <w:rsid w:val="000D0EC2"/>
    <w:rsid w:val="000D207C"/>
    <w:rsid w:val="000D22C9"/>
    <w:rsid w:val="000D3ED6"/>
    <w:rsid w:val="000D4F15"/>
    <w:rsid w:val="000D63A3"/>
    <w:rsid w:val="000E1EBF"/>
    <w:rsid w:val="000E2F28"/>
    <w:rsid w:val="000E3560"/>
    <w:rsid w:val="000E4411"/>
    <w:rsid w:val="000E5CCD"/>
    <w:rsid w:val="000E7103"/>
    <w:rsid w:val="000E774E"/>
    <w:rsid w:val="000F0F5C"/>
    <w:rsid w:val="000F2C55"/>
    <w:rsid w:val="000F3710"/>
    <w:rsid w:val="000F52E9"/>
    <w:rsid w:val="00101F7A"/>
    <w:rsid w:val="00104156"/>
    <w:rsid w:val="00115357"/>
    <w:rsid w:val="001163FF"/>
    <w:rsid w:val="001164E9"/>
    <w:rsid w:val="00122817"/>
    <w:rsid w:val="00123815"/>
    <w:rsid w:val="0012453F"/>
    <w:rsid w:val="0013011B"/>
    <w:rsid w:val="00131D23"/>
    <w:rsid w:val="00132FB8"/>
    <w:rsid w:val="00133481"/>
    <w:rsid w:val="00136743"/>
    <w:rsid w:val="00137079"/>
    <w:rsid w:val="001418E9"/>
    <w:rsid w:val="00141A4E"/>
    <w:rsid w:val="0014253C"/>
    <w:rsid w:val="0014257F"/>
    <w:rsid w:val="00142DAD"/>
    <w:rsid w:val="00143916"/>
    <w:rsid w:val="00144A9D"/>
    <w:rsid w:val="001478AA"/>
    <w:rsid w:val="00147F4C"/>
    <w:rsid w:val="00154177"/>
    <w:rsid w:val="001544D7"/>
    <w:rsid w:val="00157978"/>
    <w:rsid w:val="0016158E"/>
    <w:rsid w:val="001744B5"/>
    <w:rsid w:val="0017538D"/>
    <w:rsid w:val="00177E71"/>
    <w:rsid w:val="001826AC"/>
    <w:rsid w:val="00183D3E"/>
    <w:rsid w:val="00184256"/>
    <w:rsid w:val="001847E2"/>
    <w:rsid w:val="00184B50"/>
    <w:rsid w:val="00184EBC"/>
    <w:rsid w:val="00186697"/>
    <w:rsid w:val="00190307"/>
    <w:rsid w:val="00194E23"/>
    <w:rsid w:val="00196A0F"/>
    <w:rsid w:val="001A309A"/>
    <w:rsid w:val="001A41FB"/>
    <w:rsid w:val="001A42CD"/>
    <w:rsid w:val="001A687E"/>
    <w:rsid w:val="001B01B0"/>
    <w:rsid w:val="001B268D"/>
    <w:rsid w:val="001B39AA"/>
    <w:rsid w:val="001B5979"/>
    <w:rsid w:val="001C3D22"/>
    <w:rsid w:val="001C4B88"/>
    <w:rsid w:val="001D065E"/>
    <w:rsid w:val="001D1456"/>
    <w:rsid w:val="001D155B"/>
    <w:rsid w:val="001D433C"/>
    <w:rsid w:val="001D50BE"/>
    <w:rsid w:val="001D5489"/>
    <w:rsid w:val="001D5D1D"/>
    <w:rsid w:val="001D6446"/>
    <w:rsid w:val="001D650E"/>
    <w:rsid w:val="001E04AF"/>
    <w:rsid w:val="001E1632"/>
    <w:rsid w:val="001E3114"/>
    <w:rsid w:val="001E556F"/>
    <w:rsid w:val="001F179C"/>
    <w:rsid w:val="001F48BC"/>
    <w:rsid w:val="001F4F86"/>
    <w:rsid w:val="00201A05"/>
    <w:rsid w:val="0020411A"/>
    <w:rsid w:val="00204BD4"/>
    <w:rsid w:val="002063B1"/>
    <w:rsid w:val="0021050E"/>
    <w:rsid w:val="00212E99"/>
    <w:rsid w:val="002150B3"/>
    <w:rsid w:val="002169C8"/>
    <w:rsid w:val="00220210"/>
    <w:rsid w:val="0022366B"/>
    <w:rsid w:val="00224222"/>
    <w:rsid w:val="00226071"/>
    <w:rsid w:val="00226A74"/>
    <w:rsid w:val="00230110"/>
    <w:rsid w:val="00230ADB"/>
    <w:rsid w:val="002332F9"/>
    <w:rsid w:val="00234A04"/>
    <w:rsid w:val="0023690E"/>
    <w:rsid w:val="00243997"/>
    <w:rsid w:val="002443A2"/>
    <w:rsid w:val="00244F67"/>
    <w:rsid w:val="00245F64"/>
    <w:rsid w:val="00246899"/>
    <w:rsid w:val="00246989"/>
    <w:rsid w:val="00246E0E"/>
    <w:rsid w:val="00246EA3"/>
    <w:rsid w:val="002471C8"/>
    <w:rsid w:val="002474C8"/>
    <w:rsid w:val="00247655"/>
    <w:rsid w:val="00250049"/>
    <w:rsid w:val="002529D7"/>
    <w:rsid w:val="002532D9"/>
    <w:rsid w:val="00255476"/>
    <w:rsid w:val="00255FB8"/>
    <w:rsid w:val="00256630"/>
    <w:rsid w:val="00260F5E"/>
    <w:rsid w:val="0026595D"/>
    <w:rsid w:val="00265A8B"/>
    <w:rsid w:val="00265D27"/>
    <w:rsid w:val="002660D0"/>
    <w:rsid w:val="00267BC0"/>
    <w:rsid w:val="00270E5A"/>
    <w:rsid w:val="002713E5"/>
    <w:rsid w:val="002715FB"/>
    <w:rsid w:val="002719E8"/>
    <w:rsid w:val="002744AF"/>
    <w:rsid w:val="00276219"/>
    <w:rsid w:val="002764B2"/>
    <w:rsid w:val="00276D5B"/>
    <w:rsid w:val="00277199"/>
    <w:rsid w:val="00281F90"/>
    <w:rsid w:val="0028606A"/>
    <w:rsid w:val="00286502"/>
    <w:rsid w:val="00286857"/>
    <w:rsid w:val="00287912"/>
    <w:rsid w:val="0029094E"/>
    <w:rsid w:val="00291328"/>
    <w:rsid w:val="00293871"/>
    <w:rsid w:val="00293DB4"/>
    <w:rsid w:val="002967BE"/>
    <w:rsid w:val="002A0A71"/>
    <w:rsid w:val="002A3F73"/>
    <w:rsid w:val="002A77FC"/>
    <w:rsid w:val="002A7A91"/>
    <w:rsid w:val="002B25EA"/>
    <w:rsid w:val="002B3E39"/>
    <w:rsid w:val="002B452F"/>
    <w:rsid w:val="002B6CA6"/>
    <w:rsid w:val="002C131D"/>
    <w:rsid w:val="002C479A"/>
    <w:rsid w:val="002C54E6"/>
    <w:rsid w:val="002D011D"/>
    <w:rsid w:val="002D076A"/>
    <w:rsid w:val="002D520F"/>
    <w:rsid w:val="002D61BC"/>
    <w:rsid w:val="002D6B6D"/>
    <w:rsid w:val="002E096F"/>
    <w:rsid w:val="002E32AD"/>
    <w:rsid w:val="002E35BB"/>
    <w:rsid w:val="002E66BF"/>
    <w:rsid w:val="002E74CF"/>
    <w:rsid w:val="002F0464"/>
    <w:rsid w:val="002F374F"/>
    <w:rsid w:val="002F40AF"/>
    <w:rsid w:val="002F7041"/>
    <w:rsid w:val="002F7629"/>
    <w:rsid w:val="0030022A"/>
    <w:rsid w:val="00300804"/>
    <w:rsid w:val="003023D2"/>
    <w:rsid w:val="00302D8E"/>
    <w:rsid w:val="003033B7"/>
    <w:rsid w:val="0030434D"/>
    <w:rsid w:val="00305ED0"/>
    <w:rsid w:val="0031002E"/>
    <w:rsid w:val="00310241"/>
    <w:rsid w:val="00312C21"/>
    <w:rsid w:val="003130F7"/>
    <w:rsid w:val="00313C0B"/>
    <w:rsid w:val="00315789"/>
    <w:rsid w:val="00315DC2"/>
    <w:rsid w:val="003162A4"/>
    <w:rsid w:val="00317597"/>
    <w:rsid w:val="00317DAB"/>
    <w:rsid w:val="00321D53"/>
    <w:rsid w:val="003250D5"/>
    <w:rsid w:val="00325A72"/>
    <w:rsid w:val="00327481"/>
    <w:rsid w:val="00327E86"/>
    <w:rsid w:val="00330317"/>
    <w:rsid w:val="00330607"/>
    <w:rsid w:val="00332697"/>
    <w:rsid w:val="00336DBB"/>
    <w:rsid w:val="00340DF5"/>
    <w:rsid w:val="00342456"/>
    <w:rsid w:val="00343A1F"/>
    <w:rsid w:val="00344091"/>
    <w:rsid w:val="003444E0"/>
    <w:rsid w:val="003503FB"/>
    <w:rsid w:val="00351538"/>
    <w:rsid w:val="0035230A"/>
    <w:rsid w:val="00352BC2"/>
    <w:rsid w:val="003546FC"/>
    <w:rsid w:val="003663D2"/>
    <w:rsid w:val="003722FF"/>
    <w:rsid w:val="0037283C"/>
    <w:rsid w:val="00374151"/>
    <w:rsid w:val="00376BBF"/>
    <w:rsid w:val="00381839"/>
    <w:rsid w:val="003819B3"/>
    <w:rsid w:val="003822AB"/>
    <w:rsid w:val="00382664"/>
    <w:rsid w:val="0038370A"/>
    <w:rsid w:val="00391824"/>
    <w:rsid w:val="0039488F"/>
    <w:rsid w:val="00394DCA"/>
    <w:rsid w:val="00395008"/>
    <w:rsid w:val="00395C3A"/>
    <w:rsid w:val="003A10ED"/>
    <w:rsid w:val="003A5753"/>
    <w:rsid w:val="003B314D"/>
    <w:rsid w:val="003B39D0"/>
    <w:rsid w:val="003C2F63"/>
    <w:rsid w:val="003C790D"/>
    <w:rsid w:val="003D4F71"/>
    <w:rsid w:val="003D6081"/>
    <w:rsid w:val="003D638E"/>
    <w:rsid w:val="003D7292"/>
    <w:rsid w:val="003D7905"/>
    <w:rsid w:val="003D7922"/>
    <w:rsid w:val="003E0F34"/>
    <w:rsid w:val="003E18D3"/>
    <w:rsid w:val="003E1FDD"/>
    <w:rsid w:val="003E2503"/>
    <w:rsid w:val="003E2C82"/>
    <w:rsid w:val="003E430C"/>
    <w:rsid w:val="0040017D"/>
    <w:rsid w:val="004014E2"/>
    <w:rsid w:val="00401738"/>
    <w:rsid w:val="004046B8"/>
    <w:rsid w:val="00404C50"/>
    <w:rsid w:val="0041199E"/>
    <w:rsid w:val="00412592"/>
    <w:rsid w:val="00413375"/>
    <w:rsid w:val="0042052E"/>
    <w:rsid w:val="00420BAA"/>
    <w:rsid w:val="004213B5"/>
    <w:rsid w:val="00422456"/>
    <w:rsid w:val="0042306E"/>
    <w:rsid w:val="00423AD4"/>
    <w:rsid w:val="004260B2"/>
    <w:rsid w:val="00427866"/>
    <w:rsid w:val="004361DE"/>
    <w:rsid w:val="00441B9D"/>
    <w:rsid w:val="00445DD4"/>
    <w:rsid w:val="00446722"/>
    <w:rsid w:val="00447CC1"/>
    <w:rsid w:val="00453B39"/>
    <w:rsid w:val="00453FBE"/>
    <w:rsid w:val="004546B5"/>
    <w:rsid w:val="0046164A"/>
    <w:rsid w:val="00462425"/>
    <w:rsid w:val="004644CC"/>
    <w:rsid w:val="004647A0"/>
    <w:rsid w:val="004648E3"/>
    <w:rsid w:val="004674AE"/>
    <w:rsid w:val="00475543"/>
    <w:rsid w:val="00475A4A"/>
    <w:rsid w:val="00476D02"/>
    <w:rsid w:val="00480194"/>
    <w:rsid w:val="004847EF"/>
    <w:rsid w:val="004932F0"/>
    <w:rsid w:val="004939DC"/>
    <w:rsid w:val="0049597A"/>
    <w:rsid w:val="00495ACD"/>
    <w:rsid w:val="004A1D2F"/>
    <w:rsid w:val="004A4F23"/>
    <w:rsid w:val="004A4F90"/>
    <w:rsid w:val="004A74BD"/>
    <w:rsid w:val="004B0624"/>
    <w:rsid w:val="004B2332"/>
    <w:rsid w:val="004B4D8B"/>
    <w:rsid w:val="004B5335"/>
    <w:rsid w:val="004B7469"/>
    <w:rsid w:val="004B79C7"/>
    <w:rsid w:val="004C23C0"/>
    <w:rsid w:val="004C5F67"/>
    <w:rsid w:val="004C7A2E"/>
    <w:rsid w:val="004D060E"/>
    <w:rsid w:val="004D60AB"/>
    <w:rsid w:val="004D6403"/>
    <w:rsid w:val="004E1753"/>
    <w:rsid w:val="004E504B"/>
    <w:rsid w:val="004E52D2"/>
    <w:rsid w:val="004E67DF"/>
    <w:rsid w:val="004E6899"/>
    <w:rsid w:val="004E70B7"/>
    <w:rsid w:val="004F7505"/>
    <w:rsid w:val="004F773B"/>
    <w:rsid w:val="005002D0"/>
    <w:rsid w:val="00501751"/>
    <w:rsid w:val="00502F54"/>
    <w:rsid w:val="00505270"/>
    <w:rsid w:val="00506B99"/>
    <w:rsid w:val="00507157"/>
    <w:rsid w:val="005073B6"/>
    <w:rsid w:val="0051017A"/>
    <w:rsid w:val="0051518C"/>
    <w:rsid w:val="00515300"/>
    <w:rsid w:val="00515BB7"/>
    <w:rsid w:val="00517E40"/>
    <w:rsid w:val="005210A0"/>
    <w:rsid w:val="005233EB"/>
    <w:rsid w:val="0052422F"/>
    <w:rsid w:val="00524716"/>
    <w:rsid w:val="00524A6F"/>
    <w:rsid w:val="00527087"/>
    <w:rsid w:val="0053278D"/>
    <w:rsid w:val="00533BA7"/>
    <w:rsid w:val="00535E37"/>
    <w:rsid w:val="00537BC0"/>
    <w:rsid w:val="005407CA"/>
    <w:rsid w:val="00542AE4"/>
    <w:rsid w:val="0054411E"/>
    <w:rsid w:val="00544A26"/>
    <w:rsid w:val="00544B1D"/>
    <w:rsid w:val="0054540A"/>
    <w:rsid w:val="00545507"/>
    <w:rsid w:val="005457C3"/>
    <w:rsid w:val="00545BA2"/>
    <w:rsid w:val="00547247"/>
    <w:rsid w:val="005514C6"/>
    <w:rsid w:val="00554C5F"/>
    <w:rsid w:val="00556E37"/>
    <w:rsid w:val="005615DB"/>
    <w:rsid w:val="00562801"/>
    <w:rsid w:val="00566A3E"/>
    <w:rsid w:val="00567445"/>
    <w:rsid w:val="00567DC3"/>
    <w:rsid w:val="00570075"/>
    <w:rsid w:val="005700E2"/>
    <w:rsid w:val="0057059E"/>
    <w:rsid w:val="005716FF"/>
    <w:rsid w:val="00575D5F"/>
    <w:rsid w:val="00577CE3"/>
    <w:rsid w:val="00580931"/>
    <w:rsid w:val="00580C70"/>
    <w:rsid w:val="00580E36"/>
    <w:rsid w:val="00581ED1"/>
    <w:rsid w:val="0058372C"/>
    <w:rsid w:val="00584C25"/>
    <w:rsid w:val="00586182"/>
    <w:rsid w:val="00587EEE"/>
    <w:rsid w:val="0059322E"/>
    <w:rsid w:val="00593A77"/>
    <w:rsid w:val="00594F31"/>
    <w:rsid w:val="00595396"/>
    <w:rsid w:val="005976C7"/>
    <w:rsid w:val="005A05A0"/>
    <w:rsid w:val="005A32C3"/>
    <w:rsid w:val="005A66ED"/>
    <w:rsid w:val="005A6E4D"/>
    <w:rsid w:val="005B3106"/>
    <w:rsid w:val="005B3D05"/>
    <w:rsid w:val="005B3D66"/>
    <w:rsid w:val="005B5C9F"/>
    <w:rsid w:val="005B7287"/>
    <w:rsid w:val="005C2068"/>
    <w:rsid w:val="005C2F0B"/>
    <w:rsid w:val="005C5488"/>
    <w:rsid w:val="005C6FB2"/>
    <w:rsid w:val="005D25CF"/>
    <w:rsid w:val="005D38B7"/>
    <w:rsid w:val="005D3BBA"/>
    <w:rsid w:val="005D4B6C"/>
    <w:rsid w:val="005D4C00"/>
    <w:rsid w:val="005D6C22"/>
    <w:rsid w:val="005E2997"/>
    <w:rsid w:val="005E5231"/>
    <w:rsid w:val="005E5DDE"/>
    <w:rsid w:val="005E6248"/>
    <w:rsid w:val="005E6569"/>
    <w:rsid w:val="005F1E2A"/>
    <w:rsid w:val="005F2504"/>
    <w:rsid w:val="005F3B92"/>
    <w:rsid w:val="005F5FD3"/>
    <w:rsid w:val="005F77DD"/>
    <w:rsid w:val="00600336"/>
    <w:rsid w:val="00601FDC"/>
    <w:rsid w:val="006030A9"/>
    <w:rsid w:val="00603482"/>
    <w:rsid w:val="00604F93"/>
    <w:rsid w:val="00606589"/>
    <w:rsid w:val="006075EA"/>
    <w:rsid w:val="00611BC5"/>
    <w:rsid w:val="00612567"/>
    <w:rsid w:val="00613908"/>
    <w:rsid w:val="006210B2"/>
    <w:rsid w:val="00622203"/>
    <w:rsid w:val="00622547"/>
    <w:rsid w:val="00622E5F"/>
    <w:rsid w:val="00633F4B"/>
    <w:rsid w:val="006351C2"/>
    <w:rsid w:val="006364C5"/>
    <w:rsid w:val="00636536"/>
    <w:rsid w:val="0064086E"/>
    <w:rsid w:val="00644261"/>
    <w:rsid w:val="006452D4"/>
    <w:rsid w:val="0064733F"/>
    <w:rsid w:val="00647C99"/>
    <w:rsid w:val="00647E0C"/>
    <w:rsid w:val="006508B8"/>
    <w:rsid w:val="00651C58"/>
    <w:rsid w:val="006533D4"/>
    <w:rsid w:val="0066044C"/>
    <w:rsid w:val="00663027"/>
    <w:rsid w:val="00663B41"/>
    <w:rsid w:val="00666A12"/>
    <w:rsid w:val="00672BCA"/>
    <w:rsid w:val="00673B41"/>
    <w:rsid w:val="00673EF8"/>
    <w:rsid w:val="00675965"/>
    <w:rsid w:val="00681A31"/>
    <w:rsid w:val="00683487"/>
    <w:rsid w:val="006852F0"/>
    <w:rsid w:val="00686B20"/>
    <w:rsid w:val="00695602"/>
    <w:rsid w:val="0069585B"/>
    <w:rsid w:val="00695EA4"/>
    <w:rsid w:val="006A0E2C"/>
    <w:rsid w:val="006A253C"/>
    <w:rsid w:val="006A2DD8"/>
    <w:rsid w:val="006A624D"/>
    <w:rsid w:val="006B0A1F"/>
    <w:rsid w:val="006B3849"/>
    <w:rsid w:val="006B39F4"/>
    <w:rsid w:val="006B6BBC"/>
    <w:rsid w:val="006C142C"/>
    <w:rsid w:val="006C2682"/>
    <w:rsid w:val="006C3E44"/>
    <w:rsid w:val="006C6E24"/>
    <w:rsid w:val="006C76D2"/>
    <w:rsid w:val="006D431E"/>
    <w:rsid w:val="006D52F7"/>
    <w:rsid w:val="006D63DA"/>
    <w:rsid w:val="006D6C65"/>
    <w:rsid w:val="006E4308"/>
    <w:rsid w:val="006F244F"/>
    <w:rsid w:val="006F32BC"/>
    <w:rsid w:val="006F4E29"/>
    <w:rsid w:val="007023E8"/>
    <w:rsid w:val="00703CDD"/>
    <w:rsid w:val="00704633"/>
    <w:rsid w:val="00704E76"/>
    <w:rsid w:val="00706435"/>
    <w:rsid w:val="00714DE7"/>
    <w:rsid w:val="00715C1C"/>
    <w:rsid w:val="00715C6E"/>
    <w:rsid w:val="0071742F"/>
    <w:rsid w:val="007176DA"/>
    <w:rsid w:val="00732103"/>
    <w:rsid w:val="00732504"/>
    <w:rsid w:val="00732780"/>
    <w:rsid w:val="007332D1"/>
    <w:rsid w:val="00733CF1"/>
    <w:rsid w:val="00734788"/>
    <w:rsid w:val="00736827"/>
    <w:rsid w:val="007371E5"/>
    <w:rsid w:val="00737A9C"/>
    <w:rsid w:val="00740089"/>
    <w:rsid w:val="0074210D"/>
    <w:rsid w:val="00742ECE"/>
    <w:rsid w:val="007458D1"/>
    <w:rsid w:val="0074664F"/>
    <w:rsid w:val="0074684A"/>
    <w:rsid w:val="007506FF"/>
    <w:rsid w:val="00750A5F"/>
    <w:rsid w:val="00750C2B"/>
    <w:rsid w:val="00751167"/>
    <w:rsid w:val="0075672C"/>
    <w:rsid w:val="00762128"/>
    <w:rsid w:val="007626E1"/>
    <w:rsid w:val="00762F49"/>
    <w:rsid w:val="00766B42"/>
    <w:rsid w:val="00770D97"/>
    <w:rsid w:val="00771586"/>
    <w:rsid w:val="00774F92"/>
    <w:rsid w:val="0077611C"/>
    <w:rsid w:val="00777543"/>
    <w:rsid w:val="00777AAD"/>
    <w:rsid w:val="007829BF"/>
    <w:rsid w:val="00782B5C"/>
    <w:rsid w:val="00784547"/>
    <w:rsid w:val="007872B8"/>
    <w:rsid w:val="0079271C"/>
    <w:rsid w:val="0079364A"/>
    <w:rsid w:val="007960F5"/>
    <w:rsid w:val="00796D86"/>
    <w:rsid w:val="00797140"/>
    <w:rsid w:val="0079720A"/>
    <w:rsid w:val="007B0D93"/>
    <w:rsid w:val="007B1FC9"/>
    <w:rsid w:val="007B31A3"/>
    <w:rsid w:val="007B5400"/>
    <w:rsid w:val="007B65A8"/>
    <w:rsid w:val="007C358E"/>
    <w:rsid w:val="007C37E7"/>
    <w:rsid w:val="007D3AB3"/>
    <w:rsid w:val="007D3C7B"/>
    <w:rsid w:val="007D7219"/>
    <w:rsid w:val="007E09D7"/>
    <w:rsid w:val="007E3875"/>
    <w:rsid w:val="007E4056"/>
    <w:rsid w:val="007E4319"/>
    <w:rsid w:val="007E4350"/>
    <w:rsid w:val="007E7DA1"/>
    <w:rsid w:val="007F2D7F"/>
    <w:rsid w:val="007F5F87"/>
    <w:rsid w:val="007F6DF0"/>
    <w:rsid w:val="0080011A"/>
    <w:rsid w:val="008014F2"/>
    <w:rsid w:val="008038E7"/>
    <w:rsid w:val="0080417A"/>
    <w:rsid w:val="0081187D"/>
    <w:rsid w:val="0081210E"/>
    <w:rsid w:val="00817A4D"/>
    <w:rsid w:val="00820B7A"/>
    <w:rsid w:val="0082219D"/>
    <w:rsid w:val="00823561"/>
    <w:rsid w:val="0082416E"/>
    <w:rsid w:val="0082441D"/>
    <w:rsid w:val="008244F0"/>
    <w:rsid w:val="008259E5"/>
    <w:rsid w:val="008259FF"/>
    <w:rsid w:val="0082605D"/>
    <w:rsid w:val="008310E9"/>
    <w:rsid w:val="00834A44"/>
    <w:rsid w:val="008353D8"/>
    <w:rsid w:val="0084141A"/>
    <w:rsid w:val="0084476A"/>
    <w:rsid w:val="00847FF1"/>
    <w:rsid w:val="00850476"/>
    <w:rsid w:val="008524A6"/>
    <w:rsid w:val="00854402"/>
    <w:rsid w:val="0085590E"/>
    <w:rsid w:val="00855C22"/>
    <w:rsid w:val="00856175"/>
    <w:rsid w:val="00862D2D"/>
    <w:rsid w:val="0086507E"/>
    <w:rsid w:val="0086534C"/>
    <w:rsid w:val="008713AC"/>
    <w:rsid w:val="008731CD"/>
    <w:rsid w:val="0087360F"/>
    <w:rsid w:val="008756E5"/>
    <w:rsid w:val="00877183"/>
    <w:rsid w:val="008808E3"/>
    <w:rsid w:val="008831ED"/>
    <w:rsid w:val="00886A06"/>
    <w:rsid w:val="00886F8E"/>
    <w:rsid w:val="00891099"/>
    <w:rsid w:val="00893917"/>
    <w:rsid w:val="0089553B"/>
    <w:rsid w:val="00896002"/>
    <w:rsid w:val="00896CFC"/>
    <w:rsid w:val="00896F85"/>
    <w:rsid w:val="008977E1"/>
    <w:rsid w:val="008A3845"/>
    <w:rsid w:val="008A49DF"/>
    <w:rsid w:val="008A5209"/>
    <w:rsid w:val="008A5601"/>
    <w:rsid w:val="008A5809"/>
    <w:rsid w:val="008A6C17"/>
    <w:rsid w:val="008B06A2"/>
    <w:rsid w:val="008B3F87"/>
    <w:rsid w:val="008B7766"/>
    <w:rsid w:val="008B7864"/>
    <w:rsid w:val="008C285E"/>
    <w:rsid w:val="008C3429"/>
    <w:rsid w:val="008C620B"/>
    <w:rsid w:val="008C76C2"/>
    <w:rsid w:val="008D1689"/>
    <w:rsid w:val="008D3378"/>
    <w:rsid w:val="008D3BBC"/>
    <w:rsid w:val="008D400A"/>
    <w:rsid w:val="008D4793"/>
    <w:rsid w:val="008E0025"/>
    <w:rsid w:val="008E1ED5"/>
    <w:rsid w:val="008E48EA"/>
    <w:rsid w:val="008E508C"/>
    <w:rsid w:val="008E7617"/>
    <w:rsid w:val="008F0B89"/>
    <w:rsid w:val="008F3296"/>
    <w:rsid w:val="008F3A4B"/>
    <w:rsid w:val="008F4077"/>
    <w:rsid w:val="008F48FE"/>
    <w:rsid w:val="00901FDB"/>
    <w:rsid w:val="00907097"/>
    <w:rsid w:val="00910F45"/>
    <w:rsid w:val="00916037"/>
    <w:rsid w:val="0092348D"/>
    <w:rsid w:val="00924248"/>
    <w:rsid w:val="009263DD"/>
    <w:rsid w:val="00927412"/>
    <w:rsid w:val="009306EF"/>
    <w:rsid w:val="00937E9E"/>
    <w:rsid w:val="00941990"/>
    <w:rsid w:val="00943343"/>
    <w:rsid w:val="0094390E"/>
    <w:rsid w:val="00950705"/>
    <w:rsid w:val="00950F3C"/>
    <w:rsid w:val="009547A0"/>
    <w:rsid w:val="0095504F"/>
    <w:rsid w:val="00957D88"/>
    <w:rsid w:val="00960BB5"/>
    <w:rsid w:val="009613FF"/>
    <w:rsid w:val="00963BB1"/>
    <w:rsid w:val="009659BD"/>
    <w:rsid w:val="00965A66"/>
    <w:rsid w:val="009662CD"/>
    <w:rsid w:val="00967FBF"/>
    <w:rsid w:val="009736C7"/>
    <w:rsid w:val="00974310"/>
    <w:rsid w:val="00974415"/>
    <w:rsid w:val="00983846"/>
    <w:rsid w:val="0098456E"/>
    <w:rsid w:val="0098466A"/>
    <w:rsid w:val="00985BA7"/>
    <w:rsid w:val="0098611B"/>
    <w:rsid w:val="009864A4"/>
    <w:rsid w:val="009869AB"/>
    <w:rsid w:val="00991FDA"/>
    <w:rsid w:val="00993BF3"/>
    <w:rsid w:val="00994305"/>
    <w:rsid w:val="00996E44"/>
    <w:rsid w:val="009A4843"/>
    <w:rsid w:val="009A4945"/>
    <w:rsid w:val="009A5BA4"/>
    <w:rsid w:val="009A6CF4"/>
    <w:rsid w:val="009B14D6"/>
    <w:rsid w:val="009B4C62"/>
    <w:rsid w:val="009B5FAA"/>
    <w:rsid w:val="009B7956"/>
    <w:rsid w:val="009C0CDD"/>
    <w:rsid w:val="009C2F5F"/>
    <w:rsid w:val="009C4159"/>
    <w:rsid w:val="009C4841"/>
    <w:rsid w:val="009C5336"/>
    <w:rsid w:val="009D03E2"/>
    <w:rsid w:val="009D3B13"/>
    <w:rsid w:val="009D4581"/>
    <w:rsid w:val="009D4FD8"/>
    <w:rsid w:val="009D5889"/>
    <w:rsid w:val="009D7B41"/>
    <w:rsid w:val="009D7DF0"/>
    <w:rsid w:val="009E0ABE"/>
    <w:rsid w:val="009E1C30"/>
    <w:rsid w:val="009E64C4"/>
    <w:rsid w:val="009E7BDE"/>
    <w:rsid w:val="009F299B"/>
    <w:rsid w:val="00A0156F"/>
    <w:rsid w:val="00A01A8D"/>
    <w:rsid w:val="00A01C80"/>
    <w:rsid w:val="00A05819"/>
    <w:rsid w:val="00A15211"/>
    <w:rsid w:val="00A20EEE"/>
    <w:rsid w:val="00A2206B"/>
    <w:rsid w:val="00A224B1"/>
    <w:rsid w:val="00A24931"/>
    <w:rsid w:val="00A24F1D"/>
    <w:rsid w:val="00A267AF"/>
    <w:rsid w:val="00A2687D"/>
    <w:rsid w:val="00A27253"/>
    <w:rsid w:val="00A32D2D"/>
    <w:rsid w:val="00A32E3D"/>
    <w:rsid w:val="00A369E8"/>
    <w:rsid w:val="00A40CB2"/>
    <w:rsid w:val="00A41B7B"/>
    <w:rsid w:val="00A4407A"/>
    <w:rsid w:val="00A446E0"/>
    <w:rsid w:val="00A5091C"/>
    <w:rsid w:val="00A51591"/>
    <w:rsid w:val="00A5340A"/>
    <w:rsid w:val="00A540C8"/>
    <w:rsid w:val="00A5472F"/>
    <w:rsid w:val="00A54F8E"/>
    <w:rsid w:val="00A5790D"/>
    <w:rsid w:val="00A57AA9"/>
    <w:rsid w:val="00A6420D"/>
    <w:rsid w:val="00A719CD"/>
    <w:rsid w:val="00A71B81"/>
    <w:rsid w:val="00A7577B"/>
    <w:rsid w:val="00A7770C"/>
    <w:rsid w:val="00A81797"/>
    <w:rsid w:val="00A850A7"/>
    <w:rsid w:val="00A856E2"/>
    <w:rsid w:val="00A87797"/>
    <w:rsid w:val="00A879DE"/>
    <w:rsid w:val="00A9219C"/>
    <w:rsid w:val="00A93498"/>
    <w:rsid w:val="00A93D97"/>
    <w:rsid w:val="00A94384"/>
    <w:rsid w:val="00A95306"/>
    <w:rsid w:val="00A95941"/>
    <w:rsid w:val="00A95D0F"/>
    <w:rsid w:val="00A97AA3"/>
    <w:rsid w:val="00A97E69"/>
    <w:rsid w:val="00AA3255"/>
    <w:rsid w:val="00AA33E6"/>
    <w:rsid w:val="00AA3ACC"/>
    <w:rsid w:val="00AA436F"/>
    <w:rsid w:val="00AA634B"/>
    <w:rsid w:val="00AA67F2"/>
    <w:rsid w:val="00AB097A"/>
    <w:rsid w:val="00AB1126"/>
    <w:rsid w:val="00AB1C7F"/>
    <w:rsid w:val="00AB3A5E"/>
    <w:rsid w:val="00AB4E82"/>
    <w:rsid w:val="00AB5E2F"/>
    <w:rsid w:val="00AB65F6"/>
    <w:rsid w:val="00AB776F"/>
    <w:rsid w:val="00AC31A9"/>
    <w:rsid w:val="00AC339F"/>
    <w:rsid w:val="00AC5EF5"/>
    <w:rsid w:val="00AD328A"/>
    <w:rsid w:val="00AD5D12"/>
    <w:rsid w:val="00AD6555"/>
    <w:rsid w:val="00AD7D2B"/>
    <w:rsid w:val="00AE087D"/>
    <w:rsid w:val="00AE0A18"/>
    <w:rsid w:val="00AE1AF0"/>
    <w:rsid w:val="00AF1551"/>
    <w:rsid w:val="00AF26FD"/>
    <w:rsid w:val="00AF3ED7"/>
    <w:rsid w:val="00B04282"/>
    <w:rsid w:val="00B066AF"/>
    <w:rsid w:val="00B10BCE"/>
    <w:rsid w:val="00B11EC6"/>
    <w:rsid w:val="00B12C64"/>
    <w:rsid w:val="00B14CF5"/>
    <w:rsid w:val="00B20EC2"/>
    <w:rsid w:val="00B246FB"/>
    <w:rsid w:val="00B24E1A"/>
    <w:rsid w:val="00B277A6"/>
    <w:rsid w:val="00B33415"/>
    <w:rsid w:val="00B34EA0"/>
    <w:rsid w:val="00B35590"/>
    <w:rsid w:val="00B35847"/>
    <w:rsid w:val="00B35D21"/>
    <w:rsid w:val="00B3668D"/>
    <w:rsid w:val="00B37664"/>
    <w:rsid w:val="00B404DB"/>
    <w:rsid w:val="00B414EF"/>
    <w:rsid w:val="00B418F2"/>
    <w:rsid w:val="00B47C09"/>
    <w:rsid w:val="00B53E4B"/>
    <w:rsid w:val="00B55547"/>
    <w:rsid w:val="00B617AA"/>
    <w:rsid w:val="00B61A39"/>
    <w:rsid w:val="00B65969"/>
    <w:rsid w:val="00B67001"/>
    <w:rsid w:val="00B678BA"/>
    <w:rsid w:val="00B67C6B"/>
    <w:rsid w:val="00B70301"/>
    <w:rsid w:val="00B729F9"/>
    <w:rsid w:val="00B7354C"/>
    <w:rsid w:val="00B7446F"/>
    <w:rsid w:val="00B80B71"/>
    <w:rsid w:val="00B819BB"/>
    <w:rsid w:val="00B84EE7"/>
    <w:rsid w:val="00B913DB"/>
    <w:rsid w:val="00B91678"/>
    <w:rsid w:val="00B920B5"/>
    <w:rsid w:val="00B94296"/>
    <w:rsid w:val="00BA1789"/>
    <w:rsid w:val="00BA3F2D"/>
    <w:rsid w:val="00BA4031"/>
    <w:rsid w:val="00BA5738"/>
    <w:rsid w:val="00BB3802"/>
    <w:rsid w:val="00BB38C8"/>
    <w:rsid w:val="00BB5908"/>
    <w:rsid w:val="00BC1AB6"/>
    <w:rsid w:val="00BC1D22"/>
    <w:rsid w:val="00BC43E0"/>
    <w:rsid w:val="00BC71BB"/>
    <w:rsid w:val="00BD0CAF"/>
    <w:rsid w:val="00BD20BF"/>
    <w:rsid w:val="00BD2377"/>
    <w:rsid w:val="00BD27E3"/>
    <w:rsid w:val="00BD67E4"/>
    <w:rsid w:val="00BE4B32"/>
    <w:rsid w:val="00BE550A"/>
    <w:rsid w:val="00BE5AFE"/>
    <w:rsid w:val="00BE6CE5"/>
    <w:rsid w:val="00BF35EA"/>
    <w:rsid w:val="00BF4FB0"/>
    <w:rsid w:val="00BF6E4C"/>
    <w:rsid w:val="00C01BCD"/>
    <w:rsid w:val="00C02434"/>
    <w:rsid w:val="00C02CEA"/>
    <w:rsid w:val="00C03391"/>
    <w:rsid w:val="00C05A3B"/>
    <w:rsid w:val="00C073CA"/>
    <w:rsid w:val="00C11D10"/>
    <w:rsid w:val="00C123D3"/>
    <w:rsid w:val="00C12871"/>
    <w:rsid w:val="00C15134"/>
    <w:rsid w:val="00C15577"/>
    <w:rsid w:val="00C15C9C"/>
    <w:rsid w:val="00C16FBA"/>
    <w:rsid w:val="00C21879"/>
    <w:rsid w:val="00C2464D"/>
    <w:rsid w:val="00C2489D"/>
    <w:rsid w:val="00C261F0"/>
    <w:rsid w:val="00C26AE2"/>
    <w:rsid w:val="00C3155D"/>
    <w:rsid w:val="00C326FB"/>
    <w:rsid w:val="00C40653"/>
    <w:rsid w:val="00C42523"/>
    <w:rsid w:val="00C441DC"/>
    <w:rsid w:val="00C479ED"/>
    <w:rsid w:val="00C50C82"/>
    <w:rsid w:val="00C512F0"/>
    <w:rsid w:val="00C51774"/>
    <w:rsid w:val="00C51F17"/>
    <w:rsid w:val="00C5232F"/>
    <w:rsid w:val="00C54FB2"/>
    <w:rsid w:val="00C5529D"/>
    <w:rsid w:val="00C552AD"/>
    <w:rsid w:val="00C62B61"/>
    <w:rsid w:val="00C65889"/>
    <w:rsid w:val="00C6780E"/>
    <w:rsid w:val="00C67A59"/>
    <w:rsid w:val="00C7151B"/>
    <w:rsid w:val="00C7176E"/>
    <w:rsid w:val="00C71812"/>
    <w:rsid w:val="00C724FB"/>
    <w:rsid w:val="00C74028"/>
    <w:rsid w:val="00C75D6D"/>
    <w:rsid w:val="00C8259C"/>
    <w:rsid w:val="00C85104"/>
    <w:rsid w:val="00C8577A"/>
    <w:rsid w:val="00C90888"/>
    <w:rsid w:val="00C91B46"/>
    <w:rsid w:val="00C93FB4"/>
    <w:rsid w:val="00CA5926"/>
    <w:rsid w:val="00CA5D82"/>
    <w:rsid w:val="00CB2771"/>
    <w:rsid w:val="00CB2772"/>
    <w:rsid w:val="00CB443D"/>
    <w:rsid w:val="00CB6155"/>
    <w:rsid w:val="00CB76D8"/>
    <w:rsid w:val="00CC0DFB"/>
    <w:rsid w:val="00CC1961"/>
    <w:rsid w:val="00CC4D62"/>
    <w:rsid w:val="00CC7FC8"/>
    <w:rsid w:val="00CD35BB"/>
    <w:rsid w:val="00CD41BA"/>
    <w:rsid w:val="00CD6F98"/>
    <w:rsid w:val="00CD78DD"/>
    <w:rsid w:val="00CE1A51"/>
    <w:rsid w:val="00CE2846"/>
    <w:rsid w:val="00CE37F1"/>
    <w:rsid w:val="00CE5CAF"/>
    <w:rsid w:val="00CF028F"/>
    <w:rsid w:val="00CF0F0E"/>
    <w:rsid w:val="00CF3B31"/>
    <w:rsid w:val="00CF46B3"/>
    <w:rsid w:val="00CF5178"/>
    <w:rsid w:val="00CF5580"/>
    <w:rsid w:val="00CF60D0"/>
    <w:rsid w:val="00CF6AC6"/>
    <w:rsid w:val="00CF76C9"/>
    <w:rsid w:val="00CF7BB6"/>
    <w:rsid w:val="00D00A4C"/>
    <w:rsid w:val="00D01AD6"/>
    <w:rsid w:val="00D0346E"/>
    <w:rsid w:val="00D05321"/>
    <w:rsid w:val="00D0558E"/>
    <w:rsid w:val="00D05F0C"/>
    <w:rsid w:val="00D11A68"/>
    <w:rsid w:val="00D12134"/>
    <w:rsid w:val="00D133AB"/>
    <w:rsid w:val="00D136FB"/>
    <w:rsid w:val="00D151AF"/>
    <w:rsid w:val="00D15722"/>
    <w:rsid w:val="00D20FB8"/>
    <w:rsid w:val="00D21953"/>
    <w:rsid w:val="00D25014"/>
    <w:rsid w:val="00D303BA"/>
    <w:rsid w:val="00D30B83"/>
    <w:rsid w:val="00D30DA5"/>
    <w:rsid w:val="00D31685"/>
    <w:rsid w:val="00D32ED0"/>
    <w:rsid w:val="00D33A04"/>
    <w:rsid w:val="00D439D0"/>
    <w:rsid w:val="00D44DDB"/>
    <w:rsid w:val="00D452F2"/>
    <w:rsid w:val="00D502CA"/>
    <w:rsid w:val="00D5063B"/>
    <w:rsid w:val="00D51A2D"/>
    <w:rsid w:val="00D534FD"/>
    <w:rsid w:val="00D56A1F"/>
    <w:rsid w:val="00D619B9"/>
    <w:rsid w:val="00D61DCD"/>
    <w:rsid w:val="00D64607"/>
    <w:rsid w:val="00D67B25"/>
    <w:rsid w:val="00D704C0"/>
    <w:rsid w:val="00D70613"/>
    <w:rsid w:val="00D7149C"/>
    <w:rsid w:val="00D71ACD"/>
    <w:rsid w:val="00D735D6"/>
    <w:rsid w:val="00D76AF1"/>
    <w:rsid w:val="00D80341"/>
    <w:rsid w:val="00D84D5E"/>
    <w:rsid w:val="00D8798A"/>
    <w:rsid w:val="00D92448"/>
    <w:rsid w:val="00D93CD4"/>
    <w:rsid w:val="00D94B90"/>
    <w:rsid w:val="00DA1851"/>
    <w:rsid w:val="00DA233F"/>
    <w:rsid w:val="00DA6BCB"/>
    <w:rsid w:val="00DA7A66"/>
    <w:rsid w:val="00DB17E4"/>
    <w:rsid w:val="00DB23C3"/>
    <w:rsid w:val="00DB3534"/>
    <w:rsid w:val="00DB5902"/>
    <w:rsid w:val="00DB7916"/>
    <w:rsid w:val="00DC48F6"/>
    <w:rsid w:val="00DC52F1"/>
    <w:rsid w:val="00DC71B1"/>
    <w:rsid w:val="00DD1177"/>
    <w:rsid w:val="00DD470A"/>
    <w:rsid w:val="00DD4E3E"/>
    <w:rsid w:val="00DD6162"/>
    <w:rsid w:val="00DE3BBA"/>
    <w:rsid w:val="00DE4DB6"/>
    <w:rsid w:val="00DF14D4"/>
    <w:rsid w:val="00DF23D9"/>
    <w:rsid w:val="00E04EF6"/>
    <w:rsid w:val="00E111F5"/>
    <w:rsid w:val="00E129A0"/>
    <w:rsid w:val="00E15E32"/>
    <w:rsid w:val="00E202FB"/>
    <w:rsid w:val="00E213D4"/>
    <w:rsid w:val="00E23704"/>
    <w:rsid w:val="00E23866"/>
    <w:rsid w:val="00E24033"/>
    <w:rsid w:val="00E25C58"/>
    <w:rsid w:val="00E268A4"/>
    <w:rsid w:val="00E321A6"/>
    <w:rsid w:val="00E3304A"/>
    <w:rsid w:val="00E3362C"/>
    <w:rsid w:val="00E34F0E"/>
    <w:rsid w:val="00E360BA"/>
    <w:rsid w:val="00E37DEA"/>
    <w:rsid w:val="00E40687"/>
    <w:rsid w:val="00E412BA"/>
    <w:rsid w:val="00E4132A"/>
    <w:rsid w:val="00E44730"/>
    <w:rsid w:val="00E476D0"/>
    <w:rsid w:val="00E47F4F"/>
    <w:rsid w:val="00E50015"/>
    <w:rsid w:val="00E50662"/>
    <w:rsid w:val="00E50930"/>
    <w:rsid w:val="00E51970"/>
    <w:rsid w:val="00E52A3E"/>
    <w:rsid w:val="00E53E63"/>
    <w:rsid w:val="00E5687B"/>
    <w:rsid w:val="00E56F2B"/>
    <w:rsid w:val="00E57843"/>
    <w:rsid w:val="00E57B03"/>
    <w:rsid w:val="00E602A6"/>
    <w:rsid w:val="00E60586"/>
    <w:rsid w:val="00E62B45"/>
    <w:rsid w:val="00E65244"/>
    <w:rsid w:val="00E67D70"/>
    <w:rsid w:val="00E70060"/>
    <w:rsid w:val="00E71088"/>
    <w:rsid w:val="00E735A7"/>
    <w:rsid w:val="00E762A0"/>
    <w:rsid w:val="00E773DC"/>
    <w:rsid w:val="00E80E29"/>
    <w:rsid w:val="00E81050"/>
    <w:rsid w:val="00E82E0F"/>
    <w:rsid w:val="00E8416E"/>
    <w:rsid w:val="00E860C6"/>
    <w:rsid w:val="00E862DB"/>
    <w:rsid w:val="00E86C14"/>
    <w:rsid w:val="00E90914"/>
    <w:rsid w:val="00E90E96"/>
    <w:rsid w:val="00E91044"/>
    <w:rsid w:val="00E91AA5"/>
    <w:rsid w:val="00E93DFC"/>
    <w:rsid w:val="00E94079"/>
    <w:rsid w:val="00E94C1F"/>
    <w:rsid w:val="00E97012"/>
    <w:rsid w:val="00E972C6"/>
    <w:rsid w:val="00EA0067"/>
    <w:rsid w:val="00EA06CD"/>
    <w:rsid w:val="00EA0C03"/>
    <w:rsid w:val="00EA10A0"/>
    <w:rsid w:val="00EA263B"/>
    <w:rsid w:val="00EA70B1"/>
    <w:rsid w:val="00EA781E"/>
    <w:rsid w:val="00EB578D"/>
    <w:rsid w:val="00EB5FEE"/>
    <w:rsid w:val="00EB7331"/>
    <w:rsid w:val="00EC24B8"/>
    <w:rsid w:val="00EC309F"/>
    <w:rsid w:val="00EC632E"/>
    <w:rsid w:val="00ED0932"/>
    <w:rsid w:val="00ED5216"/>
    <w:rsid w:val="00ED7742"/>
    <w:rsid w:val="00EE0855"/>
    <w:rsid w:val="00EE496B"/>
    <w:rsid w:val="00EE7443"/>
    <w:rsid w:val="00EF0004"/>
    <w:rsid w:val="00EF0844"/>
    <w:rsid w:val="00EF583C"/>
    <w:rsid w:val="00EF5D7E"/>
    <w:rsid w:val="00EF7AE2"/>
    <w:rsid w:val="00F0341C"/>
    <w:rsid w:val="00F04F84"/>
    <w:rsid w:val="00F051F2"/>
    <w:rsid w:val="00F075E9"/>
    <w:rsid w:val="00F11BC5"/>
    <w:rsid w:val="00F12762"/>
    <w:rsid w:val="00F1507D"/>
    <w:rsid w:val="00F214A7"/>
    <w:rsid w:val="00F25271"/>
    <w:rsid w:val="00F25945"/>
    <w:rsid w:val="00F31EDC"/>
    <w:rsid w:val="00F32227"/>
    <w:rsid w:val="00F3393A"/>
    <w:rsid w:val="00F35E21"/>
    <w:rsid w:val="00F368DD"/>
    <w:rsid w:val="00F36F04"/>
    <w:rsid w:val="00F37F63"/>
    <w:rsid w:val="00F4066A"/>
    <w:rsid w:val="00F42E99"/>
    <w:rsid w:val="00F43128"/>
    <w:rsid w:val="00F43BA7"/>
    <w:rsid w:val="00F44226"/>
    <w:rsid w:val="00F45EE5"/>
    <w:rsid w:val="00F46A08"/>
    <w:rsid w:val="00F52185"/>
    <w:rsid w:val="00F52C9F"/>
    <w:rsid w:val="00F53FA3"/>
    <w:rsid w:val="00F549FD"/>
    <w:rsid w:val="00F5557D"/>
    <w:rsid w:val="00F56498"/>
    <w:rsid w:val="00F568DE"/>
    <w:rsid w:val="00F56A57"/>
    <w:rsid w:val="00F57274"/>
    <w:rsid w:val="00F57EEF"/>
    <w:rsid w:val="00F61E6E"/>
    <w:rsid w:val="00F65BA7"/>
    <w:rsid w:val="00F6606A"/>
    <w:rsid w:val="00F728EB"/>
    <w:rsid w:val="00F752A4"/>
    <w:rsid w:val="00F75902"/>
    <w:rsid w:val="00F75E1E"/>
    <w:rsid w:val="00F772FD"/>
    <w:rsid w:val="00F8317B"/>
    <w:rsid w:val="00F8415A"/>
    <w:rsid w:val="00F860C4"/>
    <w:rsid w:val="00F8727A"/>
    <w:rsid w:val="00F877DA"/>
    <w:rsid w:val="00F927A4"/>
    <w:rsid w:val="00F93439"/>
    <w:rsid w:val="00F9482F"/>
    <w:rsid w:val="00F95946"/>
    <w:rsid w:val="00FA098C"/>
    <w:rsid w:val="00FA163D"/>
    <w:rsid w:val="00FA1BAB"/>
    <w:rsid w:val="00FA3448"/>
    <w:rsid w:val="00FA3F01"/>
    <w:rsid w:val="00FA4DFA"/>
    <w:rsid w:val="00FB0149"/>
    <w:rsid w:val="00FB1D67"/>
    <w:rsid w:val="00FC0A25"/>
    <w:rsid w:val="00FC3D2C"/>
    <w:rsid w:val="00FC5F46"/>
    <w:rsid w:val="00FC6156"/>
    <w:rsid w:val="00FD0921"/>
    <w:rsid w:val="00FD6B3F"/>
    <w:rsid w:val="00FD7FC1"/>
    <w:rsid w:val="00FE1E6E"/>
    <w:rsid w:val="00FE36B1"/>
    <w:rsid w:val="00FE707C"/>
    <w:rsid w:val="00FF0E07"/>
    <w:rsid w:val="00FF2E2A"/>
    <w:rsid w:val="00FF3E38"/>
    <w:rsid w:val="00FF7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cf"/>
    </o:shapedefaults>
    <o:shapelayout v:ext="edit">
      <o:idmap v:ext="edit" data="1"/>
    </o:shapelayout>
  </w:shapeDefaults>
  <w:decimalSymbol w:val="."/>
  <w:listSeparator w:val=","/>
  <w14:docId w14:val="7A8212ED"/>
  <w15:docId w15:val="{08D86930-2D2C-49FE-AA99-0D7A1B71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de-DE"/>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b/>
      <w:bCs/>
      <w:lang w:eastAsia="en-US"/>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pPr>
      <w:tabs>
        <w:tab w:val="center" w:pos="4320"/>
        <w:tab w:val="right" w:pos="8640"/>
      </w:tabs>
    </w:pPr>
    <w:rPr>
      <w:rFonts w:ascii="Arial" w:eastAsia="Arial Unicode MS" w:hAnsi="Arial" w:cs="Arial"/>
      <w:sz w:val="18"/>
      <w:szCs w:val="18"/>
      <w:lang w:eastAsia="en-US"/>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odyTextIndent">
    <w:name w:val="Body Text Indent"/>
    <w:basedOn w:val="Normal"/>
    <w:pPr>
      <w:ind w:left="720"/>
    </w:pPr>
    <w:rPr>
      <w:rFonts w:ascii="Arial" w:hAnsi="Arial" w:cs="Arial"/>
      <w:lang w:eastAsia="en-US"/>
    </w:rPr>
  </w:style>
  <w:style w:type="paragraph" w:styleId="BodyText">
    <w:name w:val="Body Text"/>
    <w:basedOn w:val="Normal"/>
    <w:link w:val="BodyTextChar"/>
    <w:uiPriority w:val="99"/>
    <w:pPr>
      <w:spacing w:after="120"/>
    </w:pPr>
  </w:style>
  <w:style w:type="character" w:styleId="Hyperlink">
    <w:name w:val="Hyperlink"/>
    <w:rPr>
      <w:color w:val="0000FF"/>
      <w:u w:val="single"/>
    </w:rPr>
  </w:style>
  <w:style w:type="paragraph" w:styleId="BodyTextIndent2">
    <w:name w:val="Body Text Indent 2"/>
    <w:basedOn w:val="Normal"/>
    <w:pPr>
      <w:spacing w:after="120" w:line="480" w:lineRule="auto"/>
      <w:ind w:left="283"/>
    </w:pPr>
  </w:style>
  <w:style w:type="paragraph" w:customStyle="1" w:styleId="Subbulet">
    <w:name w:val="Subbulet"/>
    <w:basedOn w:val="Normal"/>
    <w:pPr>
      <w:numPr>
        <w:ilvl w:val="1"/>
        <w:numId w:val="1"/>
      </w:numPr>
      <w:overflowPunct w:val="0"/>
      <w:autoSpaceDE w:val="0"/>
      <w:autoSpaceDN w:val="0"/>
      <w:adjustRightInd w:val="0"/>
      <w:jc w:val="both"/>
      <w:textAlignment w:val="baseline"/>
    </w:pPr>
    <w:rPr>
      <w:sz w:val="26"/>
      <w:szCs w:val="26"/>
      <w:lang w:eastAsia="fr-FR"/>
    </w:rPr>
  </w:style>
  <w:style w:type="character" w:customStyle="1" w:styleId="SubbuletChar">
    <w:name w:val="Subbulet Char"/>
    <w:rPr>
      <w:noProof w:val="0"/>
      <w:sz w:val="26"/>
      <w:szCs w:val="26"/>
      <w:lang w:val="en-GB" w:eastAsia="fr-FR" w:bidi="ar-SA"/>
    </w:rPr>
  </w:style>
  <w:style w:type="paragraph" w:customStyle="1" w:styleId="ContinuousSquareBullet">
    <w:name w:val="Continuous Square Bullet"/>
    <w:basedOn w:val="Normal"/>
    <w:pPr>
      <w:numPr>
        <w:numId w:val="2"/>
      </w:numPr>
      <w:spacing w:after="280" w:line="280" w:lineRule="exact"/>
    </w:pPr>
    <w:rPr>
      <w:rFonts w:ascii="Arial" w:hAnsi="Arial"/>
      <w:sz w:val="23"/>
      <w:szCs w:val="20"/>
      <w:lang w:eastAsia="en-US"/>
    </w:rPr>
  </w:style>
  <w:style w:type="paragraph" w:styleId="BodyTextIndent3">
    <w:name w:val="Body Text Indent 3"/>
    <w:basedOn w:val="Normal"/>
    <w:pPr>
      <w:spacing w:after="120"/>
      <w:ind w:left="283"/>
    </w:pPr>
    <w:rPr>
      <w:sz w:val="16"/>
      <w:szCs w:val="16"/>
    </w:rPr>
  </w:style>
  <w:style w:type="paragraph" w:styleId="FootnoteText">
    <w:name w:val="footnote text"/>
    <w:basedOn w:val="Normal"/>
    <w:link w:val="FootnoteTextChar"/>
    <w:uiPriority w:val="99"/>
    <w:semiHidden/>
    <w:rPr>
      <w:szCs w:val="20"/>
      <w:lang w:val="nl-NL" w:eastAsia="nl-NL"/>
    </w:rPr>
  </w:style>
  <w:style w:type="character" w:styleId="FootnoteReference">
    <w:name w:val="footnote reference"/>
    <w:uiPriority w:val="99"/>
    <w:semiHidden/>
    <w:rPr>
      <w:vertAlign w:val="superscript"/>
    </w:r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customStyle="1" w:styleId="Anglais">
    <w:name w:val="Anglais"/>
    <w:basedOn w:val="Normal"/>
    <w:rPr>
      <w:szCs w:val="20"/>
      <w:lang w:eastAsia="en-US"/>
    </w:rPr>
  </w:style>
  <w:style w:type="character" w:styleId="EndnoteReference">
    <w:name w:val="endnote reference"/>
    <w:semiHidden/>
    <w:rPr>
      <w:vertAlign w:val="superscript"/>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CD78DD"/>
    <w:rPr>
      <w:rFonts w:ascii="Tahoma" w:hAnsi="Tahoma" w:cs="Tahoma"/>
      <w:sz w:val="16"/>
      <w:szCs w:val="16"/>
    </w:rPr>
  </w:style>
  <w:style w:type="paragraph" w:customStyle="1" w:styleId="FirmaSchlu">
    <w:name w:val="FirmaSchluß"/>
    <w:basedOn w:val="Normal"/>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val="fr-FR" w:eastAsia="fr-FR"/>
    </w:rPr>
  </w:style>
  <w:style w:type="paragraph" w:customStyle="1" w:styleId="Default">
    <w:name w:val="Default"/>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rPr>
      <w:rFonts w:ascii="Arial" w:hAnsi="Arial"/>
      <w:szCs w:val="20"/>
      <w:lang w:eastAsia="en-US"/>
    </w:rPr>
  </w:style>
  <w:style w:type="character" w:customStyle="1" w:styleId="Heading5Char">
    <w:name w:val="Heading 5 Char"/>
    <w:rPr>
      <w:b/>
      <w:bCs/>
      <w:i/>
      <w:iCs/>
      <w:sz w:val="26"/>
      <w:szCs w:val="26"/>
      <w:lang w:val="de-DE" w:eastAsia="de-DE" w:bidi="ar-SA"/>
    </w:rPr>
  </w:style>
  <w:style w:type="paragraph" w:customStyle="1" w:styleId="Overskrift">
    <w:name w:val="Overskrift"/>
    <w:basedOn w:val="Normal"/>
    <w:next w:val="Normal"/>
    <w:pPr>
      <w:spacing w:after="240"/>
      <w:jc w:val="both"/>
    </w:pPr>
    <w:rPr>
      <w:b/>
      <w:szCs w:val="20"/>
    </w:rPr>
  </w:style>
  <w:style w:type="paragraph" w:customStyle="1" w:styleId="000">
    <w:name w:val="000"/>
    <w:aliases w:val="standaard"/>
    <w:basedOn w:val="Normal"/>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pPr>
      <w:spacing w:after="180" w:line="288" w:lineRule="auto"/>
      <w:ind w:left="709"/>
    </w:pPr>
    <w:rPr>
      <w:rFonts w:ascii="Arial" w:hAnsi="Arial"/>
      <w:noProof/>
      <w:sz w:val="20"/>
      <w:szCs w:val="20"/>
      <w:lang w:eastAsia="en-US"/>
    </w:rPr>
  </w:style>
  <w:style w:type="paragraph" w:customStyle="1" w:styleId="NormalBefore3pt">
    <w:name w:val="Normal + Before:  3 pt"/>
    <w:aliases w:val="After:  0 pt"/>
    <w:basedOn w:val="Normal"/>
    <w:pPr>
      <w:autoSpaceDE w:val="0"/>
      <w:autoSpaceDN w:val="0"/>
      <w:adjustRightInd w:val="0"/>
    </w:pPr>
    <w:rPr>
      <w:rFonts w:ascii="Arial" w:hAnsi="Arial"/>
      <w:sz w:val="20"/>
      <w:szCs w:val="20"/>
      <w:lang w:eastAsia="en-US"/>
    </w:rPr>
  </w:style>
  <w:style w:type="paragraph" w:customStyle="1" w:styleId="BodyText-CEA">
    <w:name w:val="Body Text - CEA"/>
    <w:basedOn w:val="Normal"/>
    <w:autoRedefine/>
    <w:rsid w:val="00243997"/>
    <w:pPr>
      <w:jc w:val="both"/>
    </w:pPr>
    <w:rPr>
      <w:rFonts w:ascii="Verdana" w:hAnsi="Verdana"/>
      <w:sz w:val="22"/>
      <w:szCs w:val="22"/>
    </w:rPr>
  </w:style>
  <w:style w:type="paragraph" w:customStyle="1" w:styleId="Heading2-CEA">
    <w:name w:val="Heading 2 - CEA"/>
    <w:basedOn w:val="Normal"/>
    <w:pPr>
      <w:overflowPunct w:val="0"/>
      <w:autoSpaceDE w:val="0"/>
      <w:autoSpaceDN w:val="0"/>
      <w:adjustRightInd w:val="0"/>
      <w:jc w:val="both"/>
      <w:textAlignment w:val="baseline"/>
    </w:pPr>
    <w:rPr>
      <w:rFonts w:ascii="Frutiger LT Com 45 Light" w:hAnsi="Frutiger LT Com 45 Light"/>
      <w:b/>
      <w:lang w:eastAsia="fr-FR"/>
    </w:rPr>
  </w:style>
  <w:style w:type="paragraph" w:customStyle="1" w:styleId="ACbodynormal">
    <w:name w:val="AC body normal"/>
    <w:rsid w:val="00BB3802"/>
    <w:pPr>
      <w:spacing w:before="100" w:after="100" w:line="200" w:lineRule="atLeast"/>
    </w:pPr>
    <w:rPr>
      <w:sz w:val="21"/>
      <w:lang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sid w:val="00CC4D62"/>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rsid w:val="00CC4D62"/>
    <w:pPr>
      <w:overflowPunct w:val="0"/>
      <w:autoSpaceDE w:val="0"/>
      <w:autoSpaceDN w:val="0"/>
      <w:adjustRightInd w:val="0"/>
      <w:jc w:val="both"/>
      <w:textAlignment w:val="baseline"/>
    </w:pPr>
    <w:rPr>
      <w:rFonts w:ascii="Frutiger LT Com 45 Light" w:hAnsi="Frutiger LT Com 45 Light"/>
      <w:b/>
      <w:color w:val="034EA2"/>
      <w:sz w:val="28"/>
      <w:szCs w:val="28"/>
      <w:lang w:eastAsia="fr-FR"/>
    </w:rPr>
  </w:style>
  <w:style w:type="paragraph" w:customStyle="1" w:styleId="List1-CEA">
    <w:name w:val="List 1 -  CEA"/>
    <w:basedOn w:val="Normal"/>
    <w:autoRedefine/>
    <w:rsid w:val="00CC4D62"/>
    <w:pPr>
      <w:autoSpaceDE w:val="0"/>
      <w:autoSpaceDN w:val="0"/>
      <w:adjustRightInd w:val="0"/>
      <w:jc w:val="both"/>
    </w:pPr>
    <w:rPr>
      <w:rFonts w:ascii="Frutiger LT Com 45 Light" w:hAnsi="Frutiger LT Com 45 Light"/>
      <w:sz w:val="20"/>
      <w:szCs w:val="20"/>
      <w:lang w:eastAsia="en-US"/>
    </w:rPr>
  </w:style>
  <w:style w:type="paragraph" w:customStyle="1" w:styleId="Heading1-CEA">
    <w:name w:val="Heading 1 - CEA"/>
    <w:basedOn w:val="Normal"/>
    <w:autoRedefine/>
    <w:rsid w:val="00622E5F"/>
    <w:pPr>
      <w:autoSpaceDE w:val="0"/>
      <w:autoSpaceDN w:val="0"/>
      <w:adjustRightInd w:val="0"/>
    </w:pPr>
    <w:rPr>
      <w:rFonts w:ascii="Frutiger LT Com 45 Light" w:hAnsi="Frutiger LT Com 45 Light"/>
      <w:b/>
      <w:color w:val="034EA2"/>
      <w:sz w:val="28"/>
      <w:szCs w:val="28"/>
      <w:lang w:eastAsia="en-US"/>
    </w:rPr>
  </w:style>
  <w:style w:type="paragraph" w:customStyle="1" w:styleId="Text">
    <w:name w:val="Text"/>
    <w:basedOn w:val="Normal"/>
    <w:rsid w:val="00226071"/>
    <w:p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Bullet">
    <w:name w:val="Bullet"/>
    <w:basedOn w:val="Normal"/>
    <w:rsid w:val="00226071"/>
    <w:pPr>
      <w:numPr>
        <w:numId w:val="3"/>
      </w:num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a">
    <w:name w:val="(a)"/>
    <w:basedOn w:val="BodyText"/>
    <w:rsid w:val="0030434D"/>
    <w:pPr>
      <w:spacing w:after="240"/>
      <w:ind w:left="720" w:hanging="720"/>
      <w:jc w:val="both"/>
    </w:pPr>
    <w:rPr>
      <w:lang w:eastAsia="en-US"/>
    </w:rPr>
  </w:style>
  <w:style w:type="paragraph" w:customStyle="1" w:styleId="i">
    <w:name w:val="(i)"/>
    <w:basedOn w:val="BodyText"/>
    <w:rsid w:val="0030434D"/>
    <w:pPr>
      <w:tabs>
        <w:tab w:val="right" w:pos="1296"/>
      </w:tabs>
      <w:spacing w:after="240"/>
      <w:ind w:left="1440" w:hanging="1440"/>
      <w:jc w:val="both"/>
    </w:pPr>
    <w:rPr>
      <w:lang w:eastAsia="en-US"/>
    </w:rPr>
  </w:style>
  <w:style w:type="character" w:styleId="CommentReference">
    <w:name w:val="annotation reference"/>
    <w:semiHidden/>
    <w:rsid w:val="0039488F"/>
    <w:rPr>
      <w:sz w:val="16"/>
      <w:szCs w:val="16"/>
    </w:rPr>
  </w:style>
  <w:style w:type="paragraph" w:styleId="CommentText">
    <w:name w:val="annotation text"/>
    <w:basedOn w:val="Normal"/>
    <w:link w:val="CommentTextChar"/>
    <w:rsid w:val="0039488F"/>
    <w:rPr>
      <w:sz w:val="20"/>
      <w:szCs w:val="20"/>
    </w:rPr>
  </w:style>
  <w:style w:type="paragraph" w:styleId="CommentSubject">
    <w:name w:val="annotation subject"/>
    <w:basedOn w:val="CommentText"/>
    <w:next w:val="CommentText"/>
    <w:semiHidden/>
    <w:rsid w:val="0039488F"/>
    <w:rPr>
      <w:b/>
      <w:bCs/>
    </w:rPr>
  </w:style>
  <w:style w:type="paragraph" w:customStyle="1" w:styleId="DocTitle">
    <w:name w:val="DocTitle"/>
    <w:basedOn w:val="Normal"/>
    <w:rsid w:val="00342456"/>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eastAsia="ja-JP"/>
    </w:rPr>
  </w:style>
  <w:style w:type="paragraph" w:customStyle="1" w:styleId="Paragraph">
    <w:name w:val="Paragraph"/>
    <w:basedOn w:val="Normal"/>
    <w:rsid w:val="00C5529D"/>
    <w:pPr>
      <w:spacing w:after="120"/>
      <w:jc w:val="both"/>
    </w:pPr>
    <w:rPr>
      <w:rFonts w:ascii="Arial" w:eastAsia="Arial Unicode MS" w:hAnsi="Arial"/>
      <w:sz w:val="18"/>
      <w:szCs w:val="18"/>
      <w:lang w:eastAsia="nl-NL"/>
    </w:rPr>
  </w:style>
  <w:style w:type="paragraph" w:customStyle="1" w:styleId="Numberedparagraph">
    <w:name w:val="Numbered paragraph"/>
    <w:rsid w:val="008A5809"/>
    <w:pPr>
      <w:numPr>
        <w:numId w:val="4"/>
      </w:numPr>
      <w:spacing w:after="240" w:line="280" w:lineRule="atLeast"/>
      <w:jc w:val="both"/>
    </w:pPr>
    <w:rPr>
      <w:rFonts w:ascii="Arial" w:hAnsi="Arial"/>
      <w:sz w:val="22"/>
      <w:lang w:eastAsia="en-US"/>
    </w:rPr>
  </w:style>
  <w:style w:type="paragraph" w:customStyle="1" w:styleId="QISIndentCharCharChar">
    <w:name w:val="QISIndent Char Char Char"/>
    <w:basedOn w:val="Normal"/>
    <w:rsid w:val="008C3429"/>
    <w:pPr>
      <w:spacing w:after="240"/>
      <w:ind w:left="1134"/>
      <w:jc w:val="both"/>
    </w:pPr>
    <w:rPr>
      <w:rFonts w:ascii="Verdana" w:eastAsia="MS Mincho" w:hAnsi="Verdana"/>
      <w:sz w:val="22"/>
      <w:szCs w:val="20"/>
      <w:lang w:eastAsia="ja-JP"/>
    </w:rPr>
  </w:style>
  <w:style w:type="paragraph" w:customStyle="1" w:styleId="QISTextCharCharCharCharCharCharCharCharCharCharCharCharChar1CharChar">
    <w:name w:val="QISText Char Char Char Char Char Char Char Char Char Char Char Char Char1 Char Char"/>
    <w:basedOn w:val="Normal"/>
    <w:rsid w:val="006C6E24"/>
    <w:pPr>
      <w:numPr>
        <w:ilvl w:val="1"/>
        <w:numId w:val="5"/>
      </w:numPr>
      <w:spacing w:after="240"/>
      <w:jc w:val="both"/>
    </w:pPr>
    <w:rPr>
      <w:rFonts w:ascii="Verdana" w:eastAsia="MS Mincho" w:hAnsi="Verdana"/>
      <w:sz w:val="22"/>
      <w:szCs w:val="22"/>
      <w:lang w:eastAsia="ja-JP"/>
    </w:rPr>
  </w:style>
  <w:style w:type="table" w:styleId="TableGrid">
    <w:name w:val="Table Grid"/>
    <w:basedOn w:val="TableNormal"/>
    <w:uiPriority w:val="39"/>
    <w:rsid w:val="003D6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5F1E2A"/>
    <w:rPr>
      <w:lang w:val="de-DE" w:eastAsia="de-DE"/>
    </w:rPr>
  </w:style>
  <w:style w:type="paragraph" w:styleId="ListParagraph">
    <w:name w:val="List Paragraph"/>
    <w:basedOn w:val="Normal"/>
    <w:link w:val="ListParagraphChar"/>
    <w:uiPriority w:val="34"/>
    <w:qFormat/>
    <w:rsid w:val="005F1E2A"/>
    <w:pPr>
      <w:ind w:left="708"/>
    </w:pPr>
    <w:rPr>
      <w:lang w:eastAsia="en-GB"/>
    </w:rPr>
  </w:style>
  <w:style w:type="character" w:customStyle="1" w:styleId="BodyTextChar">
    <w:name w:val="Body Text Char"/>
    <w:link w:val="BodyText"/>
    <w:uiPriority w:val="99"/>
    <w:rsid w:val="007E3875"/>
    <w:rPr>
      <w:sz w:val="24"/>
      <w:szCs w:val="24"/>
      <w:lang w:val="de-DE" w:eastAsia="de-DE"/>
    </w:rPr>
  </w:style>
  <w:style w:type="character" w:styleId="Strong">
    <w:name w:val="Strong"/>
    <w:uiPriority w:val="22"/>
    <w:qFormat/>
    <w:rsid w:val="007E3875"/>
    <w:rPr>
      <w:b/>
      <w:bCs/>
    </w:rPr>
  </w:style>
  <w:style w:type="character" w:customStyle="1" w:styleId="FooterChar">
    <w:name w:val="Footer Char"/>
    <w:link w:val="Footer"/>
    <w:uiPriority w:val="99"/>
    <w:rsid w:val="00A95D0F"/>
    <w:rPr>
      <w:sz w:val="24"/>
      <w:szCs w:val="24"/>
      <w:lang w:val="de-DE" w:eastAsia="de-DE"/>
    </w:rPr>
  </w:style>
  <w:style w:type="paragraph" w:customStyle="1" w:styleId="04aNumeration">
    <w:name w:val="04a_Numeration"/>
    <w:basedOn w:val="Normal"/>
    <w:uiPriority w:val="99"/>
    <w:rsid w:val="006508B8"/>
    <w:pPr>
      <w:numPr>
        <w:numId w:val="7"/>
      </w:numPr>
      <w:spacing w:after="250" w:line="276" w:lineRule="auto"/>
      <w:jc w:val="both"/>
    </w:pPr>
    <w:rPr>
      <w:rFonts w:ascii="Georgia" w:hAnsi="Georgia"/>
      <w:szCs w:val="20"/>
    </w:rPr>
  </w:style>
  <w:style w:type="paragraph" w:customStyle="1" w:styleId="ManualNumPar1">
    <w:name w:val="Manual NumPar 1"/>
    <w:basedOn w:val="Normal"/>
    <w:next w:val="Normal"/>
    <w:link w:val="ManualNumPar1Char"/>
    <w:rsid w:val="00A5091C"/>
    <w:pPr>
      <w:spacing w:before="120" w:after="120"/>
      <w:ind w:left="850" w:hanging="850"/>
      <w:jc w:val="both"/>
    </w:pPr>
  </w:style>
  <w:style w:type="character" w:customStyle="1" w:styleId="ManualNumPar1Char">
    <w:name w:val="Manual NumPar 1 Char"/>
    <w:link w:val="ManualNumPar1"/>
    <w:rsid w:val="00A5091C"/>
    <w:rPr>
      <w:sz w:val="24"/>
      <w:szCs w:val="24"/>
      <w:lang w:eastAsia="de-DE"/>
    </w:rPr>
  </w:style>
  <w:style w:type="paragraph" w:customStyle="1" w:styleId="Chapter">
    <w:name w:val="Chapter"/>
    <w:basedOn w:val="Normal"/>
    <w:next w:val="Normal"/>
    <w:rsid w:val="00E90914"/>
    <w:pPr>
      <w:keepNext/>
      <w:numPr>
        <w:ilvl w:val="1"/>
        <w:numId w:val="8"/>
      </w:numPr>
      <w:spacing w:before="480" w:after="240"/>
      <w:contextualSpacing/>
      <w:jc w:val="center"/>
      <w:outlineLvl w:val="1"/>
    </w:pPr>
    <w:rPr>
      <w:b/>
      <w:lang w:eastAsia="en-US"/>
    </w:rPr>
  </w:style>
  <w:style w:type="paragraph" w:customStyle="1" w:styleId="Article">
    <w:name w:val="Article"/>
    <w:basedOn w:val="Normal"/>
    <w:next w:val="Normal"/>
    <w:rsid w:val="00E90914"/>
    <w:pPr>
      <w:keepNext/>
      <w:numPr>
        <w:ilvl w:val="2"/>
        <w:numId w:val="8"/>
      </w:numPr>
      <w:spacing w:after="240"/>
      <w:contextualSpacing/>
      <w:outlineLvl w:val="2"/>
    </w:pPr>
    <w:rPr>
      <w:b/>
      <w:lang w:eastAsia="en-US"/>
    </w:rPr>
  </w:style>
  <w:style w:type="numbering" w:customStyle="1" w:styleId="Decision">
    <w:name w:val="Decision"/>
    <w:basedOn w:val="NoList"/>
    <w:rsid w:val="00E90914"/>
    <w:pPr>
      <w:numPr>
        <w:numId w:val="9"/>
      </w:numPr>
    </w:pPr>
  </w:style>
  <w:style w:type="paragraph" w:customStyle="1" w:styleId="Titles">
    <w:name w:val="Titles"/>
    <w:basedOn w:val="Normal"/>
    <w:next w:val="Chapter"/>
    <w:rsid w:val="00E90914"/>
    <w:pPr>
      <w:keepNext/>
      <w:numPr>
        <w:numId w:val="8"/>
      </w:numPr>
      <w:spacing w:before="480" w:after="240"/>
      <w:contextualSpacing/>
      <w:jc w:val="center"/>
      <w:outlineLvl w:val="0"/>
    </w:pPr>
    <w:rPr>
      <w:b/>
      <w:caps/>
      <w:lang w:eastAsia="en-US"/>
    </w:rPr>
  </w:style>
  <w:style w:type="paragraph" w:customStyle="1" w:styleId="Para1">
    <w:name w:val="Para 1."/>
    <w:basedOn w:val="Normal"/>
    <w:rsid w:val="00E90914"/>
    <w:pPr>
      <w:numPr>
        <w:ilvl w:val="3"/>
        <w:numId w:val="8"/>
      </w:numPr>
      <w:spacing w:after="240"/>
      <w:outlineLvl w:val="3"/>
    </w:pPr>
    <w:rPr>
      <w:lang w:eastAsia="en-US"/>
    </w:rPr>
  </w:style>
  <w:style w:type="paragraph" w:customStyle="1" w:styleId="Sub-paraa">
    <w:name w:val="Sub-para (a)"/>
    <w:basedOn w:val="Normal"/>
    <w:rsid w:val="00E90914"/>
    <w:pPr>
      <w:numPr>
        <w:ilvl w:val="4"/>
        <w:numId w:val="8"/>
      </w:numPr>
      <w:spacing w:after="240"/>
      <w:outlineLvl w:val="4"/>
    </w:pPr>
    <w:rPr>
      <w:lang w:eastAsia="en-US"/>
    </w:rPr>
  </w:style>
  <w:style w:type="paragraph" w:customStyle="1" w:styleId="Sub-parai">
    <w:name w:val="Sub-para (i)"/>
    <w:basedOn w:val="Normal"/>
    <w:rsid w:val="00E90914"/>
    <w:pPr>
      <w:numPr>
        <w:ilvl w:val="5"/>
        <w:numId w:val="8"/>
      </w:numPr>
      <w:spacing w:after="240"/>
      <w:outlineLvl w:val="5"/>
    </w:pPr>
    <w:rPr>
      <w:lang w:eastAsia="en-US"/>
    </w:rPr>
  </w:style>
  <w:style w:type="paragraph" w:styleId="PlainText">
    <w:name w:val="Plain Text"/>
    <w:basedOn w:val="Normal"/>
    <w:link w:val="PlainTextChar"/>
    <w:uiPriority w:val="99"/>
    <w:unhideWhenUsed/>
    <w:rsid w:val="00B47C09"/>
    <w:rPr>
      <w:rFonts w:ascii="Calibri" w:hAnsi="Calibri"/>
      <w:sz w:val="22"/>
      <w:szCs w:val="21"/>
      <w:lang w:eastAsia="en-GB"/>
    </w:rPr>
  </w:style>
  <w:style w:type="character" w:customStyle="1" w:styleId="PlainTextChar">
    <w:name w:val="Plain Text Char"/>
    <w:link w:val="PlainText"/>
    <w:uiPriority w:val="99"/>
    <w:rsid w:val="00B47C09"/>
    <w:rPr>
      <w:rFonts w:ascii="Calibri" w:hAnsi="Calibri"/>
      <w:sz w:val="22"/>
      <w:szCs w:val="21"/>
    </w:rPr>
  </w:style>
  <w:style w:type="numbering" w:customStyle="1" w:styleId="Decision1">
    <w:name w:val="Decision1"/>
    <w:rsid w:val="00336DBB"/>
  </w:style>
  <w:style w:type="character" w:styleId="FollowedHyperlink">
    <w:name w:val="FollowedHyperlink"/>
    <w:basedOn w:val="DefaultParagraphFont"/>
    <w:rsid w:val="00F56A57"/>
    <w:rPr>
      <w:color w:val="800080" w:themeColor="followedHyperlink"/>
      <w:u w:val="single"/>
    </w:rPr>
  </w:style>
  <w:style w:type="character" w:customStyle="1" w:styleId="FootnoteTextChar">
    <w:name w:val="Footnote Text Char"/>
    <w:basedOn w:val="DefaultParagraphFont"/>
    <w:link w:val="FootnoteText"/>
    <w:uiPriority w:val="99"/>
    <w:semiHidden/>
    <w:rsid w:val="003546FC"/>
    <w:rPr>
      <w:sz w:val="24"/>
      <w:lang w:val="nl-NL" w:eastAsia="nl-NL"/>
    </w:rPr>
  </w:style>
  <w:style w:type="character" w:customStyle="1" w:styleId="ListParagraphChar">
    <w:name w:val="List Paragraph Char"/>
    <w:basedOn w:val="DefaultParagraphFont"/>
    <w:link w:val="ListParagraph"/>
    <w:uiPriority w:val="34"/>
    <w:locked/>
    <w:rsid w:val="003546FC"/>
    <w:rPr>
      <w:sz w:val="24"/>
      <w:szCs w:val="24"/>
    </w:rPr>
  </w:style>
  <w:style w:type="paragraph" w:customStyle="1" w:styleId="CEABullet-Level1">
    <w:name w:val="CEA Bullet - Level 1"/>
    <w:basedOn w:val="Normal"/>
    <w:qFormat/>
    <w:rsid w:val="002E096F"/>
    <w:pPr>
      <w:numPr>
        <w:numId w:val="18"/>
      </w:numPr>
      <w:autoSpaceDE w:val="0"/>
      <w:autoSpaceDN w:val="0"/>
      <w:adjustRightInd w:val="0"/>
      <w:spacing w:line="288" w:lineRule="auto"/>
      <w:jc w:val="both"/>
    </w:pPr>
    <w:rPr>
      <w:rFonts w:ascii="Verdana" w:hAnsi="Verdana" w:cs="Frutiger LT Std 45 Light"/>
      <w:color w:val="000000"/>
      <w:sz w:val="17"/>
      <w:szCs w:val="20"/>
      <w:lang w:eastAsia="en-US"/>
    </w:rPr>
  </w:style>
  <w:style w:type="character" w:styleId="UnresolvedMention">
    <w:name w:val="Unresolved Mention"/>
    <w:basedOn w:val="DefaultParagraphFont"/>
    <w:uiPriority w:val="99"/>
    <w:semiHidden/>
    <w:unhideWhenUsed/>
    <w:rsid w:val="00886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972">
      <w:bodyDiv w:val="1"/>
      <w:marLeft w:val="0"/>
      <w:marRight w:val="0"/>
      <w:marTop w:val="0"/>
      <w:marBottom w:val="0"/>
      <w:divBdr>
        <w:top w:val="none" w:sz="0" w:space="0" w:color="auto"/>
        <w:left w:val="none" w:sz="0" w:space="0" w:color="auto"/>
        <w:bottom w:val="none" w:sz="0" w:space="0" w:color="auto"/>
        <w:right w:val="none" w:sz="0" w:space="0" w:color="auto"/>
      </w:divBdr>
    </w:div>
    <w:div w:id="22294616">
      <w:bodyDiv w:val="1"/>
      <w:marLeft w:val="0"/>
      <w:marRight w:val="0"/>
      <w:marTop w:val="0"/>
      <w:marBottom w:val="0"/>
      <w:divBdr>
        <w:top w:val="none" w:sz="0" w:space="0" w:color="auto"/>
        <w:left w:val="none" w:sz="0" w:space="0" w:color="auto"/>
        <w:bottom w:val="none" w:sz="0" w:space="0" w:color="auto"/>
        <w:right w:val="none" w:sz="0" w:space="0" w:color="auto"/>
      </w:divBdr>
    </w:div>
    <w:div w:id="56101050">
      <w:bodyDiv w:val="1"/>
      <w:marLeft w:val="0"/>
      <w:marRight w:val="0"/>
      <w:marTop w:val="0"/>
      <w:marBottom w:val="0"/>
      <w:divBdr>
        <w:top w:val="none" w:sz="0" w:space="0" w:color="auto"/>
        <w:left w:val="none" w:sz="0" w:space="0" w:color="auto"/>
        <w:bottom w:val="none" w:sz="0" w:space="0" w:color="auto"/>
        <w:right w:val="none" w:sz="0" w:space="0" w:color="auto"/>
      </w:divBdr>
    </w:div>
    <w:div w:id="59714515">
      <w:bodyDiv w:val="1"/>
      <w:marLeft w:val="0"/>
      <w:marRight w:val="0"/>
      <w:marTop w:val="0"/>
      <w:marBottom w:val="0"/>
      <w:divBdr>
        <w:top w:val="none" w:sz="0" w:space="0" w:color="auto"/>
        <w:left w:val="none" w:sz="0" w:space="0" w:color="auto"/>
        <w:bottom w:val="none" w:sz="0" w:space="0" w:color="auto"/>
        <w:right w:val="none" w:sz="0" w:space="0" w:color="auto"/>
      </w:divBdr>
    </w:div>
    <w:div w:id="93791319">
      <w:bodyDiv w:val="1"/>
      <w:marLeft w:val="0"/>
      <w:marRight w:val="0"/>
      <w:marTop w:val="0"/>
      <w:marBottom w:val="0"/>
      <w:divBdr>
        <w:top w:val="none" w:sz="0" w:space="0" w:color="auto"/>
        <w:left w:val="none" w:sz="0" w:space="0" w:color="auto"/>
        <w:bottom w:val="none" w:sz="0" w:space="0" w:color="auto"/>
        <w:right w:val="none" w:sz="0" w:space="0" w:color="auto"/>
      </w:divBdr>
    </w:div>
    <w:div w:id="151801222">
      <w:bodyDiv w:val="1"/>
      <w:marLeft w:val="0"/>
      <w:marRight w:val="0"/>
      <w:marTop w:val="0"/>
      <w:marBottom w:val="0"/>
      <w:divBdr>
        <w:top w:val="none" w:sz="0" w:space="0" w:color="auto"/>
        <w:left w:val="none" w:sz="0" w:space="0" w:color="auto"/>
        <w:bottom w:val="none" w:sz="0" w:space="0" w:color="auto"/>
        <w:right w:val="none" w:sz="0" w:space="0" w:color="auto"/>
      </w:divBdr>
    </w:div>
    <w:div w:id="204611273">
      <w:bodyDiv w:val="1"/>
      <w:marLeft w:val="0"/>
      <w:marRight w:val="0"/>
      <w:marTop w:val="0"/>
      <w:marBottom w:val="0"/>
      <w:divBdr>
        <w:top w:val="none" w:sz="0" w:space="0" w:color="auto"/>
        <w:left w:val="none" w:sz="0" w:space="0" w:color="auto"/>
        <w:bottom w:val="none" w:sz="0" w:space="0" w:color="auto"/>
        <w:right w:val="none" w:sz="0" w:space="0" w:color="auto"/>
      </w:divBdr>
    </w:div>
    <w:div w:id="230652418">
      <w:bodyDiv w:val="1"/>
      <w:marLeft w:val="0"/>
      <w:marRight w:val="0"/>
      <w:marTop w:val="0"/>
      <w:marBottom w:val="0"/>
      <w:divBdr>
        <w:top w:val="none" w:sz="0" w:space="0" w:color="auto"/>
        <w:left w:val="none" w:sz="0" w:space="0" w:color="auto"/>
        <w:bottom w:val="none" w:sz="0" w:space="0" w:color="auto"/>
        <w:right w:val="none" w:sz="0" w:space="0" w:color="auto"/>
      </w:divBdr>
    </w:div>
    <w:div w:id="231041290">
      <w:bodyDiv w:val="1"/>
      <w:marLeft w:val="0"/>
      <w:marRight w:val="0"/>
      <w:marTop w:val="0"/>
      <w:marBottom w:val="0"/>
      <w:divBdr>
        <w:top w:val="none" w:sz="0" w:space="0" w:color="auto"/>
        <w:left w:val="none" w:sz="0" w:space="0" w:color="auto"/>
        <w:bottom w:val="none" w:sz="0" w:space="0" w:color="auto"/>
        <w:right w:val="none" w:sz="0" w:space="0" w:color="auto"/>
      </w:divBdr>
    </w:div>
    <w:div w:id="319575677">
      <w:bodyDiv w:val="1"/>
      <w:marLeft w:val="0"/>
      <w:marRight w:val="0"/>
      <w:marTop w:val="0"/>
      <w:marBottom w:val="0"/>
      <w:divBdr>
        <w:top w:val="none" w:sz="0" w:space="0" w:color="auto"/>
        <w:left w:val="none" w:sz="0" w:space="0" w:color="auto"/>
        <w:bottom w:val="none" w:sz="0" w:space="0" w:color="auto"/>
        <w:right w:val="none" w:sz="0" w:space="0" w:color="auto"/>
      </w:divBdr>
    </w:div>
    <w:div w:id="370082365">
      <w:bodyDiv w:val="1"/>
      <w:marLeft w:val="0"/>
      <w:marRight w:val="0"/>
      <w:marTop w:val="0"/>
      <w:marBottom w:val="0"/>
      <w:divBdr>
        <w:top w:val="none" w:sz="0" w:space="0" w:color="auto"/>
        <w:left w:val="none" w:sz="0" w:space="0" w:color="auto"/>
        <w:bottom w:val="none" w:sz="0" w:space="0" w:color="auto"/>
        <w:right w:val="none" w:sz="0" w:space="0" w:color="auto"/>
      </w:divBdr>
    </w:div>
    <w:div w:id="400375158">
      <w:bodyDiv w:val="1"/>
      <w:marLeft w:val="0"/>
      <w:marRight w:val="0"/>
      <w:marTop w:val="0"/>
      <w:marBottom w:val="0"/>
      <w:divBdr>
        <w:top w:val="none" w:sz="0" w:space="0" w:color="auto"/>
        <w:left w:val="none" w:sz="0" w:space="0" w:color="auto"/>
        <w:bottom w:val="none" w:sz="0" w:space="0" w:color="auto"/>
        <w:right w:val="none" w:sz="0" w:space="0" w:color="auto"/>
      </w:divBdr>
    </w:div>
    <w:div w:id="425618651">
      <w:bodyDiv w:val="1"/>
      <w:marLeft w:val="0"/>
      <w:marRight w:val="0"/>
      <w:marTop w:val="0"/>
      <w:marBottom w:val="0"/>
      <w:divBdr>
        <w:top w:val="none" w:sz="0" w:space="0" w:color="auto"/>
        <w:left w:val="none" w:sz="0" w:space="0" w:color="auto"/>
        <w:bottom w:val="none" w:sz="0" w:space="0" w:color="auto"/>
        <w:right w:val="none" w:sz="0" w:space="0" w:color="auto"/>
      </w:divBdr>
    </w:div>
    <w:div w:id="437523658">
      <w:bodyDiv w:val="1"/>
      <w:marLeft w:val="0"/>
      <w:marRight w:val="0"/>
      <w:marTop w:val="0"/>
      <w:marBottom w:val="0"/>
      <w:divBdr>
        <w:top w:val="none" w:sz="0" w:space="0" w:color="auto"/>
        <w:left w:val="none" w:sz="0" w:space="0" w:color="auto"/>
        <w:bottom w:val="none" w:sz="0" w:space="0" w:color="auto"/>
        <w:right w:val="none" w:sz="0" w:space="0" w:color="auto"/>
      </w:divBdr>
    </w:div>
    <w:div w:id="441849288">
      <w:bodyDiv w:val="1"/>
      <w:marLeft w:val="0"/>
      <w:marRight w:val="0"/>
      <w:marTop w:val="0"/>
      <w:marBottom w:val="0"/>
      <w:divBdr>
        <w:top w:val="none" w:sz="0" w:space="0" w:color="auto"/>
        <w:left w:val="none" w:sz="0" w:space="0" w:color="auto"/>
        <w:bottom w:val="none" w:sz="0" w:space="0" w:color="auto"/>
        <w:right w:val="none" w:sz="0" w:space="0" w:color="auto"/>
      </w:divBdr>
    </w:div>
    <w:div w:id="480922357">
      <w:bodyDiv w:val="1"/>
      <w:marLeft w:val="0"/>
      <w:marRight w:val="0"/>
      <w:marTop w:val="0"/>
      <w:marBottom w:val="0"/>
      <w:divBdr>
        <w:top w:val="none" w:sz="0" w:space="0" w:color="auto"/>
        <w:left w:val="none" w:sz="0" w:space="0" w:color="auto"/>
        <w:bottom w:val="none" w:sz="0" w:space="0" w:color="auto"/>
        <w:right w:val="none" w:sz="0" w:space="0" w:color="auto"/>
      </w:divBdr>
    </w:div>
    <w:div w:id="528766029">
      <w:bodyDiv w:val="1"/>
      <w:marLeft w:val="0"/>
      <w:marRight w:val="0"/>
      <w:marTop w:val="0"/>
      <w:marBottom w:val="0"/>
      <w:divBdr>
        <w:top w:val="none" w:sz="0" w:space="0" w:color="auto"/>
        <w:left w:val="none" w:sz="0" w:space="0" w:color="auto"/>
        <w:bottom w:val="none" w:sz="0" w:space="0" w:color="auto"/>
        <w:right w:val="none" w:sz="0" w:space="0" w:color="auto"/>
      </w:divBdr>
    </w:div>
    <w:div w:id="550964629">
      <w:bodyDiv w:val="1"/>
      <w:marLeft w:val="0"/>
      <w:marRight w:val="0"/>
      <w:marTop w:val="0"/>
      <w:marBottom w:val="0"/>
      <w:divBdr>
        <w:top w:val="none" w:sz="0" w:space="0" w:color="auto"/>
        <w:left w:val="none" w:sz="0" w:space="0" w:color="auto"/>
        <w:bottom w:val="none" w:sz="0" w:space="0" w:color="auto"/>
        <w:right w:val="none" w:sz="0" w:space="0" w:color="auto"/>
      </w:divBdr>
    </w:div>
    <w:div w:id="687561271">
      <w:bodyDiv w:val="1"/>
      <w:marLeft w:val="0"/>
      <w:marRight w:val="0"/>
      <w:marTop w:val="0"/>
      <w:marBottom w:val="0"/>
      <w:divBdr>
        <w:top w:val="none" w:sz="0" w:space="0" w:color="auto"/>
        <w:left w:val="none" w:sz="0" w:space="0" w:color="auto"/>
        <w:bottom w:val="none" w:sz="0" w:space="0" w:color="auto"/>
        <w:right w:val="none" w:sz="0" w:space="0" w:color="auto"/>
      </w:divBdr>
    </w:div>
    <w:div w:id="716902611">
      <w:bodyDiv w:val="1"/>
      <w:marLeft w:val="0"/>
      <w:marRight w:val="0"/>
      <w:marTop w:val="0"/>
      <w:marBottom w:val="0"/>
      <w:divBdr>
        <w:top w:val="none" w:sz="0" w:space="0" w:color="auto"/>
        <w:left w:val="none" w:sz="0" w:space="0" w:color="auto"/>
        <w:bottom w:val="none" w:sz="0" w:space="0" w:color="auto"/>
        <w:right w:val="none" w:sz="0" w:space="0" w:color="auto"/>
      </w:divBdr>
    </w:div>
    <w:div w:id="722556800">
      <w:bodyDiv w:val="1"/>
      <w:marLeft w:val="0"/>
      <w:marRight w:val="0"/>
      <w:marTop w:val="0"/>
      <w:marBottom w:val="0"/>
      <w:divBdr>
        <w:top w:val="none" w:sz="0" w:space="0" w:color="auto"/>
        <w:left w:val="none" w:sz="0" w:space="0" w:color="auto"/>
        <w:bottom w:val="none" w:sz="0" w:space="0" w:color="auto"/>
        <w:right w:val="none" w:sz="0" w:space="0" w:color="auto"/>
      </w:divBdr>
    </w:div>
    <w:div w:id="762266631">
      <w:bodyDiv w:val="1"/>
      <w:marLeft w:val="0"/>
      <w:marRight w:val="0"/>
      <w:marTop w:val="0"/>
      <w:marBottom w:val="0"/>
      <w:divBdr>
        <w:top w:val="none" w:sz="0" w:space="0" w:color="auto"/>
        <w:left w:val="none" w:sz="0" w:space="0" w:color="auto"/>
        <w:bottom w:val="none" w:sz="0" w:space="0" w:color="auto"/>
        <w:right w:val="none" w:sz="0" w:space="0" w:color="auto"/>
      </w:divBdr>
    </w:div>
    <w:div w:id="777067847">
      <w:bodyDiv w:val="1"/>
      <w:marLeft w:val="0"/>
      <w:marRight w:val="0"/>
      <w:marTop w:val="0"/>
      <w:marBottom w:val="0"/>
      <w:divBdr>
        <w:top w:val="none" w:sz="0" w:space="0" w:color="auto"/>
        <w:left w:val="none" w:sz="0" w:space="0" w:color="auto"/>
        <w:bottom w:val="none" w:sz="0" w:space="0" w:color="auto"/>
        <w:right w:val="none" w:sz="0" w:space="0" w:color="auto"/>
      </w:divBdr>
    </w:div>
    <w:div w:id="811561489">
      <w:bodyDiv w:val="1"/>
      <w:marLeft w:val="0"/>
      <w:marRight w:val="0"/>
      <w:marTop w:val="0"/>
      <w:marBottom w:val="0"/>
      <w:divBdr>
        <w:top w:val="none" w:sz="0" w:space="0" w:color="auto"/>
        <w:left w:val="none" w:sz="0" w:space="0" w:color="auto"/>
        <w:bottom w:val="none" w:sz="0" w:space="0" w:color="auto"/>
        <w:right w:val="none" w:sz="0" w:space="0" w:color="auto"/>
      </w:divBdr>
    </w:div>
    <w:div w:id="816530431">
      <w:bodyDiv w:val="1"/>
      <w:marLeft w:val="0"/>
      <w:marRight w:val="0"/>
      <w:marTop w:val="0"/>
      <w:marBottom w:val="0"/>
      <w:divBdr>
        <w:top w:val="none" w:sz="0" w:space="0" w:color="auto"/>
        <w:left w:val="none" w:sz="0" w:space="0" w:color="auto"/>
        <w:bottom w:val="none" w:sz="0" w:space="0" w:color="auto"/>
        <w:right w:val="none" w:sz="0" w:space="0" w:color="auto"/>
      </w:divBdr>
    </w:div>
    <w:div w:id="840244824">
      <w:bodyDiv w:val="1"/>
      <w:marLeft w:val="0"/>
      <w:marRight w:val="0"/>
      <w:marTop w:val="0"/>
      <w:marBottom w:val="0"/>
      <w:divBdr>
        <w:top w:val="none" w:sz="0" w:space="0" w:color="auto"/>
        <w:left w:val="none" w:sz="0" w:space="0" w:color="auto"/>
        <w:bottom w:val="none" w:sz="0" w:space="0" w:color="auto"/>
        <w:right w:val="none" w:sz="0" w:space="0" w:color="auto"/>
      </w:divBdr>
    </w:div>
    <w:div w:id="865407616">
      <w:bodyDiv w:val="1"/>
      <w:marLeft w:val="0"/>
      <w:marRight w:val="0"/>
      <w:marTop w:val="0"/>
      <w:marBottom w:val="0"/>
      <w:divBdr>
        <w:top w:val="none" w:sz="0" w:space="0" w:color="auto"/>
        <w:left w:val="none" w:sz="0" w:space="0" w:color="auto"/>
        <w:bottom w:val="none" w:sz="0" w:space="0" w:color="auto"/>
        <w:right w:val="none" w:sz="0" w:space="0" w:color="auto"/>
      </w:divBdr>
    </w:div>
    <w:div w:id="872230780">
      <w:bodyDiv w:val="1"/>
      <w:marLeft w:val="0"/>
      <w:marRight w:val="0"/>
      <w:marTop w:val="0"/>
      <w:marBottom w:val="0"/>
      <w:divBdr>
        <w:top w:val="none" w:sz="0" w:space="0" w:color="auto"/>
        <w:left w:val="none" w:sz="0" w:space="0" w:color="auto"/>
        <w:bottom w:val="none" w:sz="0" w:space="0" w:color="auto"/>
        <w:right w:val="none" w:sz="0" w:space="0" w:color="auto"/>
      </w:divBdr>
    </w:div>
    <w:div w:id="908270767">
      <w:bodyDiv w:val="1"/>
      <w:marLeft w:val="0"/>
      <w:marRight w:val="0"/>
      <w:marTop w:val="0"/>
      <w:marBottom w:val="0"/>
      <w:divBdr>
        <w:top w:val="none" w:sz="0" w:space="0" w:color="auto"/>
        <w:left w:val="none" w:sz="0" w:space="0" w:color="auto"/>
        <w:bottom w:val="none" w:sz="0" w:space="0" w:color="auto"/>
        <w:right w:val="none" w:sz="0" w:space="0" w:color="auto"/>
      </w:divBdr>
    </w:div>
    <w:div w:id="911505009">
      <w:bodyDiv w:val="1"/>
      <w:marLeft w:val="0"/>
      <w:marRight w:val="0"/>
      <w:marTop w:val="0"/>
      <w:marBottom w:val="0"/>
      <w:divBdr>
        <w:top w:val="none" w:sz="0" w:space="0" w:color="auto"/>
        <w:left w:val="none" w:sz="0" w:space="0" w:color="auto"/>
        <w:bottom w:val="none" w:sz="0" w:space="0" w:color="auto"/>
        <w:right w:val="none" w:sz="0" w:space="0" w:color="auto"/>
      </w:divBdr>
    </w:div>
    <w:div w:id="921108986">
      <w:bodyDiv w:val="1"/>
      <w:marLeft w:val="0"/>
      <w:marRight w:val="0"/>
      <w:marTop w:val="0"/>
      <w:marBottom w:val="0"/>
      <w:divBdr>
        <w:top w:val="none" w:sz="0" w:space="0" w:color="auto"/>
        <w:left w:val="none" w:sz="0" w:space="0" w:color="auto"/>
        <w:bottom w:val="none" w:sz="0" w:space="0" w:color="auto"/>
        <w:right w:val="none" w:sz="0" w:space="0" w:color="auto"/>
      </w:divBdr>
    </w:div>
    <w:div w:id="948194463">
      <w:bodyDiv w:val="1"/>
      <w:marLeft w:val="0"/>
      <w:marRight w:val="0"/>
      <w:marTop w:val="0"/>
      <w:marBottom w:val="0"/>
      <w:divBdr>
        <w:top w:val="none" w:sz="0" w:space="0" w:color="auto"/>
        <w:left w:val="none" w:sz="0" w:space="0" w:color="auto"/>
        <w:bottom w:val="none" w:sz="0" w:space="0" w:color="auto"/>
        <w:right w:val="none" w:sz="0" w:space="0" w:color="auto"/>
      </w:divBdr>
    </w:div>
    <w:div w:id="1011223567">
      <w:bodyDiv w:val="1"/>
      <w:marLeft w:val="0"/>
      <w:marRight w:val="0"/>
      <w:marTop w:val="0"/>
      <w:marBottom w:val="0"/>
      <w:divBdr>
        <w:top w:val="none" w:sz="0" w:space="0" w:color="auto"/>
        <w:left w:val="none" w:sz="0" w:space="0" w:color="auto"/>
        <w:bottom w:val="none" w:sz="0" w:space="0" w:color="auto"/>
        <w:right w:val="none" w:sz="0" w:space="0" w:color="auto"/>
      </w:divBdr>
    </w:div>
    <w:div w:id="1025250704">
      <w:bodyDiv w:val="1"/>
      <w:marLeft w:val="0"/>
      <w:marRight w:val="0"/>
      <w:marTop w:val="0"/>
      <w:marBottom w:val="0"/>
      <w:divBdr>
        <w:top w:val="none" w:sz="0" w:space="0" w:color="auto"/>
        <w:left w:val="none" w:sz="0" w:space="0" w:color="auto"/>
        <w:bottom w:val="none" w:sz="0" w:space="0" w:color="auto"/>
        <w:right w:val="none" w:sz="0" w:space="0" w:color="auto"/>
      </w:divBdr>
    </w:div>
    <w:div w:id="1032223970">
      <w:bodyDiv w:val="1"/>
      <w:marLeft w:val="0"/>
      <w:marRight w:val="0"/>
      <w:marTop w:val="0"/>
      <w:marBottom w:val="0"/>
      <w:divBdr>
        <w:top w:val="none" w:sz="0" w:space="0" w:color="auto"/>
        <w:left w:val="none" w:sz="0" w:space="0" w:color="auto"/>
        <w:bottom w:val="none" w:sz="0" w:space="0" w:color="auto"/>
        <w:right w:val="none" w:sz="0" w:space="0" w:color="auto"/>
      </w:divBdr>
    </w:div>
    <w:div w:id="1049839986">
      <w:bodyDiv w:val="1"/>
      <w:marLeft w:val="0"/>
      <w:marRight w:val="0"/>
      <w:marTop w:val="0"/>
      <w:marBottom w:val="0"/>
      <w:divBdr>
        <w:top w:val="none" w:sz="0" w:space="0" w:color="auto"/>
        <w:left w:val="none" w:sz="0" w:space="0" w:color="auto"/>
        <w:bottom w:val="none" w:sz="0" w:space="0" w:color="auto"/>
        <w:right w:val="none" w:sz="0" w:space="0" w:color="auto"/>
      </w:divBdr>
    </w:div>
    <w:div w:id="1061368649">
      <w:bodyDiv w:val="1"/>
      <w:marLeft w:val="0"/>
      <w:marRight w:val="0"/>
      <w:marTop w:val="0"/>
      <w:marBottom w:val="0"/>
      <w:divBdr>
        <w:top w:val="none" w:sz="0" w:space="0" w:color="auto"/>
        <w:left w:val="none" w:sz="0" w:space="0" w:color="auto"/>
        <w:bottom w:val="none" w:sz="0" w:space="0" w:color="auto"/>
        <w:right w:val="none" w:sz="0" w:space="0" w:color="auto"/>
      </w:divBdr>
    </w:div>
    <w:div w:id="1096482965">
      <w:bodyDiv w:val="1"/>
      <w:marLeft w:val="0"/>
      <w:marRight w:val="0"/>
      <w:marTop w:val="0"/>
      <w:marBottom w:val="0"/>
      <w:divBdr>
        <w:top w:val="none" w:sz="0" w:space="0" w:color="auto"/>
        <w:left w:val="none" w:sz="0" w:space="0" w:color="auto"/>
        <w:bottom w:val="none" w:sz="0" w:space="0" w:color="auto"/>
        <w:right w:val="none" w:sz="0" w:space="0" w:color="auto"/>
      </w:divBdr>
    </w:div>
    <w:div w:id="1104499142">
      <w:bodyDiv w:val="1"/>
      <w:marLeft w:val="0"/>
      <w:marRight w:val="0"/>
      <w:marTop w:val="0"/>
      <w:marBottom w:val="0"/>
      <w:divBdr>
        <w:top w:val="none" w:sz="0" w:space="0" w:color="auto"/>
        <w:left w:val="none" w:sz="0" w:space="0" w:color="auto"/>
        <w:bottom w:val="none" w:sz="0" w:space="0" w:color="auto"/>
        <w:right w:val="none" w:sz="0" w:space="0" w:color="auto"/>
      </w:divBdr>
    </w:div>
    <w:div w:id="1112096020">
      <w:bodyDiv w:val="1"/>
      <w:marLeft w:val="0"/>
      <w:marRight w:val="0"/>
      <w:marTop w:val="0"/>
      <w:marBottom w:val="0"/>
      <w:divBdr>
        <w:top w:val="none" w:sz="0" w:space="0" w:color="auto"/>
        <w:left w:val="none" w:sz="0" w:space="0" w:color="auto"/>
        <w:bottom w:val="none" w:sz="0" w:space="0" w:color="auto"/>
        <w:right w:val="none" w:sz="0" w:space="0" w:color="auto"/>
      </w:divBdr>
    </w:div>
    <w:div w:id="1124617387">
      <w:bodyDiv w:val="1"/>
      <w:marLeft w:val="0"/>
      <w:marRight w:val="0"/>
      <w:marTop w:val="0"/>
      <w:marBottom w:val="0"/>
      <w:divBdr>
        <w:top w:val="none" w:sz="0" w:space="0" w:color="auto"/>
        <w:left w:val="none" w:sz="0" w:space="0" w:color="auto"/>
        <w:bottom w:val="none" w:sz="0" w:space="0" w:color="auto"/>
        <w:right w:val="none" w:sz="0" w:space="0" w:color="auto"/>
      </w:divBdr>
    </w:div>
    <w:div w:id="1163206276">
      <w:bodyDiv w:val="1"/>
      <w:marLeft w:val="0"/>
      <w:marRight w:val="0"/>
      <w:marTop w:val="0"/>
      <w:marBottom w:val="0"/>
      <w:divBdr>
        <w:top w:val="none" w:sz="0" w:space="0" w:color="auto"/>
        <w:left w:val="none" w:sz="0" w:space="0" w:color="auto"/>
        <w:bottom w:val="none" w:sz="0" w:space="0" w:color="auto"/>
        <w:right w:val="none" w:sz="0" w:space="0" w:color="auto"/>
      </w:divBdr>
    </w:div>
    <w:div w:id="1163857851">
      <w:bodyDiv w:val="1"/>
      <w:marLeft w:val="0"/>
      <w:marRight w:val="0"/>
      <w:marTop w:val="0"/>
      <w:marBottom w:val="0"/>
      <w:divBdr>
        <w:top w:val="none" w:sz="0" w:space="0" w:color="auto"/>
        <w:left w:val="none" w:sz="0" w:space="0" w:color="auto"/>
        <w:bottom w:val="none" w:sz="0" w:space="0" w:color="auto"/>
        <w:right w:val="none" w:sz="0" w:space="0" w:color="auto"/>
      </w:divBdr>
      <w:divsChild>
        <w:div w:id="1801073182">
          <w:marLeft w:val="0"/>
          <w:marRight w:val="0"/>
          <w:marTop w:val="0"/>
          <w:marBottom w:val="0"/>
          <w:divBdr>
            <w:top w:val="none" w:sz="0" w:space="0" w:color="auto"/>
            <w:left w:val="none" w:sz="0" w:space="0" w:color="auto"/>
            <w:bottom w:val="none" w:sz="0" w:space="0" w:color="auto"/>
            <w:right w:val="none" w:sz="0" w:space="0" w:color="auto"/>
          </w:divBdr>
        </w:div>
      </w:divsChild>
    </w:div>
    <w:div w:id="1172909114">
      <w:bodyDiv w:val="1"/>
      <w:marLeft w:val="0"/>
      <w:marRight w:val="0"/>
      <w:marTop w:val="0"/>
      <w:marBottom w:val="0"/>
      <w:divBdr>
        <w:top w:val="none" w:sz="0" w:space="0" w:color="auto"/>
        <w:left w:val="none" w:sz="0" w:space="0" w:color="auto"/>
        <w:bottom w:val="none" w:sz="0" w:space="0" w:color="auto"/>
        <w:right w:val="none" w:sz="0" w:space="0" w:color="auto"/>
      </w:divBdr>
    </w:div>
    <w:div w:id="1184394856">
      <w:bodyDiv w:val="1"/>
      <w:marLeft w:val="0"/>
      <w:marRight w:val="0"/>
      <w:marTop w:val="0"/>
      <w:marBottom w:val="0"/>
      <w:divBdr>
        <w:top w:val="none" w:sz="0" w:space="0" w:color="auto"/>
        <w:left w:val="none" w:sz="0" w:space="0" w:color="auto"/>
        <w:bottom w:val="none" w:sz="0" w:space="0" w:color="auto"/>
        <w:right w:val="none" w:sz="0" w:space="0" w:color="auto"/>
      </w:divBdr>
    </w:div>
    <w:div w:id="1202590468">
      <w:bodyDiv w:val="1"/>
      <w:marLeft w:val="0"/>
      <w:marRight w:val="0"/>
      <w:marTop w:val="0"/>
      <w:marBottom w:val="0"/>
      <w:divBdr>
        <w:top w:val="none" w:sz="0" w:space="0" w:color="auto"/>
        <w:left w:val="none" w:sz="0" w:space="0" w:color="auto"/>
        <w:bottom w:val="none" w:sz="0" w:space="0" w:color="auto"/>
        <w:right w:val="none" w:sz="0" w:space="0" w:color="auto"/>
      </w:divBdr>
    </w:div>
    <w:div w:id="1207253005">
      <w:bodyDiv w:val="1"/>
      <w:marLeft w:val="0"/>
      <w:marRight w:val="0"/>
      <w:marTop w:val="0"/>
      <w:marBottom w:val="0"/>
      <w:divBdr>
        <w:top w:val="none" w:sz="0" w:space="0" w:color="auto"/>
        <w:left w:val="none" w:sz="0" w:space="0" w:color="auto"/>
        <w:bottom w:val="none" w:sz="0" w:space="0" w:color="auto"/>
        <w:right w:val="none" w:sz="0" w:space="0" w:color="auto"/>
      </w:divBdr>
    </w:div>
    <w:div w:id="1210846441">
      <w:bodyDiv w:val="1"/>
      <w:marLeft w:val="0"/>
      <w:marRight w:val="0"/>
      <w:marTop w:val="0"/>
      <w:marBottom w:val="0"/>
      <w:divBdr>
        <w:top w:val="none" w:sz="0" w:space="0" w:color="auto"/>
        <w:left w:val="none" w:sz="0" w:space="0" w:color="auto"/>
        <w:bottom w:val="none" w:sz="0" w:space="0" w:color="auto"/>
        <w:right w:val="none" w:sz="0" w:space="0" w:color="auto"/>
      </w:divBdr>
    </w:div>
    <w:div w:id="1216698818">
      <w:bodyDiv w:val="1"/>
      <w:marLeft w:val="0"/>
      <w:marRight w:val="0"/>
      <w:marTop w:val="0"/>
      <w:marBottom w:val="0"/>
      <w:divBdr>
        <w:top w:val="none" w:sz="0" w:space="0" w:color="auto"/>
        <w:left w:val="none" w:sz="0" w:space="0" w:color="auto"/>
        <w:bottom w:val="none" w:sz="0" w:space="0" w:color="auto"/>
        <w:right w:val="none" w:sz="0" w:space="0" w:color="auto"/>
      </w:divBdr>
    </w:div>
    <w:div w:id="1224564832">
      <w:bodyDiv w:val="1"/>
      <w:marLeft w:val="0"/>
      <w:marRight w:val="0"/>
      <w:marTop w:val="0"/>
      <w:marBottom w:val="0"/>
      <w:divBdr>
        <w:top w:val="none" w:sz="0" w:space="0" w:color="auto"/>
        <w:left w:val="none" w:sz="0" w:space="0" w:color="auto"/>
        <w:bottom w:val="none" w:sz="0" w:space="0" w:color="auto"/>
        <w:right w:val="none" w:sz="0" w:space="0" w:color="auto"/>
      </w:divBdr>
    </w:div>
    <w:div w:id="1227497882">
      <w:bodyDiv w:val="1"/>
      <w:marLeft w:val="0"/>
      <w:marRight w:val="0"/>
      <w:marTop w:val="0"/>
      <w:marBottom w:val="0"/>
      <w:divBdr>
        <w:top w:val="none" w:sz="0" w:space="0" w:color="auto"/>
        <w:left w:val="none" w:sz="0" w:space="0" w:color="auto"/>
        <w:bottom w:val="none" w:sz="0" w:space="0" w:color="auto"/>
        <w:right w:val="none" w:sz="0" w:space="0" w:color="auto"/>
      </w:divBdr>
    </w:div>
    <w:div w:id="1240484156">
      <w:bodyDiv w:val="1"/>
      <w:marLeft w:val="0"/>
      <w:marRight w:val="0"/>
      <w:marTop w:val="0"/>
      <w:marBottom w:val="0"/>
      <w:divBdr>
        <w:top w:val="none" w:sz="0" w:space="0" w:color="auto"/>
        <w:left w:val="none" w:sz="0" w:space="0" w:color="auto"/>
        <w:bottom w:val="none" w:sz="0" w:space="0" w:color="auto"/>
        <w:right w:val="none" w:sz="0" w:space="0" w:color="auto"/>
      </w:divBdr>
    </w:div>
    <w:div w:id="1261138427">
      <w:bodyDiv w:val="1"/>
      <w:marLeft w:val="0"/>
      <w:marRight w:val="0"/>
      <w:marTop w:val="0"/>
      <w:marBottom w:val="0"/>
      <w:divBdr>
        <w:top w:val="none" w:sz="0" w:space="0" w:color="auto"/>
        <w:left w:val="none" w:sz="0" w:space="0" w:color="auto"/>
        <w:bottom w:val="none" w:sz="0" w:space="0" w:color="auto"/>
        <w:right w:val="none" w:sz="0" w:space="0" w:color="auto"/>
      </w:divBdr>
    </w:div>
    <w:div w:id="1290433620">
      <w:bodyDiv w:val="1"/>
      <w:marLeft w:val="0"/>
      <w:marRight w:val="0"/>
      <w:marTop w:val="0"/>
      <w:marBottom w:val="0"/>
      <w:divBdr>
        <w:top w:val="none" w:sz="0" w:space="0" w:color="auto"/>
        <w:left w:val="none" w:sz="0" w:space="0" w:color="auto"/>
        <w:bottom w:val="none" w:sz="0" w:space="0" w:color="auto"/>
        <w:right w:val="none" w:sz="0" w:space="0" w:color="auto"/>
      </w:divBdr>
    </w:div>
    <w:div w:id="1313824720">
      <w:bodyDiv w:val="1"/>
      <w:marLeft w:val="0"/>
      <w:marRight w:val="0"/>
      <w:marTop w:val="0"/>
      <w:marBottom w:val="0"/>
      <w:divBdr>
        <w:top w:val="none" w:sz="0" w:space="0" w:color="auto"/>
        <w:left w:val="none" w:sz="0" w:space="0" w:color="auto"/>
        <w:bottom w:val="none" w:sz="0" w:space="0" w:color="auto"/>
        <w:right w:val="none" w:sz="0" w:space="0" w:color="auto"/>
      </w:divBdr>
    </w:div>
    <w:div w:id="1334643261">
      <w:bodyDiv w:val="1"/>
      <w:marLeft w:val="0"/>
      <w:marRight w:val="0"/>
      <w:marTop w:val="0"/>
      <w:marBottom w:val="0"/>
      <w:divBdr>
        <w:top w:val="none" w:sz="0" w:space="0" w:color="auto"/>
        <w:left w:val="none" w:sz="0" w:space="0" w:color="auto"/>
        <w:bottom w:val="none" w:sz="0" w:space="0" w:color="auto"/>
        <w:right w:val="none" w:sz="0" w:space="0" w:color="auto"/>
      </w:divBdr>
    </w:div>
    <w:div w:id="1334916595">
      <w:bodyDiv w:val="1"/>
      <w:marLeft w:val="0"/>
      <w:marRight w:val="0"/>
      <w:marTop w:val="0"/>
      <w:marBottom w:val="0"/>
      <w:divBdr>
        <w:top w:val="none" w:sz="0" w:space="0" w:color="auto"/>
        <w:left w:val="none" w:sz="0" w:space="0" w:color="auto"/>
        <w:bottom w:val="none" w:sz="0" w:space="0" w:color="auto"/>
        <w:right w:val="none" w:sz="0" w:space="0" w:color="auto"/>
      </w:divBdr>
    </w:div>
    <w:div w:id="1356688983">
      <w:bodyDiv w:val="1"/>
      <w:marLeft w:val="0"/>
      <w:marRight w:val="0"/>
      <w:marTop w:val="0"/>
      <w:marBottom w:val="0"/>
      <w:divBdr>
        <w:top w:val="none" w:sz="0" w:space="0" w:color="auto"/>
        <w:left w:val="none" w:sz="0" w:space="0" w:color="auto"/>
        <w:bottom w:val="none" w:sz="0" w:space="0" w:color="auto"/>
        <w:right w:val="none" w:sz="0" w:space="0" w:color="auto"/>
      </w:divBdr>
    </w:div>
    <w:div w:id="1368875725">
      <w:bodyDiv w:val="1"/>
      <w:marLeft w:val="0"/>
      <w:marRight w:val="0"/>
      <w:marTop w:val="0"/>
      <w:marBottom w:val="0"/>
      <w:divBdr>
        <w:top w:val="none" w:sz="0" w:space="0" w:color="auto"/>
        <w:left w:val="none" w:sz="0" w:space="0" w:color="auto"/>
        <w:bottom w:val="none" w:sz="0" w:space="0" w:color="auto"/>
        <w:right w:val="none" w:sz="0" w:space="0" w:color="auto"/>
      </w:divBdr>
    </w:div>
    <w:div w:id="1406101729">
      <w:bodyDiv w:val="1"/>
      <w:marLeft w:val="0"/>
      <w:marRight w:val="0"/>
      <w:marTop w:val="0"/>
      <w:marBottom w:val="0"/>
      <w:divBdr>
        <w:top w:val="none" w:sz="0" w:space="0" w:color="auto"/>
        <w:left w:val="none" w:sz="0" w:space="0" w:color="auto"/>
        <w:bottom w:val="none" w:sz="0" w:space="0" w:color="auto"/>
        <w:right w:val="none" w:sz="0" w:space="0" w:color="auto"/>
      </w:divBdr>
    </w:div>
    <w:div w:id="1411152005">
      <w:bodyDiv w:val="1"/>
      <w:marLeft w:val="0"/>
      <w:marRight w:val="0"/>
      <w:marTop w:val="0"/>
      <w:marBottom w:val="0"/>
      <w:divBdr>
        <w:top w:val="none" w:sz="0" w:space="0" w:color="auto"/>
        <w:left w:val="none" w:sz="0" w:space="0" w:color="auto"/>
        <w:bottom w:val="none" w:sz="0" w:space="0" w:color="auto"/>
        <w:right w:val="none" w:sz="0" w:space="0" w:color="auto"/>
      </w:divBdr>
    </w:div>
    <w:div w:id="1415203819">
      <w:bodyDiv w:val="1"/>
      <w:marLeft w:val="0"/>
      <w:marRight w:val="0"/>
      <w:marTop w:val="0"/>
      <w:marBottom w:val="0"/>
      <w:divBdr>
        <w:top w:val="none" w:sz="0" w:space="0" w:color="auto"/>
        <w:left w:val="none" w:sz="0" w:space="0" w:color="auto"/>
        <w:bottom w:val="none" w:sz="0" w:space="0" w:color="auto"/>
        <w:right w:val="none" w:sz="0" w:space="0" w:color="auto"/>
      </w:divBdr>
    </w:div>
    <w:div w:id="1426265040">
      <w:bodyDiv w:val="1"/>
      <w:marLeft w:val="0"/>
      <w:marRight w:val="0"/>
      <w:marTop w:val="0"/>
      <w:marBottom w:val="0"/>
      <w:divBdr>
        <w:top w:val="none" w:sz="0" w:space="0" w:color="auto"/>
        <w:left w:val="none" w:sz="0" w:space="0" w:color="auto"/>
        <w:bottom w:val="none" w:sz="0" w:space="0" w:color="auto"/>
        <w:right w:val="none" w:sz="0" w:space="0" w:color="auto"/>
      </w:divBdr>
    </w:div>
    <w:div w:id="1444501120">
      <w:bodyDiv w:val="1"/>
      <w:marLeft w:val="0"/>
      <w:marRight w:val="0"/>
      <w:marTop w:val="0"/>
      <w:marBottom w:val="0"/>
      <w:divBdr>
        <w:top w:val="none" w:sz="0" w:space="0" w:color="auto"/>
        <w:left w:val="none" w:sz="0" w:space="0" w:color="auto"/>
        <w:bottom w:val="none" w:sz="0" w:space="0" w:color="auto"/>
        <w:right w:val="none" w:sz="0" w:space="0" w:color="auto"/>
      </w:divBdr>
    </w:div>
    <w:div w:id="1521815952">
      <w:bodyDiv w:val="1"/>
      <w:marLeft w:val="0"/>
      <w:marRight w:val="0"/>
      <w:marTop w:val="0"/>
      <w:marBottom w:val="0"/>
      <w:divBdr>
        <w:top w:val="none" w:sz="0" w:space="0" w:color="auto"/>
        <w:left w:val="none" w:sz="0" w:space="0" w:color="auto"/>
        <w:bottom w:val="none" w:sz="0" w:space="0" w:color="auto"/>
        <w:right w:val="none" w:sz="0" w:space="0" w:color="auto"/>
      </w:divBdr>
    </w:div>
    <w:div w:id="1546022190">
      <w:bodyDiv w:val="1"/>
      <w:marLeft w:val="0"/>
      <w:marRight w:val="0"/>
      <w:marTop w:val="0"/>
      <w:marBottom w:val="0"/>
      <w:divBdr>
        <w:top w:val="none" w:sz="0" w:space="0" w:color="auto"/>
        <w:left w:val="none" w:sz="0" w:space="0" w:color="auto"/>
        <w:bottom w:val="none" w:sz="0" w:space="0" w:color="auto"/>
        <w:right w:val="none" w:sz="0" w:space="0" w:color="auto"/>
      </w:divBdr>
    </w:div>
    <w:div w:id="1555308462">
      <w:bodyDiv w:val="1"/>
      <w:marLeft w:val="0"/>
      <w:marRight w:val="0"/>
      <w:marTop w:val="0"/>
      <w:marBottom w:val="0"/>
      <w:divBdr>
        <w:top w:val="none" w:sz="0" w:space="0" w:color="auto"/>
        <w:left w:val="none" w:sz="0" w:space="0" w:color="auto"/>
        <w:bottom w:val="none" w:sz="0" w:space="0" w:color="auto"/>
        <w:right w:val="none" w:sz="0" w:space="0" w:color="auto"/>
      </w:divBdr>
      <w:divsChild>
        <w:div w:id="1039091833">
          <w:marLeft w:val="0"/>
          <w:marRight w:val="0"/>
          <w:marTop w:val="0"/>
          <w:marBottom w:val="0"/>
          <w:divBdr>
            <w:top w:val="none" w:sz="0" w:space="0" w:color="auto"/>
            <w:left w:val="none" w:sz="0" w:space="0" w:color="auto"/>
            <w:bottom w:val="none" w:sz="0" w:space="0" w:color="auto"/>
            <w:right w:val="none" w:sz="0" w:space="0" w:color="auto"/>
          </w:divBdr>
        </w:div>
      </w:divsChild>
    </w:div>
    <w:div w:id="1591308246">
      <w:bodyDiv w:val="1"/>
      <w:marLeft w:val="0"/>
      <w:marRight w:val="0"/>
      <w:marTop w:val="0"/>
      <w:marBottom w:val="0"/>
      <w:divBdr>
        <w:top w:val="none" w:sz="0" w:space="0" w:color="auto"/>
        <w:left w:val="none" w:sz="0" w:space="0" w:color="auto"/>
        <w:bottom w:val="none" w:sz="0" w:space="0" w:color="auto"/>
        <w:right w:val="none" w:sz="0" w:space="0" w:color="auto"/>
      </w:divBdr>
    </w:div>
    <w:div w:id="1595429849">
      <w:bodyDiv w:val="1"/>
      <w:marLeft w:val="0"/>
      <w:marRight w:val="0"/>
      <w:marTop w:val="0"/>
      <w:marBottom w:val="0"/>
      <w:divBdr>
        <w:top w:val="none" w:sz="0" w:space="0" w:color="auto"/>
        <w:left w:val="none" w:sz="0" w:space="0" w:color="auto"/>
        <w:bottom w:val="none" w:sz="0" w:space="0" w:color="auto"/>
        <w:right w:val="none" w:sz="0" w:space="0" w:color="auto"/>
      </w:divBdr>
    </w:div>
    <w:div w:id="1605574962">
      <w:bodyDiv w:val="1"/>
      <w:marLeft w:val="0"/>
      <w:marRight w:val="0"/>
      <w:marTop w:val="0"/>
      <w:marBottom w:val="0"/>
      <w:divBdr>
        <w:top w:val="none" w:sz="0" w:space="0" w:color="auto"/>
        <w:left w:val="none" w:sz="0" w:space="0" w:color="auto"/>
        <w:bottom w:val="none" w:sz="0" w:space="0" w:color="auto"/>
        <w:right w:val="none" w:sz="0" w:space="0" w:color="auto"/>
      </w:divBdr>
    </w:div>
    <w:div w:id="1616717545">
      <w:bodyDiv w:val="1"/>
      <w:marLeft w:val="0"/>
      <w:marRight w:val="0"/>
      <w:marTop w:val="0"/>
      <w:marBottom w:val="0"/>
      <w:divBdr>
        <w:top w:val="none" w:sz="0" w:space="0" w:color="auto"/>
        <w:left w:val="none" w:sz="0" w:space="0" w:color="auto"/>
        <w:bottom w:val="none" w:sz="0" w:space="0" w:color="auto"/>
        <w:right w:val="none" w:sz="0" w:space="0" w:color="auto"/>
      </w:divBdr>
      <w:divsChild>
        <w:div w:id="450049510">
          <w:marLeft w:val="0"/>
          <w:marRight w:val="0"/>
          <w:marTop w:val="0"/>
          <w:marBottom w:val="0"/>
          <w:divBdr>
            <w:top w:val="none" w:sz="0" w:space="0" w:color="auto"/>
            <w:left w:val="none" w:sz="0" w:space="0" w:color="auto"/>
            <w:bottom w:val="none" w:sz="0" w:space="0" w:color="auto"/>
            <w:right w:val="none" w:sz="0" w:space="0" w:color="auto"/>
          </w:divBdr>
        </w:div>
      </w:divsChild>
    </w:div>
    <w:div w:id="1627854626">
      <w:bodyDiv w:val="1"/>
      <w:marLeft w:val="0"/>
      <w:marRight w:val="0"/>
      <w:marTop w:val="0"/>
      <w:marBottom w:val="0"/>
      <w:divBdr>
        <w:top w:val="none" w:sz="0" w:space="0" w:color="auto"/>
        <w:left w:val="none" w:sz="0" w:space="0" w:color="auto"/>
        <w:bottom w:val="none" w:sz="0" w:space="0" w:color="auto"/>
        <w:right w:val="none" w:sz="0" w:space="0" w:color="auto"/>
      </w:divBdr>
    </w:div>
    <w:div w:id="1675261942">
      <w:bodyDiv w:val="1"/>
      <w:marLeft w:val="0"/>
      <w:marRight w:val="0"/>
      <w:marTop w:val="0"/>
      <w:marBottom w:val="0"/>
      <w:divBdr>
        <w:top w:val="none" w:sz="0" w:space="0" w:color="auto"/>
        <w:left w:val="none" w:sz="0" w:space="0" w:color="auto"/>
        <w:bottom w:val="none" w:sz="0" w:space="0" w:color="auto"/>
        <w:right w:val="none" w:sz="0" w:space="0" w:color="auto"/>
      </w:divBdr>
    </w:div>
    <w:div w:id="1724597404">
      <w:bodyDiv w:val="1"/>
      <w:marLeft w:val="0"/>
      <w:marRight w:val="0"/>
      <w:marTop w:val="0"/>
      <w:marBottom w:val="0"/>
      <w:divBdr>
        <w:top w:val="none" w:sz="0" w:space="0" w:color="auto"/>
        <w:left w:val="none" w:sz="0" w:space="0" w:color="auto"/>
        <w:bottom w:val="none" w:sz="0" w:space="0" w:color="auto"/>
        <w:right w:val="none" w:sz="0" w:space="0" w:color="auto"/>
      </w:divBdr>
    </w:div>
    <w:div w:id="1740983635">
      <w:bodyDiv w:val="1"/>
      <w:marLeft w:val="0"/>
      <w:marRight w:val="0"/>
      <w:marTop w:val="0"/>
      <w:marBottom w:val="0"/>
      <w:divBdr>
        <w:top w:val="none" w:sz="0" w:space="0" w:color="auto"/>
        <w:left w:val="none" w:sz="0" w:space="0" w:color="auto"/>
        <w:bottom w:val="none" w:sz="0" w:space="0" w:color="auto"/>
        <w:right w:val="none" w:sz="0" w:space="0" w:color="auto"/>
      </w:divBdr>
    </w:div>
    <w:div w:id="1757284166">
      <w:bodyDiv w:val="1"/>
      <w:marLeft w:val="0"/>
      <w:marRight w:val="0"/>
      <w:marTop w:val="0"/>
      <w:marBottom w:val="0"/>
      <w:divBdr>
        <w:top w:val="none" w:sz="0" w:space="0" w:color="auto"/>
        <w:left w:val="none" w:sz="0" w:space="0" w:color="auto"/>
        <w:bottom w:val="none" w:sz="0" w:space="0" w:color="auto"/>
        <w:right w:val="none" w:sz="0" w:space="0" w:color="auto"/>
      </w:divBdr>
    </w:div>
    <w:div w:id="1817915676">
      <w:bodyDiv w:val="1"/>
      <w:marLeft w:val="0"/>
      <w:marRight w:val="0"/>
      <w:marTop w:val="0"/>
      <w:marBottom w:val="0"/>
      <w:divBdr>
        <w:top w:val="none" w:sz="0" w:space="0" w:color="auto"/>
        <w:left w:val="none" w:sz="0" w:space="0" w:color="auto"/>
        <w:bottom w:val="none" w:sz="0" w:space="0" w:color="auto"/>
        <w:right w:val="none" w:sz="0" w:space="0" w:color="auto"/>
      </w:divBdr>
    </w:div>
    <w:div w:id="1869828198">
      <w:bodyDiv w:val="1"/>
      <w:marLeft w:val="0"/>
      <w:marRight w:val="0"/>
      <w:marTop w:val="0"/>
      <w:marBottom w:val="0"/>
      <w:divBdr>
        <w:top w:val="none" w:sz="0" w:space="0" w:color="auto"/>
        <w:left w:val="none" w:sz="0" w:space="0" w:color="auto"/>
        <w:bottom w:val="none" w:sz="0" w:space="0" w:color="auto"/>
        <w:right w:val="none" w:sz="0" w:space="0" w:color="auto"/>
      </w:divBdr>
    </w:div>
    <w:div w:id="1871071494">
      <w:bodyDiv w:val="1"/>
      <w:marLeft w:val="0"/>
      <w:marRight w:val="0"/>
      <w:marTop w:val="0"/>
      <w:marBottom w:val="0"/>
      <w:divBdr>
        <w:top w:val="none" w:sz="0" w:space="0" w:color="auto"/>
        <w:left w:val="none" w:sz="0" w:space="0" w:color="auto"/>
        <w:bottom w:val="none" w:sz="0" w:space="0" w:color="auto"/>
        <w:right w:val="none" w:sz="0" w:space="0" w:color="auto"/>
      </w:divBdr>
    </w:div>
    <w:div w:id="1874145124">
      <w:bodyDiv w:val="1"/>
      <w:marLeft w:val="0"/>
      <w:marRight w:val="0"/>
      <w:marTop w:val="0"/>
      <w:marBottom w:val="0"/>
      <w:divBdr>
        <w:top w:val="none" w:sz="0" w:space="0" w:color="auto"/>
        <w:left w:val="none" w:sz="0" w:space="0" w:color="auto"/>
        <w:bottom w:val="none" w:sz="0" w:space="0" w:color="auto"/>
        <w:right w:val="none" w:sz="0" w:space="0" w:color="auto"/>
      </w:divBdr>
    </w:div>
    <w:div w:id="1927424540">
      <w:bodyDiv w:val="1"/>
      <w:marLeft w:val="0"/>
      <w:marRight w:val="0"/>
      <w:marTop w:val="0"/>
      <w:marBottom w:val="0"/>
      <w:divBdr>
        <w:top w:val="none" w:sz="0" w:space="0" w:color="auto"/>
        <w:left w:val="none" w:sz="0" w:space="0" w:color="auto"/>
        <w:bottom w:val="none" w:sz="0" w:space="0" w:color="auto"/>
        <w:right w:val="none" w:sz="0" w:space="0" w:color="auto"/>
      </w:divBdr>
    </w:div>
    <w:div w:id="1979140714">
      <w:bodyDiv w:val="1"/>
      <w:marLeft w:val="0"/>
      <w:marRight w:val="0"/>
      <w:marTop w:val="0"/>
      <w:marBottom w:val="0"/>
      <w:divBdr>
        <w:top w:val="none" w:sz="0" w:space="0" w:color="auto"/>
        <w:left w:val="none" w:sz="0" w:space="0" w:color="auto"/>
        <w:bottom w:val="none" w:sz="0" w:space="0" w:color="auto"/>
        <w:right w:val="none" w:sz="0" w:space="0" w:color="auto"/>
      </w:divBdr>
    </w:div>
    <w:div w:id="2035299708">
      <w:bodyDiv w:val="1"/>
      <w:marLeft w:val="0"/>
      <w:marRight w:val="0"/>
      <w:marTop w:val="0"/>
      <w:marBottom w:val="0"/>
      <w:divBdr>
        <w:top w:val="none" w:sz="0" w:space="0" w:color="auto"/>
        <w:left w:val="none" w:sz="0" w:space="0" w:color="auto"/>
        <w:bottom w:val="none" w:sz="0" w:space="0" w:color="auto"/>
        <w:right w:val="none" w:sz="0" w:space="0" w:color="auto"/>
      </w:divBdr>
    </w:div>
    <w:div w:id="2041860505">
      <w:bodyDiv w:val="1"/>
      <w:marLeft w:val="0"/>
      <w:marRight w:val="0"/>
      <w:marTop w:val="0"/>
      <w:marBottom w:val="0"/>
      <w:divBdr>
        <w:top w:val="none" w:sz="0" w:space="0" w:color="auto"/>
        <w:left w:val="none" w:sz="0" w:space="0" w:color="auto"/>
        <w:bottom w:val="none" w:sz="0" w:space="0" w:color="auto"/>
        <w:right w:val="none" w:sz="0" w:space="0" w:color="auto"/>
      </w:divBdr>
    </w:div>
    <w:div w:id="2091080724">
      <w:bodyDiv w:val="1"/>
      <w:marLeft w:val="0"/>
      <w:marRight w:val="0"/>
      <w:marTop w:val="0"/>
      <w:marBottom w:val="0"/>
      <w:divBdr>
        <w:top w:val="none" w:sz="0" w:space="0" w:color="auto"/>
        <w:left w:val="none" w:sz="0" w:space="0" w:color="auto"/>
        <w:bottom w:val="none" w:sz="0" w:space="0" w:color="auto"/>
        <w:right w:val="none" w:sz="0" w:space="0" w:color="auto"/>
      </w:divBdr>
    </w:div>
    <w:div w:id="2091464788">
      <w:bodyDiv w:val="1"/>
      <w:marLeft w:val="0"/>
      <w:marRight w:val="0"/>
      <w:marTop w:val="0"/>
      <w:marBottom w:val="0"/>
      <w:divBdr>
        <w:top w:val="none" w:sz="0" w:space="0" w:color="auto"/>
        <w:left w:val="none" w:sz="0" w:space="0" w:color="auto"/>
        <w:bottom w:val="none" w:sz="0" w:space="0" w:color="auto"/>
        <w:right w:val="none" w:sz="0" w:space="0" w:color="auto"/>
      </w:divBdr>
    </w:div>
    <w:div w:id="2093160259">
      <w:bodyDiv w:val="1"/>
      <w:marLeft w:val="0"/>
      <w:marRight w:val="0"/>
      <w:marTop w:val="0"/>
      <w:marBottom w:val="0"/>
      <w:divBdr>
        <w:top w:val="none" w:sz="0" w:space="0" w:color="auto"/>
        <w:left w:val="none" w:sz="0" w:space="0" w:color="auto"/>
        <w:bottom w:val="none" w:sz="0" w:space="0" w:color="auto"/>
        <w:right w:val="none" w:sz="0" w:space="0" w:color="auto"/>
      </w:divBdr>
    </w:div>
    <w:div w:id="2096050051">
      <w:bodyDiv w:val="1"/>
      <w:marLeft w:val="0"/>
      <w:marRight w:val="0"/>
      <w:marTop w:val="0"/>
      <w:marBottom w:val="0"/>
      <w:divBdr>
        <w:top w:val="none" w:sz="0" w:space="0" w:color="auto"/>
        <w:left w:val="none" w:sz="0" w:space="0" w:color="auto"/>
        <w:bottom w:val="none" w:sz="0" w:space="0" w:color="auto"/>
        <w:right w:val="none" w:sz="0" w:space="0" w:color="auto"/>
      </w:divBdr>
    </w:div>
    <w:div w:id="2101098070">
      <w:bodyDiv w:val="1"/>
      <w:marLeft w:val="0"/>
      <w:marRight w:val="0"/>
      <w:marTop w:val="0"/>
      <w:marBottom w:val="0"/>
      <w:divBdr>
        <w:top w:val="none" w:sz="0" w:space="0" w:color="auto"/>
        <w:left w:val="none" w:sz="0" w:space="0" w:color="auto"/>
        <w:bottom w:val="none" w:sz="0" w:space="0" w:color="auto"/>
        <w:right w:val="none" w:sz="0" w:space="0" w:color="auto"/>
      </w:divBdr>
    </w:div>
    <w:div w:id="2117483251">
      <w:bodyDiv w:val="1"/>
      <w:marLeft w:val="0"/>
      <w:marRight w:val="0"/>
      <w:marTop w:val="0"/>
      <w:marBottom w:val="0"/>
      <w:divBdr>
        <w:top w:val="none" w:sz="0" w:space="0" w:color="auto"/>
        <w:left w:val="none" w:sz="0" w:space="0" w:color="auto"/>
        <w:bottom w:val="none" w:sz="0" w:space="0" w:color="auto"/>
        <w:right w:val="none" w:sz="0" w:space="0" w:color="auto"/>
      </w:divBdr>
    </w:div>
    <w:div w:id="2120028155">
      <w:bodyDiv w:val="1"/>
      <w:marLeft w:val="0"/>
      <w:marRight w:val="0"/>
      <w:marTop w:val="0"/>
      <w:marBottom w:val="0"/>
      <w:divBdr>
        <w:top w:val="none" w:sz="0" w:space="0" w:color="auto"/>
        <w:left w:val="none" w:sz="0" w:space="0" w:color="auto"/>
        <w:bottom w:val="none" w:sz="0" w:space="0" w:color="auto"/>
        <w:right w:val="none" w:sz="0" w:space="0" w:color="auto"/>
      </w:divBdr>
    </w:div>
    <w:div w:id="21202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betterfinance.eu/pepp-kid-mock-up-proposa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etterfinance.eu/PEPP-TWP-1-202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betterfinance.eu/PEPP-TWP-1-202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etterfinance.eu/pep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iopa.europa.eu/Publications/Consultations/PEPP%20KID_Illustrative%20example%20B.pdf" TargetMode="External"/><Relationship Id="rId13" Type="http://schemas.openxmlformats.org/officeDocument/2006/relationships/hyperlink" Target="https://ec.europa.eu/transparency/regexpert/index.cfm?do=groupDetail.groupMeetingDoc&amp;docid=38547" TargetMode="External"/><Relationship Id="rId18" Type="http://schemas.openxmlformats.org/officeDocument/2006/relationships/hyperlink" Target="https://betterfinance.eu/wp-content/uploads/BETTER1.pdf" TargetMode="External"/><Relationship Id="rId26" Type="http://schemas.openxmlformats.org/officeDocument/2006/relationships/hyperlink" Target="http://betterfinance.eu/pepp/" TargetMode="External"/><Relationship Id="rId3" Type="http://schemas.openxmlformats.org/officeDocument/2006/relationships/hyperlink" Target="https://betterfinance.eu/publication/better-finance-response-to-the-esas-jcp-16-10-2019-on-amendments-to-the-priips-kid/" TargetMode="External"/><Relationship Id="rId21" Type="http://schemas.openxmlformats.org/officeDocument/2006/relationships/hyperlink" Target="https://betterfinance.eu/wp-content/uploads/The_Dispersion_of_Risk_Mitigation_Techniques_in_Life_Cycle_Pensions_-_Final_Report_-_130618.pdf" TargetMode="External"/><Relationship Id="rId7" Type="http://schemas.openxmlformats.org/officeDocument/2006/relationships/hyperlink" Target="https://eiopa.europa.eu/Publications/Consultations/PEPP%20KID_Illustrative%20example%20A.pdf" TargetMode="External"/><Relationship Id="rId12" Type="http://schemas.openxmlformats.org/officeDocument/2006/relationships/hyperlink" Target="https://www.oecd.org/finance/oecd-pensions-outlook-23137649.htm" TargetMode="External"/><Relationship Id="rId17" Type="http://schemas.openxmlformats.org/officeDocument/2006/relationships/hyperlink" Target="https://www.yalelawjournal.org/pdf/c.1476.Ayres-Curtis.1552_6gag5s3c.pdf" TargetMode="External"/><Relationship Id="rId25" Type="http://schemas.openxmlformats.org/officeDocument/2006/relationships/hyperlink" Target="https://betterfinance.eu/publication/pepp-position-paper/" TargetMode="External"/><Relationship Id="rId2" Type="http://schemas.openxmlformats.org/officeDocument/2006/relationships/hyperlink" Target="http://www.consob.it/documents/11973/204072/qdf82.pdf/58dc22f8-504b-4bad-9679-610306359dfc" TargetMode="External"/><Relationship Id="rId16" Type="http://schemas.openxmlformats.org/officeDocument/2006/relationships/hyperlink" Target="https://cdn.americanprogress.org/wp-content/uploads/2014/04/401kFees-brief3.pdf" TargetMode="External"/><Relationship Id="rId20" Type="http://schemas.openxmlformats.org/officeDocument/2006/relationships/hyperlink" Target="https://link.springer.com/article/10.1057/pm.2008.23" TargetMode="External"/><Relationship Id="rId1" Type="http://schemas.openxmlformats.org/officeDocument/2006/relationships/hyperlink" Target="https://betterfinance.eu/wp-content/uploads/BETTER-FINANCE-Key-Priorities-2019-2024-with-Infographic.pdf" TargetMode="External"/><Relationship Id="rId6" Type="http://schemas.openxmlformats.org/officeDocument/2006/relationships/hyperlink" Target="https://eiopa.europa.eu/Pages/News/Consultation-concerning-technical-advice-implementing-and-regulatory-technical-standards-for-the-PEPP.aspx" TargetMode="External"/><Relationship Id="rId11" Type="http://schemas.openxmlformats.org/officeDocument/2006/relationships/hyperlink" Target="http://betterfinance.eu/PEPP-TWP-1-2020/" TargetMode="External"/><Relationship Id="rId24" Type="http://schemas.openxmlformats.org/officeDocument/2006/relationships/hyperlink" Target="https://www.youtube.com/watch?v=XyABzZd5-0I" TargetMode="External"/><Relationship Id="rId5" Type="http://schemas.openxmlformats.org/officeDocument/2006/relationships/hyperlink" Target="https://ec.europa.eu/info/sites/info/files/consumer-testing-study-2015_en.pdf" TargetMode="External"/><Relationship Id="rId15" Type="http://schemas.openxmlformats.org/officeDocument/2006/relationships/hyperlink" Target="https://www.oecd-ilibrary.org/social-issues-migration-health/pensions-at-a-glance-2019_b6d3dcfc-en" TargetMode="External"/><Relationship Id="rId23" Type="http://schemas.openxmlformats.org/officeDocument/2006/relationships/hyperlink" Target="https://theatlas.com/charts/VJDhtA8Xe" TargetMode="External"/><Relationship Id="rId10" Type="http://schemas.openxmlformats.org/officeDocument/2006/relationships/hyperlink" Target="https://scmdirect.com/wp-content/uploads/2019/11/SCM-Direct-Greenwashing-Report.pdf" TargetMode="External"/><Relationship Id="rId19" Type="http://schemas.openxmlformats.org/officeDocument/2006/relationships/hyperlink" Target="https://www.oecd.org/finance/financial-markets/46010869.pdf" TargetMode="External"/><Relationship Id="rId4" Type="http://schemas.openxmlformats.org/officeDocument/2006/relationships/hyperlink" Target="https://eur-lex.europa.eu/legal-content/EN/TXT/PDF/?uri=CELEX:52012SC0187&amp;from=EN" TargetMode="External"/><Relationship Id="rId9" Type="http://schemas.openxmlformats.org/officeDocument/2006/relationships/hyperlink" Target="https://betterfinance.eu/wp-content/uploads/PEPP-Key-Information-Document-current-requirements.pdf" TargetMode="External"/><Relationship Id="rId14" Type="http://schemas.openxmlformats.org/officeDocument/2006/relationships/hyperlink" Target="https://fil.forbrukerradet.no/wp-content/uploads/2019/10/rapport-kombinasjonsfond-og-fondsprofiler.pdf" TargetMode="External"/><Relationship Id="rId22" Type="http://schemas.openxmlformats.org/officeDocument/2006/relationships/hyperlink" Target="https://betterfinance.eu/wp-content/uploads/Robo-Advice-Report-2019-FINAL.pdf" TargetMode="External"/><Relationship Id="rId27" Type="http://schemas.openxmlformats.org/officeDocument/2006/relationships/hyperlink" Target="http://betterfinance.eu/PEPP-TWP-1-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betterfinance1.sharepoint.com/sites/BetterFinance-Team/Shared%20Documents/Policy/PEPP/computations%20-%20capital%20guarante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none" spc="20" baseline="0">
                <a:solidFill>
                  <a:schemeClr val="tx1"/>
                </a:solidFill>
                <a:latin typeface="Cambria" panose="02040503050406030204" pitchFamily="18" charset="0"/>
                <a:ea typeface="Cambria" panose="02040503050406030204" pitchFamily="18" charset="0"/>
                <a:cs typeface="+mn-cs"/>
              </a:defRPr>
            </a:pPr>
            <a:r>
              <a:rPr lang="en-US" sz="1000" b="1" i="1"/>
              <a:t>Effects of inflation</a:t>
            </a:r>
          </a:p>
        </c:rich>
      </c:tx>
      <c:layout>
        <c:manualLayout>
          <c:xMode val="edge"/>
          <c:yMode val="edge"/>
          <c:x val="0.42355673523556736"/>
          <c:y val="4.411411190423627E-3"/>
        </c:manualLayout>
      </c:layout>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solidFill>
              <a:latin typeface="Cambria" panose="02040503050406030204" pitchFamily="18" charset="0"/>
              <a:ea typeface="Cambria" panose="02040503050406030204" pitchFamily="18" charset="0"/>
              <a:cs typeface="+mn-cs"/>
            </a:defRPr>
          </a:pPr>
          <a:endParaRPr lang="en-US"/>
        </a:p>
      </c:txPr>
    </c:title>
    <c:autoTitleDeleted val="0"/>
    <c:plotArea>
      <c:layout>
        <c:manualLayout>
          <c:layoutTarget val="inner"/>
          <c:xMode val="edge"/>
          <c:yMode val="edge"/>
          <c:x val="4.6084849878171331E-2"/>
          <c:y val="0.10939811188522901"/>
          <c:w val="0.90919053167458252"/>
          <c:h val="0.66389855950280474"/>
        </c:manualLayout>
      </c:layout>
      <c:lineChart>
        <c:grouping val="standard"/>
        <c:varyColors val="0"/>
        <c:ser>
          <c:idx val="0"/>
          <c:order val="0"/>
          <c:tx>
            <c:v>Real value of savings</c:v>
          </c:tx>
          <c:spPr>
            <a:ln w="22225" cap="rnd" cmpd="sng" algn="ctr">
              <a:solidFill>
                <a:schemeClr val="accent1"/>
              </a:solidFill>
              <a:round/>
            </a:ln>
            <a:effectLst/>
          </c:spPr>
          <c:marker>
            <c:symbol val="none"/>
          </c:marker>
          <c:dLbls>
            <c:dLbl>
              <c:idx val="0"/>
              <c:layout>
                <c:manualLayout>
                  <c:x val="-2.4330900243309004E-2"/>
                  <c:y val="-4.1666666666666664E-2"/>
                </c:manualLayout>
              </c:layout>
              <c:tx>
                <c:rich>
                  <a:bodyPr/>
                  <a:lstStyle/>
                  <a:p>
                    <a:r>
                      <a:rPr lang="en-US" sz="900" b="0" i="0" u="none" strike="noStrike" baseline="0">
                        <a:effectLst/>
                      </a:rPr>
                      <a:t>€</a:t>
                    </a:r>
                    <a:fld id="{FBCB9D9B-EA1A-46B7-B2EC-E8927EFE68CF}" type="VALUE">
                      <a:rPr lang="en-US"/>
                      <a:pPr/>
                      <a:t>[VALUE]</a:t>
                    </a:fld>
                    <a:endParaRPr lang="en-US" sz="900" b="0" i="0" u="none" strike="noStrike" baseline="0">
                      <a:effectLst/>
                    </a:endParaRP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E03-4DAA-A1AE-8F08086785DC}"/>
                </c:ext>
              </c:extLst>
            </c:dLbl>
            <c:dLbl>
              <c:idx val="40"/>
              <c:layout>
                <c:manualLayout>
                  <c:x val="-1.1059500110595163E-2"/>
                  <c:y val="-6.0185185185185182E-2"/>
                </c:manualLayout>
              </c:layout>
              <c:tx>
                <c:rich>
                  <a:bodyPr/>
                  <a:lstStyle/>
                  <a:p>
                    <a:r>
                      <a:rPr lang="en-US" sz="900" b="0" i="0" u="none" strike="noStrike" baseline="0">
                        <a:effectLst/>
                      </a:rPr>
                      <a:t>€</a:t>
                    </a:r>
                    <a:fld id="{3AA51077-8AE0-45CE-BE81-B1C124302E7E}" type="VALUE">
                      <a:rPr lang="en-US"/>
                      <a:pPr/>
                      <a:t>[VALUE]</a:t>
                    </a:fld>
                    <a:endParaRPr lang="en-US" sz="900" b="0" i="0" u="none" strike="noStrike" baseline="0">
                      <a:effectLst/>
                    </a:endParaRP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E03-4DAA-A1AE-8F08086785DC}"/>
                </c:ext>
              </c:extLst>
            </c:dLbl>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Cambria" panose="02040503050406030204" pitchFamily="18" charset="0"/>
                    <a:ea typeface="Cambria" panose="02040503050406030204" pitchFamily="18" charset="0"/>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'[computations - capital guarantee.xlsx]Sheet3'!$E$1:$E$41</c:f>
              <c:strCache>
                <c:ptCount val="41"/>
                <c:pt idx="0">
                  <c:v>Start</c:v>
                </c:pt>
                <c:pt idx="1">
                  <c:v>Year 1</c:v>
                </c:pt>
                <c:pt idx="2">
                  <c:v>Year 2</c:v>
                </c:pt>
                <c:pt idx="3">
                  <c:v>Year 3</c:v>
                </c:pt>
                <c:pt idx="4">
                  <c:v>Year 4</c:v>
                </c:pt>
                <c:pt idx="5">
                  <c:v>Year 5</c:v>
                </c:pt>
                <c:pt idx="6">
                  <c:v>Year 6</c:v>
                </c:pt>
                <c:pt idx="7">
                  <c:v>Year 7</c:v>
                </c:pt>
                <c:pt idx="8">
                  <c:v>Year 8</c:v>
                </c:pt>
                <c:pt idx="9">
                  <c:v>Year 9</c:v>
                </c:pt>
                <c:pt idx="10">
                  <c:v>Year 10</c:v>
                </c:pt>
                <c:pt idx="11">
                  <c:v>Year 11</c:v>
                </c:pt>
                <c:pt idx="12">
                  <c:v>Year 12</c:v>
                </c:pt>
                <c:pt idx="13">
                  <c:v>Year 13</c:v>
                </c:pt>
                <c:pt idx="14">
                  <c:v>Year 14</c:v>
                </c:pt>
                <c:pt idx="15">
                  <c:v>Year 15</c:v>
                </c:pt>
                <c:pt idx="16">
                  <c:v>Year 16</c:v>
                </c:pt>
                <c:pt idx="17">
                  <c:v>Year 17</c:v>
                </c:pt>
                <c:pt idx="18">
                  <c:v>Year 18</c:v>
                </c:pt>
                <c:pt idx="19">
                  <c:v>Year 19</c:v>
                </c:pt>
                <c:pt idx="20">
                  <c:v>Year 20</c:v>
                </c:pt>
                <c:pt idx="21">
                  <c:v>Year 21</c:v>
                </c:pt>
                <c:pt idx="22">
                  <c:v>Year 22</c:v>
                </c:pt>
                <c:pt idx="23">
                  <c:v>Year 23</c:v>
                </c:pt>
                <c:pt idx="24">
                  <c:v>Year 24</c:v>
                </c:pt>
                <c:pt idx="25">
                  <c:v>Year 25</c:v>
                </c:pt>
                <c:pt idx="26">
                  <c:v>Year 26</c:v>
                </c:pt>
                <c:pt idx="27">
                  <c:v>Year 27</c:v>
                </c:pt>
                <c:pt idx="28">
                  <c:v>Year 28</c:v>
                </c:pt>
                <c:pt idx="29">
                  <c:v>Year 29</c:v>
                </c:pt>
                <c:pt idx="30">
                  <c:v>Year 30</c:v>
                </c:pt>
                <c:pt idx="31">
                  <c:v>Year 31</c:v>
                </c:pt>
                <c:pt idx="32">
                  <c:v>Year 32</c:v>
                </c:pt>
                <c:pt idx="33">
                  <c:v>Year 33</c:v>
                </c:pt>
                <c:pt idx="34">
                  <c:v>Year 34</c:v>
                </c:pt>
                <c:pt idx="35">
                  <c:v>Year 35</c:v>
                </c:pt>
                <c:pt idx="36">
                  <c:v>Year 36</c:v>
                </c:pt>
                <c:pt idx="37">
                  <c:v>Year 37</c:v>
                </c:pt>
                <c:pt idx="38">
                  <c:v>Year 38</c:v>
                </c:pt>
                <c:pt idx="39">
                  <c:v>Year 39</c:v>
                </c:pt>
                <c:pt idx="40">
                  <c:v>Year 40</c:v>
                </c:pt>
              </c:strCache>
            </c:strRef>
          </c:cat>
          <c:val>
            <c:numRef>
              <c:f>'[computations - capital guarantee.xlsx]Sheet3'!$D$1:$D$41</c:f>
              <c:numCache>
                <c:formatCode>0</c:formatCode>
                <c:ptCount val="41"/>
                <c:pt idx="0" formatCode="General">
                  <c:v>221</c:v>
                </c:pt>
                <c:pt idx="1">
                  <c:v>216.47447682498569</c:v>
                </c:pt>
                <c:pt idx="2">
                  <c:v>212.22987924018204</c:v>
                </c:pt>
                <c:pt idx="3">
                  <c:v>208.06850905900203</c:v>
                </c:pt>
                <c:pt idx="4">
                  <c:v>203.98873437157062</c:v>
                </c:pt>
                <c:pt idx="5">
                  <c:v>199.98895526624568</c:v>
                </c:pt>
                <c:pt idx="6">
                  <c:v>196.06760320220164</c:v>
                </c:pt>
                <c:pt idx="7">
                  <c:v>192.22314039431535</c:v>
                </c:pt>
                <c:pt idx="8">
                  <c:v>188.45405921011306</c:v>
                </c:pt>
                <c:pt idx="9">
                  <c:v>184.75888157854223</c:v>
                </c:pt>
                <c:pt idx="10">
                  <c:v>181.1361584103355</c:v>
                </c:pt>
                <c:pt idx="11">
                  <c:v>177.58446902974069</c:v>
                </c:pt>
                <c:pt idx="12">
                  <c:v>174.10242061739282</c:v>
                </c:pt>
                <c:pt idx="13">
                  <c:v>170.68864766411065</c:v>
                </c:pt>
                <c:pt idx="14">
                  <c:v>167.34181143540258</c:v>
                </c:pt>
                <c:pt idx="15">
                  <c:v>164.06059944647311</c:v>
                </c:pt>
                <c:pt idx="16">
                  <c:v>160.84372494752265</c:v>
                </c:pt>
                <c:pt idx="17">
                  <c:v>157.68992641913982</c:v>
                </c:pt>
                <c:pt idx="18">
                  <c:v>154.59796707758807</c:v>
                </c:pt>
                <c:pt idx="19">
                  <c:v>151.56663438979223</c:v>
                </c:pt>
                <c:pt idx="20">
                  <c:v>148.59473959783551</c:v>
                </c:pt>
                <c:pt idx="21">
                  <c:v>145.6811172527799</c:v>
                </c:pt>
                <c:pt idx="22">
                  <c:v>142.82462475762733</c:v>
                </c:pt>
                <c:pt idx="23">
                  <c:v>140.02414191924251</c:v>
                </c:pt>
                <c:pt idx="24">
                  <c:v>137.27857050906127</c:v>
                </c:pt>
                <c:pt idx="25">
                  <c:v>134.58683383241302</c:v>
                </c:pt>
                <c:pt idx="26">
                  <c:v>131.94787630628727</c:v>
                </c:pt>
                <c:pt idx="27">
                  <c:v>129.36066304537968</c:v>
                </c:pt>
                <c:pt idx="28">
                  <c:v>126.82417945625457</c:v>
                </c:pt>
                <c:pt idx="29">
                  <c:v>124.33743083946527</c:v>
                </c:pt>
                <c:pt idx="30">
                  <c:v>121.89944199947574</c:v>
                </c:pt>
                <c:pt idx="31">
                  <c:v>119.50925686223113</c:v>
                </c:pt>
                <c:pt idx="32">
                  <c:v>117.16593810022658</c:v>
                </c:pt>
                <c:pt idx="33">
                  <c:v>114.86856676492802</c:v>
                </c:pt>
                <c:pt idx="34">
                  <c:v>112.61624192640002</c:v>
                </c:pt>
                <c:pt idx="35">
                  <c:v>110.40808032000002</c:v>
                </c:pt>
                <c:pt idx="36">
                  <c:v>108.24321600000003</c:v>
                </c:pt>
                <c:pt idx="37">
                  <c:v>106.12080000000002</c:v>
                </c:pt>
                <c:pt idx="38">
                  <c:v>104.04</c:v>
                </c:pt>
                <c:pt idx="39">
                  <c:v>102</c:v>
                </c:pt>
                <c:pt idx="40">
                  <c:v>100</c:v>
                </c:pt>
              </c:numCache>
            </c:numRef>
          </c:val>
          <c:smooth val="0"/>
          <c:extLst>
            <c:ext xmlns:c16="http://schemas.microsoft.com/office/drawing/2014/chart" uri="{C3380CC4-5D6E-409C-BE32-E72D297353CC}">
              <c16:uniqueId val="{00000002-2E03-4DAA-A1AE-8F08086785DC}"/>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738024136"/>
        <c:axId val="738024456"/>
      </c:lineChart>
      <c:catAx>
        <c:axId val="73802413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spc="20" baseline="0">
                <a:solidFill>
                  <a:schemeClr val="tx1"/>
                </a:solidFill>
                <a:latin typeface="Cambria" panose="02040503050406030204" pitchFamily="18" charset="0"/>
                <a:ea typeface="Cambria" panose="02040503050406030204" pitchFamily="18" charset="0"/>
                <a:cs typeface="+mn-cs"/>
              </a:defRPr>
            </a:pPr>
            <a:endParaRPr lang="en-US"/>
          </a:p>
        </c:txPr>
        <c:crossAx val="738024456"/>
        <c:crosses val="autoZero"/>
        <c:auto val="1"/>
        <c:lblAlgn val="ctr"/>
        <c:lblOffset val="100"/>
        <c:noMultiLvlLbl val="0"/>
      </c:catAx>
      <c:valAx>
        <c:axId val="738024456"/>
        <c:scaling>
          <c:orientation val="minMax"/>
          <c:max val="230"/>
          <c:min val="100"/>
        </c:scaling>
        <c:delete val="1"/>
        <c:axPos val="l"/>
        <c:numFmt formatCode="General" sourceLinked="1"/>
        <c:majorTickMark val="none"/>
        <c:minorTickMark val="none"/>
        <c:tickLblPos val="nextTo"/>
        <c:crossAx val="738024136"/>
        <c:crosses val="autoZero"/>
        <c:crossBetween val="midCat"/>
      </c:valAx>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chemeClr val="tx1"/>
          </a:solidFill>
          <a:latin typeface="Cambria" panose="02040503050406030204" pitchFamily="18" charset="0"/>
          <a:ea typeface="Cambria" panose="020405030504060302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08A9776426D41840A8C2CCB15B3F3" ma:contentTypeVersion="12" ma:contentTypeDescription="Create a new document." ma:contentTypeScope="" ma:versionID="fad30e866c7e5bd87e01b4be7e13f445">
  <xsd:schema xmlns:xsd="http://www.w3.org/2001/XMLSchema" xmlns:xs="http://www.w3.org/2001/XMLSchema" xmlns:p="http://schemas.microsoft.com/office/2006/metadata/properties" xmlns:ns2="fd160c09-1844-45b0-b4f1-cf53e6c3c76a" xmlns:ns3="8e72f4a7-cae9-4e97-b541-2580a12d1989" targetNamespace="http://schemas.microsoft.com/office/2006/metadata/properties" ma:root="true" ma:fieldsID="3d251b770648fbf44b28e39a1ec2cbaa" ns2:_="" ns3:_="">
    <xsd:import namespace="fd160c09-1844-45b0-b4f1-cf53e6c3c76a"/>
    <xsd:import namespace="8e72f4a7-cae9-4e97-b541-2580a12d1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0c09-1844-45b0-b4f1-cf53e6c3c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2f4a7-cae9-4e97-b541-2580a12d19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30944-7D0A-4B4C-80E6-6AC8873D8C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486E52-1C02-4BA8-B452-C7504A243A25}">
  <ds:schemaRefs>
    <ds:schemaRef ds:uri="http://schemas.microsoft.com/sharepoint/v3/contenttype/forms"/>
  </ds:schemaRefs>
</ds:datastoreItem>
</file>

<file path=customXml/itemProps3.xml><?xml version="1.0" encoding="utf-8"?>
<ds:datastoreItem xmlns:ds="http://schemas.openxmlformats.org/officeDocument/2006/customXml" ds:itemID="{28E7A907-3F91-4B4A-B534-DB6AC35CC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60c09-1844-45b0-b4f1-cf53e6c3c76a"/>
    <ds:schemaRef ds:uri="8e72f4a7-cae9-4e97-b541-2580a12d1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7DF77E-007F-44F0-819A-D6D840A9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22</Pages>
  <Words>9400</Words>
  <Characters>53582</Characters>
  <Application>Microsoft Office Word</Application>
  <DocSecurity>0</DocSecurity>
  <Lines>446</Lines>
  <Paragraphs>125</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
      <vt:lpstr/>
      <vt:lpstr>EIOPA-BoS-16-223_Comment template draft EIOPA 2016 market development report</vt:lpstr>
    </vt:vector>
  </TitlesOfParts>
  <Company>Ceiops</Company>
  <LinksUpToDate>false</LinksUpToDate>
  <CharactersWithSpaces>62857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Fassauer, Gerd</dc:creator>
  <cp:lastModifiedBy>Stefan Voicu</cp:lastModifiedBy>
  <cp:revision>91</cp:revision>
  <cp:lastPrinted>2013-03-21T15:22:00Z</cp:lastPrinted>
  <dcterms:created xsi:type="dcterms:W3CDTF">2019-11-29T07:53:00Z</dcterms:created>
  <dcterms:modified xsi:type="dcterms:W3CDTF">2020-03-02T13:48:00Z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0x010100B5308A9776426D41840A8C2CCB15B3F3</vt:lpwstr>
  </property>
  <property fmtid="{D5CDD505-2E9C-101B-9397-08002B2CF9AE}" pid="3" name="ERIS_Keywords">
    <vt:lpwstr>3;#Financial Stability|049b862d-b39b-44a2-9998-86d5f061724c;#6;#Stress Tests|310a71fb-0b6d-4cce-965f-02ba7f2cca49;#11;#Pensions|eef60d05-9a64-4d19-a843-387167e1c3bc</vt:lpwstr>
  </property>
  <property fmtid="{D5CDD505-2E9C-101B-9397-08002B2CF9AE}" pid="4" name="ERIS_Department">
    <vt:lpwstr>1;#Risks ＆ Financial Stability Department|364f0868-cf23-4007-af85-0c17c2d1b8b6</vt:lpwstr>
  </property>
  <property fmtid="{D5CDD505-2E9C-101B-9397-08002B2CF9AE}" pid="5" name="ERIS_DocumentType">
    <vt:lpwstr>31;#Note|d2c68be8-58e4-4467-97a9-75f824d1c556</vt:lpwstr>
  </property>
  <property fmtid="{D5CDD505-2E9C-101B-9397-08002B2CF9AE}" pid="6" name="ERIS_Language">
    <vt:lpwstr>2;#English|2741a941-2920-4ba4-aa70-d8ed6ac1785d</vt:lpwstr>
  </property>
  <property fmtid="{D5CDD505-2E9C-101B-9397-08002B2CF9AE}" pid="7" name="RecordPoint_WorkflowType">
    <vt:lpwstr>ActiveSubmitStub</vt:lpwstr>
  </property>
  <property fmtid="{D5CDD505-2E9C-101B-9397-08002B2CF9AE}" pid="8" name="RecordPoint_ActiveItemUniqueId">
    <vt:lpwstr>{40eb41cd-23cc-4be0-bd87-3e53861d1b94}</vt:lpwstr>
  </property>
  <property fmtid="{D5CDD505-2E9C-101B-9397-08002B2CF9AE}" pid="9" name="RecordPoint_ActiveItemWebId">
    <vt:lpwstr>{9c9d3f1c-d43e-412d-b5ba-25b99655e7b0}</vt:lpwstr>
  </property>
  <property fmtid="{D5CDD505-2E9C-101B-9397-08002B2CF9AE}" pid="10" name="RecordPoint_ActiveItemSiteId">
    <vt:lpwstr>{61999160-d9b8-4a87-bd5b-b288d02af9da}</vt:lpwstr>
  </property>
  <property fmtid="{D5CDD505-2E9C-101B-9397-08002B2CF9AE}" pid="11" name="RecordPoint_ActiveItemListId">
    <vt:lpwstr>{f8ddd6c2-a9a9-432a-8302-827cf0317077}</vt:lpwstr>
  </property>
  <property fmtid="{D5CDD505-2E9C-101B-9397-08002B2CF9AE}" pid="12" name="RecordPoint_RecordNumberSubmitted">
    <vt:lpwstr>EIOPA(2018)0337404</vt:lpwstr>
  </property>
  <property fmtid="{D5CDD505-2E9C-101B-9397-08002B2CF9AE}" pid="13" name="RecordPoint_SubmissionCompleted">
    <vt:lpwstr>2018-11-26T17:03:00.2584456+01:00</vt:lpwstr>
  </property>
</Properties>
</file>