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94A" w:rsidRDefault="00E4094A" w:rsidP="00D244D1">
      <w:pPr>
        <w:spacing w:after="0" w:line="276" w:lineRule="auto"/>
        <w:ind w:left="0"/>
        <w:rPr>
          <w:color w:val="auto"/>
        </w:rPr>
      </w:pPr>
      <w:r>
        <w:rPr>
          <w:color w:val="auto"/>
          <w:sz w:val="22"/>
          <w:szCs w:val="22"/>
        </w:rPr>
        <w:t xml:space="preserve">Contact: </w:t>
      </w:r>
      <w:r w:rsidR="00D244D1">
        <w:rPr>
          <w:b/>
          <w:color w:val="auto"/>
          <w:sz w:val="22"/>
          <w:szCs w:val="22"/>
        </w:rPr>
        <w:t xml:space="preserve">Arnaud Houdmont      </w:t>
      </w:r>
      <w:r>
        <w:rPr>
          <w:b/>
          <w:color w:val="auto"/>
          <w:sz w:val="22"/>
          <w:szCs w:val="22"/>
        </w:rPr>
        <w:t xml:space="preserve">                                                                              </w:t>
      </w:r>
      <w:r w:rsidR="00D244D1">
        <w:rPr>
          <w:color w:val="auto"/>
          <w:sz w:val="22"/>
          <w:szCs w:val="22"/>
        </w:rPr>
        <w:t>Brussels, 22 October</w:t>
      </w:r>
      <w:r>
        <w:rPr>
          <w:color w:val="auto"/>
          <w:sz w:val="22"/>
          <w:szCs w:val="22"/>
        </w:rPr>
        <w:t xml:space="preserve"> 2013</w:t>
      </w:r>
    </w:p>
    <w:p w:rsidR="00E4094A" w:rsidRDefault="00E4094A" w:rsidP="00E4094A">
      <w:pPr>
        <w:spacing w:after="0" w:line="276" w:lineRule="auto"/>
        <w:ind w:left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Tel: +32 (0)2 514 37 77</w:t>
      </w:r>
    </w:p>
    <w:p w:rsidR="00E4094A" w:rsidRDefault="00465CF7" w:rsidP="00E4094A">
      <w:pPr>
        <w:spacing w:after="0" w:line="276" w:lineRule="auto"/>
        <w:ind w:left="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E-mail</w:t>
      </w:r>
      <w:r w:rsidR="00E4094A">
        <w:rPr>
          <w:color w:val="auto"/>
          <w:sz w:val="22"/>
          <w:szCs w:val="22"/>
        </w:rPr>
        <w:t xml:space="preserve">: </w:t>
      </w:r>
      <w:hyperlink r:id="rId9" w:history="1">
        <w:r w:rsidR="00D244D1" w:rsidRPr="00891108">
          <w:rPr>
            <w:rStyle w:val="Hyperlink"/>
            <w:sz w:val="22"/>
            <w:szCs w:val="22"/>
          </w:rPr>
          <w:t>houdmont@eurofinuse.org</w:t>
        </w:r>
      </w:hyperlink>
    </w:p>
    <w:p w:rsidR="00E4094A" w:rsidRPr="00687BF5" w:rsidRDefault="00E4094A" w:rsidP="00E4094A">
      <w:pPr>
        <w:spacing w:after="0"/>
        <w:ind w:left="0"/>
        <w:jc w:val="center"/>
        <w:rPr>
          <w:b/>
          <w:color w:val="auto"/>
        </w:rPr>
      </w:pPr>
    </w:p>
    <w:p w:rsidR="00E4094A" w:rsidRDefault="00D244D1" w:rsidP="00D244D1">
      <w:pPr>
        <w:spacing w:after="0"/>
        <w:ind w:left="0"/>
        <w:jc w:val="center"/>
        <w:rPr>
          <w:b/>
          <w:color w:val="auto"/>
          <w:sz w:val="24"/>
          <w:szCs w:val="24"/>
        </w:rPr>
      </w:pPr>
      <w:r w:rsidRPr="00D244D1">
        <w:rPr>
          <w:b/>
          <w:color w:val="auto"/>
          <w:sz w:val="24"/>
          <w:szCs w:val="24"/>
        </w:rPr>
        <w:t xml:space="preserve">EuroFinUse praises the European Parliament </w:t>
      </w:r>
      <w:r w:rsidR="00786374">
        <w:rPr>
          <w:b/>
          <w:color w:val="auto"/>
          <w:sz w:val="24"/>
          <w:szCs w:val="24"/>
        </w:rPr>
        <w:t xml:space="preserve">for </w:t>
      </w:r>
      <w:r w:rsidR="008B0D8B">
        <w:rPr>
          <w:b/>
          <w:color w:val="auto"/>
          <w:sz w:val="24"/>
          <w:szCs w:val="24"/>
        </w:rPr>
        <w:t>voting</w:t>
      </w:r>
      <w:r w:rsidR="00465CF7">
        <w:rPr>
          <w:b/>
          <w:color w:val="auto"/>
          <w:sz w:val="24"/>
          <w:szCs w:val="24"/>
        </w:rPr>
        <w:t xml:space="preserve"> for</w:t>
      </w:r>
      <w:r w:rsidR="008B0D8B">
        <w:rPr>
          <w:b/>
          <w:color w:val="auto"/>
          <w:sz w:val="24"/>
          <w:szCs w:val="24"/>
        </w:rPr>
        <w:t xml:space="preserve"> </w:t>
      </w:r>
      <w:r w:rsidR="00786374">
        <w:rPr>
          <w:b/>
          <w:color w:val="auto"/>
          <w:sz w:val="24"/>
          <w:szCs w:val="24"/>
        </w:rPr>
        <w:t xml:space="preserve">more consistency in </w:t>
      </w:r>
      <w:r w:rsidR="00D940D9">
        <w:rPr>
          <w:b/>
          <w:color w:val="auto"/>
          <w:sz w:val="24"/>
          <w:szCs w:val="24"/>
        </w:rPr>
        <w:t>summary information</w:t>
      </w:r>
      <w:r w:rsidR="00903503">
        <w:rPr>
          <w:b/>
          <w:color w:val="auto"/>
          <w:sz w:val="24"/>
          <w:szCs w:val="24"/>
        </w:rPr>
        <w:t xml:space="preserve"> for investors,</w:t>
      </w:r>
      <w:r w:rsidRPr="00D244D1">
        <w:rPr>
          <w:b/>
          <w:color w:val="auto"/>
          <w:sz w:val="24"/>
          <w:szCs w:val="24"/>
        </w:rPr>
        <w:t xml:space="preserve"> </w:t>
      </w:r>
      <w:r w:rsidR="00465CF7" w:rsidRPr="00D244D1">
        <w:rPr>
          <w:b/>
          <w:color w:val="auto"/>
          <w:sz w:val="24"/>
          <w:szCs w:val="24"/>
        </w:rPr>
        <w:t xml:space="preserve">but </w:t>
      </w:r>
      <w:r w:rsidR="00465CF7">
        <w:rPr>
          <w:b/>
          <w:color w:val="auto"/>
          <w:sz w:val="24"/>
          <w:szCs w:val="24"/>
        </w:rPr>
        <w:t>is</w:t>
      </w:r>
      <w:r w:rsidR="00786374">
        <w:rPr>
          <w:b/>
          <w:color w:val="auto"/>
          <w:sz w:val="24"/>
          <w:szCs w:val="24"/>
        </w:rPr>
        <w:t xml:space="preserve"> quite concerned </w:t>
      </w:r>
      <w:r w:rsidR="00770334">
        <w:rPr>
          <w:b/>
          <w:color w:val="auto"/>
          <w:sz w:val="24"/>
          <w:szCs w:val="24"/>
        </w:rPr>
        <w:t xml:space="preserve">that a </w:t>
      </w:r>
      <w:r w:rsidR="00465CF7">
        <w:rPr>
          <w:b/>
          <w:color w:val="auto"/>
          <w:sz w:val="24"/>
          <w:szCs w:val="24"/>
        </w:rPr>
        <w:t>majority of</w:t>
      </w:r>
      <w:r w:rsidR="00770334">
        <w:rPr>
          <w:b/>
          <w:color w:val="auto"/>
          <w:sz w:val="24"/>
          <w:szCs w:val="24"/>
        </w:rPr>
        <w:t xml:space="preserve"> the critical long term and pension investment products remain</w:t>
      </w:r>
      <w:r w:rsidR="00D940D9">
        <w:rPr>
          <w:b/>
          <w:color w:val="auto"/>
          <w:sz w:val="24"/>
          <w:szCs w:val="24"/>
        </w:rPr>
        <w:t xml:space="preserve"> exempt </w:t>
      </w:r>
      <w:r w:rsidR="00465CF7">
        <w:rPr>
          <w:b/>
          <w:color w:val="auto"/>
          <w:sz w:val="24"/>
          <w:szCs w:val="24"/>
        </w:rPr>
        <w:t xml:space="preserve">from </w:t>
      </w:r>
      <w:r w:rsidR="00D940D9">
        <w:rPr>
          <w:b/>
          <w:color w:val="auto"/>
          <w:sz w:val="24"/>
          <w:szCs w:val="24"/>
        </w:rPr>
        <w:t>these</w:t>
      </w:r>
      <w:r w:rsidR="00403543">
        <w:rPr>
          <w:b/>
          <w:color w:val="auto"/>
          <w:sz w:val="24"/>
          <w:szCs w:val="24"/>
        </w:rPr>
        <w:t xml:space="preserve"> requirements</w:t>
      </w:r>
      <w:r w:rsidR="00770334">
        <w:rPr>
          <w:b/>
          <w:color w:val="auto"/>
          <w:sz w:val="24"/>
          <w:szCs w:val="24"/>
        </w:rPr>
        <w:t xml:space="preserve">. </w:t>
      </w:r>
    </w:p>
    <w:p w:rsidR="00D244D1" w:rsidRDefault="00D244D1" w:rsidP="00E4094A">
      <w:pPr>
        <w:spacing w:after="0"/>
        <w:ind w:left="0"/>
        <w:rPr>
          <w:color w:val="auto"/>
        </w:rPr>
      </w:pPr>
    </w:p>
    <w:p w:rsidR="00D244D1" w:rsidRDefault="00D244D1" w:rsidP="008B0D8B">
      <w:pPr>
        <w:spacing w:after="0"/>
        <w:ind w:left="0"/>
        <w:jc w:val="both"/>
        <w:rPr>
          <w:color w:val="auto"/>
          <w:sz w:val="22"/>
          <w:szCs w:val="22"/>
        </w:rPr>
      </w:pPr>
      <w:r w:rsidRPr="00D244D1">
        <w:rPr>
          <w:color w:val="auto"/>
          <w:sz w:val="22"/>
          <w:szCs w:val="22"/>
        </w:rPr>
        <w:t xml:space="preserve">The Economic and Monetary Affairs of the European Parliament (ECON) voted yesterday on the Regulation for a Key Information Document for investment products (formerly known as </w:t>
      </w:r>
      <w:r w:rsidR="008B0D8B">
        <w:rPr>
          <w:color w:val="auto"/>
          <w:sz w:val="22"/>
          <w:szCs w:val="22"/>
        </w:rPr>
        <w:t>“</w:t>
      </w:r>
      <w:r w:rsidRPr="00D244D1">
        <w:rPr>
          <w:color w:val="auto"/>
          <w:sz w:val="22"/>
          <w:szCs w:val="22"/>
        </w:rPr>
        <w:t>PRIPs</w:t>
      </w:r>
      <w:r w:rsidR="008B0D8B">
        <w:rPr>
          <w:color w:val="auto"/>
          <w:sz w:val="22"/>
          <w:szCs w:val="22"/>
        </w:rPr>
        <w:t>”</w:t>
      </w:r>
      <w:r w:rsidRPr="00D244D1">
        <w:rPr>
          <w:color w:val="auto"/>
          <w:sz w:val="22"/>
          <w:szCs w:val="22"/>
        </w:rPr>
        <w:t>).</w:t>
      </w:r>
    </w:p>
    <w:p w:rsidR="00D244D1" w:rsidRPr="00D244D1" w:rsidRDefault="00D244D1" w:rsidP="008B0D8B">
      <w:pPr>
        <w:spacing w:after="0"/>
        <w:ind w:left="0"/>
        <w:jc w:val="both"/>
        <w:rPr>
          <w:color w:val="auto"/>
          <w:sz w:val="22"/>
          <w:szCs w:val="22"/>
        </w:rPr>
      </w:pPr>
    </w:p>
    <w:p w:rsidR="00C86AFE" w:rsidRDefault="00D244D1" w:rsidP="008B0D8B">
      <w:pPr>
        <w:spacing w:after="0"/>
        <w:ind w:left="0"/>
        <w:jc w:val="both"/>
        <w:rPr>
          <w:color w:val="auto"/>
          <w:sz w:val="22"/>
          <w:szCs w:val="22"/>
        </w:rPr>
      </w:pPr>
      <w:r w:rsidRPr="00D244D1">
        <w:rPr>
          <w:color w:val="auto"/>
          <w:sz w:val="22"/>
          <w:szCs w:val="22"/>
        </w:rPr>
        <w:t xml:space="preserve">EuroFinUse applauds the wide support from most </w:t>
      </w:r>
      <w:r w:rsidR="000C1081">
        <w:rPr>
          <w:color w:val="auto"/>
          <w:sz w:val="22"/>
          <w:szCs w:val="22"/>
        </w:rPr>
        <w:t xml:space="preserve">ECON </w:t>
      </w:r>
      <w:r w:rsidRPr="00D244D1">
        <w:rPr>
          <w:color w:val="auto"/>
          <w:sz w:val="22"/>
          <w:szCs w:val="22"/>
        </w:rPr>
        <w:t xml:space="preserve">MEPs for a KID Regulation </w:t>
      </w:r>
      <w:r w:rsidR="000C1081">
        <w:rPr>
          <w:color w:val="auto"/>
          <w:sz w:val="22"/>
          <w:szCs w:val="22"/>
        </w:rPr>
        <w:t xml:space="preserve">that </w:t>
      </w:r>
      <w:r w:rsidR="00465CF7">
        <w:rPr>
          <w:color w:val="auto"/>
          <w:sz w:val="22"/>
          <w:szCs w:val="22"/>
        </w:rPr>
        <w:t>substantially exceeds the far</w:t>
      </w:r>
      <w:r w:rsidR="00786374">
        <w:rPr>
          <w:color w:val="auto"/>
          <w:sz w:val="22"/>
          <w:szCs w:val="22"/>
        </w:rPr>
        <w:t xml:space="preserve"> too </w:t>
      </w:r>
      <w:r w:rsidRPr="00D244D1">
        <w:rPr>
          <w:color w:val="auto"/>
          <w:sz w:val="22"/>
          <w:szCs w:val="22"/>
        </w:rPr>
        <w:t xml:space="preserve">narrow </w:t>
      </w:r>
      <w:r w:rsidR="00786374">
        <w:rPr>
          <w:color w:val="auto"/>
          <w:sz w:val="22"/>
          <w:szCs w:val="22"/>
        </w:rPr>
        <w:t xml:space="preserve">scope </w:t>
      </w:r>
      <w:r w:rsidRPr="00D244D1">
        <w:rPr>
          <w:color w:val="auto"/>
          <w:sz w:val="22"/>
          <w:szCs w:val="22"/>
        </w:rPr>
        <w:t xml:space="preserve">of the Commission’s proposal, which included only “packaged” </w:t>
      </w:r>
      <w:r w:rsidR="000C1081">
        <w:rPr>
          <w:color w:val="auto"/>
          <w:sz w:val="22"/>
          <w:szCs w:val="22"/>
        </w:rPr>
        <w:t xml:space="preserve">high-commission </w:t>
      </w:r>
      <w:r w:rsidRPr="00D244D1">
        <w:rPr>
          <w:color w:val="auto"/>
          <w:sz w:val="22"/>
          <w:szCs w:val="22"/>
        </w:rPr>
        <w:t xml:space="preserve">products. The ECON Committee agreed </w:t>
      </w:r>
      <w:r w:rsidR="000C1081">
        <w:rPr>
          <w:color w:val="auto"/>
          <w:sz w:val="22"/>
          <w:szCs w:val="22"/>
        </w:rPr>
        <w:t xml:space="preserve">indeed </w:t>
      </w:r>
      <w:r w:rsidRPr="00D244D1">
        <w:rPr>
          <w:color w:val="auto"/>
          <w:sz w:val="22"/>
          <w:szCs w:val="22"/>
        </w:rPr>
        <w:t xml:space="preserve">to </w:t>
      </w:r>
      <w:r w:rsidR="000C1081">
        <w:rPr>
          <w:color w:val="auto"/>
          <w:sz w:val="22"/>
          <w:szCs w:val="22"/>
        </w:rPr>
        <w:t xml:space="preserve">add </w:t>
      </w:r>
      <w:r w:rsidR="00C86AFE">
        <w:rPr>
          <w:color w:val="auto"/>
          <w:sz w:val="22"/>
          <w:szCs w:val="22"/>
        </w:rPr>
        <w:t>“</w:t>
      </w:r>
      <w:r w:rsidRPr="00D244D1">
        <w:rPr>
          <w:color w:val="auto"/>
          <w:sz w:val="22"/>
          <w:szCs w:val="22"/>
        </w:rPr>
        <w:t>corporate</w:t>
      </w:r>
      <w:r w:rsidR="00C86AFE">
        <w:rPr>
          <w:color w:val="auto"/>
          <w:sz w:val="22"/>
          <w:szCs w:val="22"/>
        </w:rPr>
        <w:t>”</w:t>
      </w:r>
      <w:r w:rsidRPr="00D244D1">
        <w:rPr>
          <w:color w:val="auto"/>
          <w:sz w:val="22"/>
          <w:szCs w:val="22"/>
        </w:rPr>
        <w:t xml:space="preserve"> bonds and certain insurance investment products </w:t>
      </w:r>
      <w:r w:rsidR="000C1081">
        <w:rPr>
          <w:color w:val="auto"/>
          <w:sz w:val="22"/>
          <w:szCs w:val="22"/>
        </w:rPr>
        <w:t xml:space="preserve">to </w:t>
      </w:r>
      <w:r w:rsidRPr="00D244D1">
        <w:rPr>
          <w:color w:val="auto"/>
          <w:sz w:val="22"/>
          <w:szCs w:val="22"/>
        </w:rPr>
        <w:t xml:space="preserve">the list of products for which manufacturers and issuers should produce a </w:t>
      </w:r>
      <w:r w:rsidR="00C86AFE">
        <w:rPr>
          <w:color w:val="auto"/>
          <w:sz w:val="22"/>
          <w:szCs w:val="22"/>
        </w:rPr>
        <w:t xml:space="preserve">standardized, short and more </w:t>
      </w:r>
      <w:r w:rsidR="000C1081">
        <w:rPr>
          <w:color w:val="auto"/>
          <w:sz w:val="22"/>
          <w:szCs w:val="22"/>
        </w:rPr>
        <w:t xml:space="preserve">readable and </w:t>
      </w:r>
      <w:r w:rsidR="00C86AFE">
        <w:rPr>
          <w:color w:val="auto"/>
          <w:sz w:val="22"/>
          <w:szCs w:val="22"/>
        </w:rPr>
        <w:t xml:space="preserve">easily comparable </w:t>
      </w:r>
      <w:r w:rsidRPr="00D244D1">
        <w:rPr>
          <w:color w:val="auto"/>
          <w:sz w:val="22"/>
          <w:szCs w:val="22"/>
        </w:rPr>
        <w:t xml:space="preserve">KID. </w:t>
      </w:r>
    </w:p>
    <w:p w:rsidR="00C86AFE" w:rsidRDefault="00C86AFE" w:rsidP="008B0D8B">
      <w:pPr>
        <w:spacing w:after="0"/>
        <w:ind w:left="0"/>
        <w:jc w:val="both"/>
        <w:rPr>
          <w:color w:val="auto"/>
          <w:sz w:val="22"/>
          <w:szCs w:val="22"/>
        </w:rPr>
      </w:pPr>
    </w:p>
    <w:p w:rsidR="00C86AFE" w:rsidRDefault="00C86AFE" w:rsidP="008B0D8B">
      <w:pPr>
        <w:spacing w:after="0"/>
        <w:ind w:left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Most unfortunately, critical retail invest</w:t>
      </w:r>
      <w:r w:rsidR="000C1081">
        <w:rPr>
          <w:color w:val="auto"/>
          <w:sz w:val="22"/>
          <w:szCs w:val="22"/>
        </w:rPr>
        <w:t>ment products are still exempted</w:t>
      </w:r>
      <w:r>
        <w:rPr>
          <w:color w:val="auto"/>
          <w:sz w:val="22"/>
          <w:szCs w:val="22"/>
        </w:rPr>
        <w:t xml:space="preserve"> from</w:t>
      </w:r>
      <w:r w:rsidR="000C1081">
        <w:rPr>
          <w:color w:val="auto"/>
          <w:sz w:val="22"/>
          <w:szCs w:val="22"/>
        </w:rPr>
        <w:t xml:space="preserve"> these requirements</w:t>
      </w:r>
      <w:r>
        <w:rPr>
          <w:color w:val="auto"/>
          <w:sz w:val="22"/>
          <w:szCs w:val="22"/>
        </w:rPr>
        <w:t>:</w:t>
      </w:r>
    </w:p>
    <w:p w:rsidR="00454558" w:rsidRDefault="00C86AFE" w:rsidP="00687BF5">
      <w:pPr>
        <w:pStyle w:val="ListParagraph"/>
        <w:numPr>
          <w:ilvl w:val="0"/>
          <w:numId w:val="2"/>
        </w:numPr>
        <w:spacing w:after="0"/>
        <w:jc w:val="both"/>
        <w:rPr>
          <w:color w:val="auto"/>
          <w:sz w:val="22"/>
          <w:szCs w:val="22"/>
        </w:rPr>
      </w:pPr>
      <w:r w:rsidRPr="00D825F0">
        <w:rPr>
          <w:color w:val="auto"/>
          <w:sz w:val="22"/>
          <w:szCs w:val="22"/>
          <w:u w:val="single"/>
        </w:rPr>
        <w:t>Equities</w:t>
      </w:r>
      <w:r>
        <w:rPr>
          <w:color w:val="auto"/>
          <w:sz w:val="22"/>
          <w:szCs w:val="22"/>
        </w:rPr>
        <w:t xml:space="preserve"> to start with: the current so-called “summary prospectus” for </w:t>
      </w:r>
      <w:r w:rsidR="00454558">
        <w:rPr>
          <w:color w:val="auto"/>
          <w:sz w:val="22"/>
          <w:szCs w:val="22"/>
        </w:rPr>
        <w:t>equities</w:t>
      </w:r>
      <w:r>
        <w:rPr>
          <w:color w:val="auto"/>
          <w:sz w:val="22"/>
          <w:szCs w:val="22"/>
        </w:rPr>
        <w:t xml:space="preserve"> is not formatted, </w:t>
      </w:r>
      <w:r w:rsidR="00785DBF">
        <w:rPr>
          <w:color w:val="auto"/>
          <w:sz w:val="22"/>
          <w:szCs w:val="22"/>
        </w:rPr>
        <w:t xml:space="preserve">is </w:t>
      </w:r>
      <w:r>
        <w:rPr>
          <w:color w:val="auto"/>
          <w:sz w:val="22"/>
          <w:szCs w:val="22"/>
        </w:rPr>
        <w:t xml:space="preserve">written in legal verbiage, </w:t>
      </w:r>
      <w:r w:rsidR="00785DBF">
        <w:rPr>
          <w:color w:val="auto"/>
          <w:sz w:val="22"/>
          <w:szCs w:val="22"/>
        </w:rPr>
        <w:t xml:space="preserve">is </w:t>
      </w:r>
      <w:r>
        <w:rPr>
          <w:color w:val="auto"/>
          <w:sz w:val="22"/>
          <w:szCs w:val="22"/>
        </w:rPr>
        <w:t>not readable</w:t>
      </w:r>
      <w:r w:rsidR="00454558">
        <w:rPr>
          <w:color w:val="auto"/>
          <w:sz w:val="22"/>
          <w:szCs w:val="22"/>
        </w:rPr>
        <w:t xml:space="preserve"> (and therefore not read</w:t>
      </w:r>
      <w:r w:rsidR="008B0D8B">
        <w:rPr>
          <w:color w:val="auto"/>
          <w:sz w:val="22"/>
          <w:szCs w:val="22"/>
        </w:rPr>
        <w:t>) by</w:t>
      </w:r>
      <w:r w:rsidR="00687BF5">
        <w:rPr>
          <w:color w:val="auto"/>
          <w:sz w:val="22"/>
          <w:szCs w:val="22"/>
        </w:rPr>
        <w:t xml:space="preserve"> the </w:t>
      </w:r>
      <w:r w:rsidR="00785DBF">
        <w:rPr>
          <w:color w:val="auto"/>
          <w:sz w:val="22"/>
          <w:szCs w:val="22"/>
        </w:rPr>
        <w:t>average citizen</w:t>
      </w:r>
      <w:r>
        <w:rPr>
          <w:color w:val="auto"/>
          <w:sz w:val="22"/>
          <w:szCs w:val="22"/>
        </w:rPr>
        <w:t xml:space="preserve"> and </w:t>
      </w:r>
      <w:r w:rsidR="00785DBF">
        <w:rPr>
          <w:color w:val="auto"/>
          <w:sz w:val="22"/>
          <w:szCs w:val="22"/>
        </w:rPr>
        <w:t xml:space="preserve">is </w:t>
      </w:r>
      <w:r>
        <w:rPr>
          <w:color w:val="auto"/>
          <w:sz w:val="22"/>
          <w:szCs w:val="22"/>
        </w:rPr>
        <w:t xml:space="preserve">not comparable </w:t>
      </w:r>
      <w:r w:rsidR="00465CF7">
        <w:rPr>
          <w:color w:val="auto"/>
          <w:sz w:val="22"/>
          <w:szCs w:val="22"/>
        </w:rPr>
        <w:t xml:space="preserve">with </w:t>
      </w:r>
      <w:r>
        <w:rPr>
          <w:color w:val="auto"/>
          <w:sz w:val="22"/>
          <w:szCs w:val="22"/>
        </w:rPr>
        <w:t xml:space="preserve">one another. This is all the more damaging at a time when millions of </w:t>
      </w:r>
      <w:r w:rsidR="00454558">
        <w:rPr>
          <w:color w:val="auto"/>
          <w:sz w:val="22"/>
          <w:szCs w:val="22"/>
        </w:rPr>
        <w:t xml:space="preserve">citizens </w:t>
      </w:r>
      <w:r w:rsidR="00465CF7">
        <w:rPr>
          <w:color w:val="auto"/>
          <w:sz w:val="22"/>
          <w:szCs w:val="22"/>
        </w:rPr>
        <w:t>suffered</w:t>
      </w:r>
      <w:r w:rsidR="00454558">
        <w:rPr>
          <w:color w:val="auto"/>
          <w:sz w:val="22"/>
          <w:szCs w:val="22"/>
        </w:rPr>
        <w:t xml:space="preserve"> abuse in</w:t>
      </w:r>
      <w:r>
        <w:rPr>
          <w:color w:val="auto"/>
          <w:sz w:val="22"/>
          <w:szCs w:val="22"/>
        </w:rPr>
        <w:t xml:space="preserve"> several </w:t>
      </w:r>
      <w:r w:rsidR="00454558">
        <w:rPr>
          <w:color w:val="auto"/>
          <w:sz w:val="22"/>
          <w:szCs w:val="22"/>
        </w:rPr>
        <w:t xml:space="preserve">recent </w:t>
      </w:r>
      <w:r>
        <w:rPr>
          <w:color w:val="auto"/>
          <w:sz w:val="22"/>
          <w:szCs w:val="22"/>
        </w:rPr>
        <w:t xml:space="preserve">bank equity </w:t>
      </w:r>
      <w:r w:rsidR="00454558">
        <w:rPr>
          <w:color w:val="auto"/>
          <w:sz w:val="22"/>
          <w:szCs w:val="22"/>
        </w:rPr>
        <w:t>sales</w:t>
      </w:r>
      <w:r w:rsidR="00AB65C4">
        <w:rPr>
          <w:color w:val="auto"/>
          <w:sz w:val="22"/>
          <w:szCs w:val="22"/>
        </w:rPr>
        <w:t>, especially</w:t>
      </w:r>
      <w:r w:rsidR="00465CF7">
        <w:rPr>
          <w:color w:val="auto"/>
          <w:sz w:val="22"/>
          <w:szCs w:val="22"/>
        </w:rPr>
        <w:t xml:space="preserve"> since </w:t>
      </w:r>
      <w:r w:rsidR="008B0D8B">
        <w:rPr>
          <w:color w:val="auto"/>
          <w:sz w:val="22"/>
          <w:szCs w:val="22"/>
        </w:rPr>
        <w:t>the Green Paper on the l</w:t>
      </w:r>
      <w:r w:rsidR="00454558">
        <w:rPr>
          <w:color w:val="auto"/>
          <w:sz w:val="22"/>
          <w:szCs w:val="22"/>
        </w:rPr>
        <w:t xml:space="preserve">ong term financing of the European </w:t>
      </w:r>
      <w:r w:rsidR="00785DBF">
        <w:rPr>
          <w:color w:val="auto"/>
          <w:sz w:val="22"/>
          <w:szCs w:val="22"/>
        </w:rPr>
        <w:t>Economy identifies</w:t>
      </w:r>
      <w:r w:rsidR="00454558">
        <w:rPr>
          <w:color w:val="auto"/>
          <w:sz w:val="22"/>
          <w:szCs w:val="22"/>
        </w:rPr>
        <w:t xml:space="preserve"> households’ equity investment</w:t>
      </w:r>
      <w:r w:rsidR="008B0D8B">
        <w:rPr>
          <w:color w:val="auto"/>
          <w:sz w:val="22"/>
          <w:szCs w:val="22"/>
        </w:rPr>
        <w:t>s as the most important</w:t>
      </w:r>
      <w:r w:rsidR="00454558">
        <w:rPr>
          <w:color w:val="auto"/>
          <w:sz w:val="22"/>
          <w:szCs w:val="22"/>
        </w:rPr>
        <w:t xml:space="preserve"> – but diminishing - contributor to the </w:t>
      </w:r>
      <w:r w:rsidR="00785DBF">
        <w:rPr>
          <w:color w:val="auto"/>
          <w:sz w:val="22"/>
          <w:szCs w:val="22"/>
        </w:rPr>
        <w:t xml:space="preserve">badly needed </w:t>
      </w:r>
      <w:r w:rsidR="000C1081">
        <w:rPr>
          <w:color w:val="auto"/>
          <w:sz w:val="22"/>
          <w:szCs w:val="22"/>
        </w:rPr>
        <w:t xml:space="preserve">long term </w:t>
      </w:r>
      <w:r w:rsidR="00454558">
        <w:rPr>
          <w:color w:val="auto"/>
          <w:sz w:val="22"/>
          <w:szCs w:val="22"/>
        </w:rPr>
        <w:t xml:space="preserve">financing of growth and jobs. </w:t>
      </w:r>
      <w:r>
        <w:rPr>
          <w:color w:val="auto"/>
          <w:sz w:val="22"/>
          <w:szCs w:val="22"/>
        </w:rPr>
        <w:t xml:space="preserve"> </w:t>
      </w:r>
    </w:p>
    <w:p w:rsidR="008D652C" w:rsidRPr="008B0D8B" w:rsidRDefault="00AB65C4" w:rsidP="00687BF5">
      <w:pPr>
        <w:pStyle w:val="ListParagraph"/>
        <w:numPr>
          <w:ilvl w:val="0"/>
          <w:numId w:val="2"/>
        </w:numPr>
        <w:spacing w:after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As well as </w:t>
      </w:r>
      <w:r w:rsidR="00454558" w:rsidRPr="00D825F0">
        <w:rPr>
          <w:color w:val="auto"/>
          <w:sz w:val="22"/>
          <w:szCs w:val="22"/>
          <w:u w:val="single"/>
        </w:rPr>
        <w:t>a large part of pension saving products</w:t>
      </w:r>
      <w:r w:rsidR="002049A9">
        <w:rPr>
          <w:color w:val="auto"/>
          <w:sz w:val="22"/>
          <w:szCs w:val="22"/>
        </w:rPr>
        <w:t xml:space="preserve"> (“occupational” collective and individual products and life insurance products with no surrender value)</w:t>
      </w:r>
      <w:r w:rsidR="00454558">
        <w:rPr>
          <w:color w:val="auto"/>
          <w:sz w:val="22"/>
          <w:szCs w:val="22"/>
        </w:rPr>
        <w:t xml:space="preserve"> </w:t>
      </w:r>
      <w:r w:rsidR="002049A9">
        <w:rPr>
          <w:color w:val="auto"/>
          <w:sz w:val="22"/>
          <w:szCs w:val="22"/>
        </w:rPr>
        <w:t xml:space="preserve">which are </w:t>
      </w:r>
      <w:r w:rsidR="00454558">
        <w:rPr>
          <w:color w:val="auto"/>
          <w:sz w:val="22"/>
          <w:szCs w:val="22"/>
        </w:rPr>
        <w:t>also crucial for the wellbeing of EU citizens and for the growth of the European economy.</w:t>
      </w:r>
    </w:p>
    <w:p w:rsidR="008D652C" w:rsidRPr="00551067" w:rsidRDefault="008D652C" w:rsidP="008B0D8B">
      <w:pPr>
        <w:pStyle w:val="ListParagraph"/>
        <w:jc w:val="both"/>
        <w:rPr>
          <w:color w:val="auto"/>
          <w:sz w:val="22"/>
          <w:szCs w:val="22"/>
        </w:rPr>
      </w:pPr>
    </w:p>
    <w:p w:rsidR="00D244D1" w:rsidRPr="00551067" w:rsidRDefault="00D940D9" w:rsidP="008B0D8B">
      <w:pPr>
        <w:pStyle w:val="ListParagraph"/>
        <w:spacing w:after="0"/>
        <w:ind w:left="0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So </w:t>
      </w:r>
      <w:r w:rsidR="00AB65C4">
        <w:rPr>
          <w:color w:val="auto"/>
          <w:sz w:val="22"/>
          <w:szCs w:val="22"/>
        </w:rPr>
        <w:t xml:space="preserve">much </w:t>
      </w:r>
      <w:r>
        <w:rPr>
          <w:color w:val="auto"/>
          <w:sz w:val="22"/>
          <w:szCs w:val="22"/>
        </w:rPr>
        <w:t>for the</w:t>
      </w:r>
      <w:r w:rsidR="00D244D1" w:rsidRPr="00551067">
        <w:rPr>
          <w:color w:val="auto"/>
          <w:sz w:val="22"/>
          <w:szCs w:val="22"/>
        </w:rPr>
        <w:t xml:space="preserve"> much advocated “level playing field” </w:t>
      </w:r>
      <w:r w:rsidR="008D652C">
        <w:rPr>
          <w:color w:val="auto"/>
          <w:sz w:val="22"/>
          <w:szCs w:val="22"/>
        </w:rPr>
        <w:t xml:space="preserve">and consistency </w:t>
      </w:r>
      <w:r w:rsidR="00AB65C4">
        <w:rPr>
          <w:color w:val="auto"/>
          <w:sz w:val="22"/>
          <w:szCs w:val="22"/>
        </w:rPr>
        <w:t>in</w:t>
      </w:r>
      <w:r w:rsidR="00AB65C4" w:rsidRPr="00551067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all </w:t>
      </w:r>
      <w:r w:rsidR="00D244D1" w:rsidRPr="00551067">
        <w:rPr>
          <w:color w:val="auto"/>
          <w:sz w:val="22"/>
          <w:szCs w:val="22"/>
        </w:rPr>
        <w:t>retail investment products</w:t>
      </w:r>
      <w:r w:rsidR="008D652C">
        <w:rPr>
          <w:color w:val="auto"/>
          <w:sz w:val="22"/>
          <w:szCs w:val="22"/>
        </w:rPr>
        <w:t>, the very objectives of this key regulatory initiative</w:t>
      </w:r>
      <w:r w:rsidR="00AB65C4">
        <w:rPr>
          <w:color w:val="auto"/>
          <w:sz w:val="22"/>
          <w:szCs w:val="22"/>
        </w:rPr>
        <w:t>…</w:t>
      </w:r>
    </w:p>
    <w:p w:rsidR="00D244D1" w:rsidRPr="00D244D1" w:rsidRDefault="00D244D1" w:rsidP="008B0D8B">
      <w:pPr>
        <w:spacing w:after="0"/>
        <w:ind w:left="0"/>
        <w:jc w:val="both"/>
        <w:rPr>
          <w:color w:val="auto"/>
          <w:sz w:val="22"/>
          <w:szCs w:val="22"/>
        </w:rPr>
      </w:pPr>
    </w:p>
    <w:p w:rsidR="00E4094A" w:rsidRDefault="00D244D1" w:rsidP="00687BF5">
      <w:pPr>
        <w:spacing w:after="0" w:line="240" w:lineRule="auto"/>
        <w:ind w:left="0"/>
        <w:jc w:val="both"/>
        <w:rPr>
          <w:color w:val="auto"/>
          <w:sz w:val="22"/>
          <w:szCs w:val="22"/>
        </w:rPr>
      </w:pPr>
      <w:r w:rsidRPr="00D244D1">
        <w:rPr>
          <w:color w:val="auto"/>
          <w:sz w:val="22"/>
          <w:szCs w:val="22"/>
        </w:rPr>
        <w:t xml:space="preserve">At the same time, the failure from the ECON Committee to award Rapporteur Berès a mandate for initiating </w:t>
      </w:r>
      <w:proofErr w:type="spellStart"/>
      <w:r w:rsidRPr="00D244D1">
        <w:rPr>
          <w:color w:val="auto"/>
          <w:sz w:val="22"/>
          <w:szCs w:val="22"/>
        </w:rPr>
        <w:t>Trialogue</w:t>
      </w:r>
      <w:proofErr w:type="spellEnd"/>
      <w:r w:rsidR="008B0D8B">
        <w:rPr>
          <w:color w:val="auto"/>
          <w:sz w:val="22"/>
          <w:szCs w:val="22"/>
        </w:rPr>
        <w:t xml:space="preserve"> negotiations risks</w:t>
      </w:r>
      <w:r w:rsidRPr="00D244D1">
        <w:rPr>
          <w:color w:val="auto"/>
          <w:sz w:val="22"/>
          <w:szCs w:val="22"/>
        </w:rPr>
        <w:t xml:space="preserve"> compromising the whole </w:t>
      </w:r>
      <w:r w:rsidR="008D652C">
        <w:rPr>
          <w:color w:val="auto"/>
          <w:sz w:val="22"/>
          <w:szCs w:val="22"/>
        </w:rPr>
        <w:t>initiative</w:t>
      </w:r>
      <w:r w:rsidRPr="00D244D1">
        <w:rPr>
          <w:color w:val="auto"/>
          <w:sz w:val="22"/>
          <w:szCs w:val="22"/>
        </w:rPr>
        <w:t>. Th</w:t>
      </w:r>
      <w:r w:rsidR="008D652C">
        <w:rPr>
          <w:color w:val="auto"/>
          <w:sz w:val="22"/>
          <w:szCs w:val="22"/>
        </w:rPr>
        <w:t>is</w:t>
      </w:r>
      <w:r w:rsidRPr="00D244D1">
        <w:rPr>
          <w:color w:val="auto"/>
          <w:sz w:val="22"/>
          <w:szCs w:val="22"/>
        </w:rPr>
        <w:t xml:space="preserve"> </w:t>
      </w:r>
      <w:r w:rsidR="008D652C">
        <w:rPr>
          <w:color w:val="auto"/>
          <w:sz w:val="22"/>
          <w:szCs w:val="22"/>
        </w:rPr>
        <w:t>“</w:t>
      </w:r>
      <w:r w:rsidRPr="00D244D1">
        <w:rPr>
          <w:color w:val="auto"/>
          <w:sz w:val="22"/>
          <w:szCs w:val="22"/>
        </w:rPr>
        <w:t>KID</w:t>
      </w:r>
      <w:r w:rsidR="008D652C">
        <w:rPr>
          <w:color w:val="auto"/>
          <w:sz w:val="22"/>
          <w:szCs w:val="22"/>
        </w:rPr>
        <w:t>”</w:t>
      </w:r>
      <w:r w:rsidRPr="00D244D1">
        <w:rPr>
          <w:color w:val="auto"/>
          <w:sz w:val="22"/>
          <w:szCs w:val="22"/>
        </w:rPr>
        <w:t xml:space="preserve"> legislative project is a key piece to restore EU citizens’ c</w:t>
      </w:r>
      <w:r w:rsidR="00D940D9">
        <w:rPr>
          <w:color w:val="auto"/>
          <w:sz w:val="22"/>
          <w:szCs w:val="22"/>
        </w:rPr>
        <w:t xml:space="preserve">onfidence in financial markets, </w:t>
      </w:r>
      <w:r w:rsidR="00AB65C4">
        <w:rPr>
          <w:color w:val="auto"/>
          <w:sz w:val="22"/>
          <w:szCs w:val="22"/>
        </w:rPr>
        <w:t xml:space="preserve">and </w:t>
      </w:r>
      <w:proofErr w:type="spellStart"/>
      <w:r w:rsidR="00AB65C4" w:rsidRPr="00D244D1">
        <w:rPr>
          <w:color w:val="auto"/>
          <w:sz w:val="22"/>
          <w:szCs w:val="22"/>
        </w:rPr>
        <w:t>EuroFinUse</w:t>
      </w:r>
      <w:proofErr w:type="spellEnd"/>
      <w:r w:rsidR="000C1081">
        <w:rPr>
          <w:color w:val="auto"/>
          <w:sz w:val="22"/>
          <w:szCs w:val="22"/>
        </w:rPr>
        <w:t xml:space="preserve"> demands </w:t>
      </w:r>
      <w:r w:rsidRPr="00D244D1">
        <w:rPr>
          <w:color w:val="auto"/>
          <w:sz w:val="22"/>
          <w:szCs w:val="22"/>
        </w:rPr>
        <w:t xml:space="preserve">a prompt start </w:t>
      </w:r>
      <w:r w:rsidR="00AB65C4">
        <w:rPr>
          <w:color w:val="auto"/>
          <w:sz w:val="22"/>
          <w:szCs w:val="22"/>
        </w:rPr>
        <w:t>to the</w:t>
      </w:r>
      <w:r w:rsidR="00AB65C4" w:rsidRPr="00D244D1">
        <w:rPr>
          <w:color w:val="auto"/>
          <w:sz w:val="22"/>
          <w:szCs w:val="22"/>
        </w:rPr>
        <w:t xml:space="preserve"> </w:t>
      </w:r>
      <w:proofErr w:type="spellStart"/>
      <w:r w:rsidRPr="00D244D1">
        <w:rPr>
          <w:color w:val="auto"/>
          <w:sz w:val="22"/>
          <w:szCs w:val="22"/>
        </w:rPr>
        <w:t>Trialogue</w:t>
      </w:r>
      <w:proofErr w:type="spellEnd"/>
      <w:r w:rsidRPr="00D244D1">
        <w:rPr>
          <w:color w:val="auto"/>
          <w:sz w:val="22"/>
          <w:szCs w:val="22"/>
        </w:rPr>
        <w:t xml:space="preserve"> negotiations.</w:t>
      </w:r>
    </w:p>
    <w:p w:rsidR="00E4094A" w:rsidRPr="00687BF5" w:rsidRDefault="00E4094A" w:rsidP="00687BF5">
      <w:pPr>
        <w:spacing w:after="0" w:line="240" w:lineRule="auto"/>
        <w:ind w:left="0"/>
        <w:jc w:val="both"/>
        <w:rPr>
          <w:color w:val="auto"/>
          <w:sz w:val="24"/>
          <w:szCs w:val="24"/>
        </w:rPr>
      </w:pPr>
    </w:p>
    <w:p w:rsidR="008B0D8B" w:rsidRPr="00687BF5" w:rsidRDefault="00E4094A" w:rsidP="00687BF5">
      <w:pPr>
        <w:spacing w:after="0"/>
        <w:ind w:left="0"/>
        <w:jc w:val="center"/>
        <w:rPr>
          <w:color w:val="auto"/>
          <w:sz w:val="24"/>
          <w:szCs w:val="24"/>
        </w:rPr>
      </w:pPr>
      <w:r w:rsidRPr="00687BF5">
        <w:rPr>
          <w:color w:val="auto"/>
          <w:sz w:val="24"/>
          <w:szCs w:val="24"/>
        </w:rPr>
        <w:t>***</w:t>
      </w:r>
    </w:p>
    <w:p w:rsidR="0002568E" w:rsidRDefault="00E4094A" w:rsidP="00687BF5">
      <w:pPr>
        <w:spacing w:after="0"/>
        <w:ind w:left="0"/>
        <w:jc w:val="both"/>
      </w:pPr>
      <w:r>
        <w:rPr>
          <w:color w:val="auto"/>
          <w:sz w:val="22"/>
          <w:szCs w:val="22"/>
        </w:rPr>
        <w:t xml:space="preserve">If </w:t>
      </w:r>
      <w:r w:rsidRPr="008B0D8B">
        <w:rPr>
          <w:color w:val="auto"/>
        </w:rPr>
        <w:t>you would like ad</w:t>
      </w:r>
      <w:bookmarkStart w:id="0" w:name="_GoBack"/>
      <w:bookmarkEnd w:id="0"/>
      <w:r w:rsidRPr="008B0D8B">
        <w:rPr>
          <w:color w:val="auto"/>
        </w:rPr>
        <w:t xml:space="preserve">ditional information about this topic, or to schedule an interview with Managing Director Guillaume Prache, please call </w:t>
      </w:r>
      <w:r w:rsidR="00D244D1" w:rsidRPr="008B0D8B">
        <w:rPr>
          <w:color w:val="auto"/>
        </w:rPr>
        <w:t>Arnaud Houdmont</w:t>
      </w:r>
      <w:r w:rsidRPr="008B0D8B">
        <w:rPr>
          <w:color w:val="auto"/>
        </w:rPr>
        <w:t xml:space="preserve"> on +32 (0)2 514 37 77, or email at </w:t>
      </w:r>
      <w:hyperlink r:id="rId10" w:history="1">
        <w:r w:rsidR="00D244D1" w:rsidRPr="008B0D8B">
          <w:rPr>
            <w:rStyle w:val="Hyperlink"/>
          </w:rPr>
          <w:t>houdmont@eurofinuse.org</w:t>
        </w:r>
      </w:hyperlink>
      <w:r w:rsidR="00687BF5">
        <w:rPr>
          <w:rStyle w:val="Hyperlink"/>
        </w:rPr>
        <w:t>.</w:t>
      </w:r>
      <w:r w:rsidRPr="008B0D8B">
        <w:rPr>
          <w:color w:val="auto"/>
        </w:rPr>
        <w:t xml:space="preserve"> </w:t>
      </w:r>
    </w:p>
    <w:sectPr w:rsidR="0002568E" w:rsidSect="00C57B4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9C5" w:rsidRDefault="00BE69C5" w:rsidP="00022F50">
      <w:pPr>
        <w:spacing w:after="0" w:line="240" w:lineRule="auto"/>
      </w:pPr>
      <w:r>
        <w:separator/>
      </w:r>
    </w:p>
  </w:endnote>
  <w:endnote w:type="continuationSeparator" w:id="0">
    <w:p w:rsidR="00BE69C5" w:rsidRDefault="00BE69C5" w:rsidP="00022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4D1" w:rsidRDefault="00D244D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F50" w:rsidRPr="00C57B4E" w:rsidRDefault="00022F50" w:rsidP="00D244D1">
    <w:pPr>
      <w:spacing w:after="0" w:line="240" w:lineRule="auto"/>
      <w:ind w:left="0"/>
      <w:jc w:val="center"/>
      <w:rPr>
        <w:rFonts w:ascii="Times New Roman" w:eastAsia="Times New Roman" w:hAnsi="Times New Roman"/>
        <w:b/>
        <w:color w:val="0070C0"/>
        <w:sz w:val="16"/>
        <w:szCs w:val="16"/>
      </w:rPr>
    </w:pPr>
    <w:r w:rsidRPr="00C57B4E">
      <w:rPr>
        <w:rFonts w:ascii="Times New Roman" w:eastAsia="Times New Roman" w:hAnsi="Times New Roman"/>
        <w:b/>
        <w:color w:val="0070C0"/>
        <w:sz w:val="16"/>
        <w:szCs w:val="16"/>
      </w:rPr>
      <w:t>The European Federation of Financial Services Users</w:t>
    </w:r>
  </w:p>
  <w:p w:rsidR="00022F50" w:rsidRPr="00E4094A" w:rsidRDefault="00022F50" w:rsidP="00D244D1">
    <w:pPr>
      <w:spacing w:after="0" w:line="240" w:lineRule="auto"/>
      <w:ind w:left="0"/>
      <w:jc w:val="center"/>
      <w:rPr>
        <w:rFonts w:ascii="Times New Roman" w:eastAsia="Times New Roman" w:hAnsi="Times New Roman"/>
        <w:color w:val="0070C0"/>
        <w:sz w:val="16"/>
        <w:szCs w:val="16"/>
        <w:lang w:val="fr-FR"/>
      </w:rPr>
    </w:pPr>
    <w:r w:rsidRPr="00E4094A">
      <w:rPr>
        <w:rFonts w:ascii="Times New Roman" w:eastAsia="Times New Roman" w:hAnsi="Times New Roman"/>
        <w:color w:val="0070C0"/>
        <w:sz w:val="16"/>
        <w:szCs w:val="16"/>
        <w:lang w:val="fr-FR"/>
      </w:rPr>
      <w:t>76, rue du Lombard, 1000 Brussels - Belgium</w:t>
    </w:r>
  </w:p>
  <w:p w:rsidR="00022F50" w:rsidRPr="00C57B4E" w:rsidRDefault="00022F50" w:rsidP="00D244D1">
    <w:pPr>
      <w:spacing w:after="0" w:line="240" w:lineRule="auto"/>
      <w:ind w:left="0"/>
      <w:jc w:val="center"/>
      <w:rPr>
        <w:rFonts w:ascii="Times New Roman" w:eastAsia="Times New Roman" w:hAnsi="Times New Roman"/>
        <w:color w:val="0070C0"/>
        <w:sz w:val="16"/>
        <w:szCs w:val="16"/>
        <w:lang w:val="de-DE"/>
      </w:rPr>
    </w:pPr>
    <w:r w:rsidRPr="00E4094A">
      <w:rPr>
        <w:rFonts w:ascii="Times New Roman" w:eastAsia="Times New Roman" w:hAnsi="Times New Roman"/>
        <w:color w:val="0070C0"/>
        <w:sz w:val="16"/>
        <w:szCs w:val="16"/>
        <w:lang w:val="fr-FR"/>
      </w:rPr>
      <w:t xml:space="preserve">Tel. (+32) 2 514 37 77 - Fax. </w:t>
    </w:r>
    <w:r w:rsidRPr="00C57B4E">
      <w:rPr>
        <w:rFonts w:ascii="Times New Roman" w:eastAsia="Times New Roman" w:hAnsi="Times New Roman"/>
        <w:color w:val="0070C0"/>
        <w:sz w:val="16"/>
        <w:szCs w:val="16"/>
        <w:lang w:val="de-DE"/>
      </w:rPr>
      <w:t>(+32) 2 514 36 66</w:t>
    </w:r>
  </w:p>
  <w:p w:rsidR="00022F50" w:rsidRPr="00C57B4E" w:rsidRDefault="00022F50" w:rsidP="00D244D1">
    <w:pPr>
      <w:tabs>
        <w:tab w:val="center" w:pos="4536"/>
        <w:tab w:val="right" w:pos="9072"/>
      </w:tabs>
      <w:spacing w:after="0" w:line="240" w:lineRule="auto"/>
      <w:ind w:left="0"/>
      <w:jc w:val="center"/>
      <w:rPr>
        <w:rFonts w:ascii="Times New Roman" w:eastAsia="Times New Roman" w:hAnsi="Times New Roman"/>
        <w:color w:val="3667F2"/>
        <w:sz w:val="16"/>
        <w:szCs w:val="16"/>
        <w:lang w:val="de-DE" w:eastAsia="x-none"/>
      </w:rPr>
    </w:pPr>
    <w:r w:rsidRPr="00C57B4E">
      <w:rPr>
        <w:rFonts w:ascii="Times New Roman" w:eastAsia="Times New Roman" w:hAnsi="Times New Roman"/>
        <w:color w:val="0070C0"/>
        <w:sz w:val="16"/>
        <w:szCs w:val="16"/>
        <w:lang w:val="de-DE" w:eastAsia="x-none"/>
      </w:rPr>
      <w:t>e-mail: info@eurofinuse.org - http://www.eurofinuse.org</w:t>
    </w:r>
  </w:p>
  <w:p w:rsidR="00022F50" w:rsidRPr="00022F50" w:rsidRDefault="00C57B4E" w:rsidP="00C57B4E">
    <w:pPr>
      <w:pStyle w:val="Footer"/>
      <w:tabs>
        <w:tab w:val="clear" w:pos="9072"/>
        <w:tab w:val="left" w:pos="5040"/>
        <w:tab w:val="left" w:pos="5760"/>
      </w:tabs>
      <w:rPr>
        <w:lang w:val="de-DE"/>
      </w:rPr>
    </w:pPr>
    <w:r>
      <w:rPr>
        <w:lang w:val="de-DE"/>
      </w:rPr>
      <w:tab/>
    </w:r>
    <w:r>
      <w:rPr>
        <w:lang w:val="de-DE"/>
      </w:rPr>
      <w:tab/>
    </w:r>
    <w:r>
      <w:rPr>
        <w:lang w:val="de-DE"/>
      </w:rPr>
      <w:tab/>
    </w:r>
    <w:r>
      <w:rPr>
        <w:lang w:val="de-DE"/>
      </w:rPr>
      <w:tab/>
    </w:r>
  </w:p>
  <w:p w:rsidR="00022F50" w:rsidRPr="00022F50" w:rsidRDefault="00022F50">
    <w:pPr>
      <w:pStyle w:val="Footer"/>
      <w:rPr>
        <w:lang w:val="fr-B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4D1" w:rsidRDefault="00D244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9C5" w:rsidRDefault="00BE69C5" w:rsidP="00022F50">
      <w:pPr>
        <w:spacing w:after="0" w:line="240" w:lineRule="auto"/>
      </w:pPr>
      <w:r>
        <w:separator/>
      </w:r>
    </w:p>
  </w:footnote>
  <w:footnote w:type="continuationSeparator" w:id="0">
    <w:p w:rsidR="00BE69C5" w:rsidRDefault="00BE69C5" w:rsidP="00022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4D1" w:rsidRDefault="00D244D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F50" w:rsidRDefault="00D244D1" w:rsidP="00E2776B">
    <w:pPr>
      <w:pStyle w:val="Header"/>
      <w:jc w:val="center"/>
    </w:pPr>
    <w:r>
      <w:rPr>
        <w:noProof/>
        <w:lang w:eastAsia="en-GB"/>
      </w:rPr>
      <w:drawing>
        <wp:inline distT="0" distB="0" distL="0" distR="0" wp14:anchorId="71819A6F" wp14:editId="140E7F8D">
          <wp:extent cx="3309937" cy="1000125"/>
          <wp:effectExtent l="0" t="0" r="5080" b="0"/>
          <wp:docPr id="2" name="Picture 2" descr="C:\Users\PolicyOfficer\AppData\Local\Microsoft\Windows\Temporary Internet Files\Content.Outlook\IQH1CTZN\EuroFinuse_logo-2013-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licyOfficer\AppData\Local\Microsoft\Windows\Temporary Internet Files\Content.Outlook\IQH1CTZN\EuroFinuse_logo-2013-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7535" cy="9993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244D1">
      <w:rPr>
        <w:noProof/>
        <w:lang w:eastAsia="en-GB"/>
      </w:rPr>
      <w:t xml:space="preserve"> </w:t>
    </w:r>
  </w:p>
  <w:p w:rsidR="00022F50" w:rsidRDefault="00022F5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4D1" w:rsidRDefault="00D244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F2EC9"/>
    <w:multiLevelType w:val="hybridMultilevel"/>
    <w:tmpl w:val="728016E2"/>
    <w:lvl w:ilvl="0" w:tplc="DC7652EA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7604FC"/>
    <w:multiLevelType w:val="hybridMultilevel"/>
    <w:tmpl w:val="EC18D37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F50"/>
    <w:rsid w:val="00022F50"/>
    <w:rsid w:val="00053601"/>
    <w:rsid w:val="000C1081"/>
    <w:rsid w:val="000F503F"/>
    <w:rsid w:val="00135D74"/>
    <w:rsid w:val="001A6226"/>
    <w:rsid w:val="001B16E7"/>
    <w:rsid w:val="002049A9"/>
    <w:rsid w:val="002071A0"/>
    <w:rsid w:val="00207552"/>
    <w:rsid w:val="00216B17"/>
    <w:rsid w:val="002B58AB"/>
    <w:rsid w:val="002D517E"/>
    <w:rsid w:val="00341DA3"/>
    <w:rsid w:val="003A659E"/>
    <w:rsid w:val="003D6FEC"/>
    <w:rsid w:val="00403543"/>
    <w:rsid w:val="0042569C"/>
    <w:rsid w:val="00454558"/>
    <w:rsid w:val="00465CF7"/>
    <w:rsid w:val="00511CAD"/>
    <w:rsid w:val="00551067"/>
    <w:rsid w:val="005567CE"/>
    <w:rsid w:val="005716EC"/>
    <w:rsid w:val="005D0692"/>
    <w:rsid w:val="005E0E8C"/>
    <w:rsid w:val="00623384"/>
    <w:rsid w:val="00653616"/>
    <w:rsid w:val="00687BF5"/>
    <w:rsid w:val="00770334"/>
    <w:rsid w:val="00785DBF"/>
    <w:rsid w:val="00786374"/>
    <w:rsid w:val="00847C2A"/>
    <w:rsid w:val="00880391"/>
    <w:rsid w:val="008B0D8B"/>
    <w:rsid w:val="008D652C"/>
    <w:rsid w:val="00903503"/>
    <w:rsid w:val="009C082D"/>
    <w:rsid w:val="009E3910"/>
    <w:rsid w:val="00AA1256"/>
    <w:rsid w:val="00AB4F26"/>
    <w:rsid w:val="00AB65C4"/>
    <w:rsid w:val="00AE7C4D"/>
    <w:rsid w:val="00B10E65"/>
    <w:rsid w:val="00B34D97"/>
    <w:rsid w:val="00B37031"/>
    <w:rsid w:val="00B91BC3"/>
    <w:rsid w:val="00BA31F1"/>
    <w:rsid w:val="00BD6B80"/>
    <w:rsid w:val="00BE69C5"/>
    <w:rsid w:val="00C26A32"/>
    <w:rsid w:val="00C57B4E"/>
    <w:rsid w:val="00C86AFE"/>
    <w:rsid w:val="00D244D1"/>
    <w:rsid w:val="00D57B3D"/>
    <w:rsid w:val="00D825F0"/>
    <w:rsid w:val="00D940D9"/>
    <w:rsid w:val="00DA77EA"/>
    <w:rsid w:val="00DB08E2"/>
    <w:rsid w:val="00DB2DCA"/>
    <w:rsid w:val="00E05B70"/>
    <w:rsid w:val="00E2776B"/>
    <w:rsid w:val="00E4094A"/>
    <w:rsid w:val="00E82129"/>
    <w:rsid w:val="00EE26DF"/>
    <w:rsid w:val="00F44266"/>
    <w:rsid w:val="00F60ADB"/>
    <w:rsid w:val="00F6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94A"/>
    <w:pPr>
      <w:spacing w:after="160" w:line="288" w:lineRule="auto"/>
      <w:ind w:left="2160"/>
    </w:pPr>
    <w:rPr>
      <w:rFonts w:ascii="Calibri" w:eastAsia="Calibri" w:hAnsi="Calibri" w:cs="Times New Roman"/>
      <w:color w:val="5A5A5A"/>
      <w:sz w:val="20"/>
      <w:szCs w:val="20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2F50"/>
    <w:pPr>
      <w:tabs>
        <w:tab w:val="center" w:pos="4536"/>
        <w:tab w:val="right" w:pos="9072"/>
      </w:tabs>
      <w:spacing w:after="0" w:line="240" w:lineRule="auto"/>
      <w:ind w:left="0"/>
    </w:pPr>
    <w:rPr>
      <w:rFonts w:asciiTheme="minorHAnsi" w:eastAsiaTheme="minorHAnsi" w:hAnsiTheme="minorHAnsi" w:cstheme="minorBidi"/>
      <w:color w:val="auto"/>
      <w:sz w:val="22"/>
      <w:szCs w:val="22"/>
      <w:lang w:val="en-GB" w:bidi="ar-SA"/>
    </w:rPr>
  </w:style>
  <w:style w:type="character" w:customStyle="1" w:styleId="HeaderChar">
    <w:name w:val="Header Char"/>
    <w:basedOn w:val="DefaultParagraphFont"/>
    <w:link w:val="Header"/>
    <w:uiPriority w:val="99"/>
    <w:rsid w:val="00022F50"/>
  </w:style>
  <w:style w:type="paragraph" w:styleId="Footer">
    <w:name w:val="footer"/>
    <w:basedOn w:val="Normal"/>
    <w:link w:val="FooterChar"/>
    <w:uiPriority w:val="99"/>
    <w:unhideWhenUsed/>
    <w:rsid w:val="00022F50"/>
    <w:pPr>
      <w:tabs>
        <w:tab w:val="center" w:pos="4536"/>
        <w:tab w:val="right" w:pos="9072"/>
      </w:tabs>
      <w:spacing w:after="0" w:line="240" w:lineRule="auto"/>
      <w:ind w:left="0"/>
    </w:pPr>
    <w:rPr>
      <w:rFonts w:asciiTheme="minorHAnsi" w:eastAsiaTheme="minorHAnsi" w:hAnsiTheme="minorHAnsi" w:cstheme="minorBidi"/>
      <w:color w:val="auto"/>
      <w:sz w:val="22"/>
      <w:szCs w:val="22"/>
      <w:lang w:val="en-GB" w:bidi="ar-SA"/>
    </w:rPr>
  </w:style>
  <w:style w:type="character" w:customStyle="1" w:styleId="FooterChar">
    <w:name w:val="Footer Char"/>
    <w:basedOn w:val="DefaultParagraphFont"/>
    <w:link w:val="Footer"/>
    <w:uiPriority w:val="99"/>
    <w:rsid w:val="00022F50"/>
  </w:style>
  <w:style w:type="paragraph" w:styleId="BalloonText">
    <w:name w:val="Balloon Text"/>
    <w:basedOn w:val="Normal"/>
    <w:link w:val="BalloonTextChar"/>
    <w:uiPriority w:val="99"/>
    <w:semiHidden/>
    <w:unhideWhenUsed/>
    <w:rsid w:val="00022F50"/>
    <w:pPr>
      <w:spacing w:after="0" w:line="240" w:lineRule="auto"/>
      <w:ind w:left="0"/>
    </w:pPr>
    <w:rPr>
      <w:rFonts w:ascii="Tahoma" w:eastAsiaTheme="minorHAnsi" w:hAnsi="Tahoma" w:cs="Tahoma"/>
      <w:color w:val="auto"/>
      <w:sz w:val="16"/>
      <w:szCs w:val="16"/>
      <w:lang w:val="en-GB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F5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4094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86A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94A"/>
    <w:pPr>
      <w:spacing w:after="160" w:line="288" w:lineRule="auto"/>
      <w:ind w:left="2160"/>
    </w:pPr>
    <w:rPr>
      <w:rFonts w:ascii="Calibri" w:eastAsia="Calibri" w:hAnsi="Calibri" w:cs="Times New Roman"/>
      <w:color w:val="5A5A5A"/>
      <w:sz w:val="20"/>
      <w:szCs w:val="20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2F50"/>
    <w:pPr>
      <w:tabs>
        <w:tab w:val="center" w:pos="4536"/>
        <w:tab w:val="right" w:pos="9072"/>
      </w:tabs>
      <w:spacing w:after="0" w:line="240" w:lineRule="auto"/>
      <w:ind w:left="0"/>
    </w:pPr>
    <w:rPr>
      <w:rFonts w:asciiTheme="minorHAnsi" w:eastAsiaTheme="minorHAnsi" w:hAnsiTheme="minorHAnsi" w:cstheme="minorBidi"/>
      <w:color w:val="auto"/>
      <w:sz w:val="22"/>
      <w:szCs w:val="22"/>
      <w:lang w:val="en-GB" w:bidi="ar-SA"/>
    </w:rPr>
  </w:style>
  <w:style w:type="character" w:customStyle="1" w:styleId="HeaderChar">
    <w:name w:val="Header Char"/>
    <w:basedOn w:val="DefaultParagraphFont"/>
    <w:link w:val="Header"/>
    <w:uiPriority w:val="99"/>
    <w:rsid w:val="00022F50"/>
  </w:style>
  <w:style w:type="paragraph" w:styleId="Footer">
    <w:name w:val="footer"/>
    <w:basedOn w:val="Normal"/>
    <w:link w:val="FooterChar"/>
    <w:uiPriority w:val="99"/>
    <w:unhideWhenUsed/>
    <w:rsid w:val="00022F50"/>
    <w:pPr>
      <w:tabs>
        <w:tab w:val="center" w:pos="4536"/>
        <w:tab w:val="right" w:pos="9072"/>
      </w:tabs>
      <w:spacing w:after="0" w:line="240" w:lineRule="auto"/>
      <w:ind w:left="0"/>
    </w:pPr>
    <w:rPr>
      <w:rFonts w:asciiTheme="minorHAnsi" w:eastAsiaTheme="minorHAnsi" w:hAnsiTheme="minorHAnsi" w:cstheme="minorBidi"/>
      <w:color w:val="auto"/>
      <w:sz w:val="22"/>
      <w:szCs w:val="22"/>
      <w:lang w:val="en-GB" w:bidi="ar-SA"/>
    </w:rPr>
  </w:style>
  <w:style w:type="character" w:customStyle="1" w:styleId="FooterChar">
    <w:name w:val="Footer Char"/>
    <w:basedOn w:val="DefaultParagraphFont"/>
    <w:link w:val="Footer"/>
    <w:uiPriority w:val="99"/>
    <w:rsid w:val="00022F50"/>
  </w:style>
  <w:style w:type="paragraph" w:styleId="BalloonText">
    <w:name w:val="Balloon Text"/>
    <w:basedOn w:val="Normal"/>
    <w:link w:val="BalloonTextChar"/>
    <w:uiPriority w:val="99"/>
    <w:semiHidden/>
    <w:unhideWhenUsed/>
    <w:rsid w:val="00022F50"/>
    <w:pPr>
      <w:spacing w:after="0" w:line="240" w:lineRule="auto"/>
      <w:ind w:left="0"/>
    </w:pPr>
    <w:rPr>
      <w:rFonts w:ascii="Tahoma" w:eastAsiaTheme="minorHAnsi" w:hAnsi="Tahoma" w:cs="Tahoma"/>
      <w:color w:val="auto"/>
      <w:sz w:val="16"/>
      <w:szCs w:val="16"/>
      <w:lang w:val="en-GB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F5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4094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86A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1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houdmont@eurofinuse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houdmont@eurofinuse.org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8B803-DF71-4542-98EE-5C98C7D31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3</cp:revision>
  <cp:lastPrinted>2013-03-18T16:11:00Z</cp:lastPrinted>
  <dcterms:created xsi:type="dcterms:W3CDTF">2013-10-22T14:49:00Z</dcterms:created>
  <dcterms:modified xsi:type="dcterms:W3CDTF">2013-10-23T07:57:00Z</dcterms:modified>
</cp:coreProperties>
</file>