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1401A" w14:textId="5EE4BD8E" w:rsidR="007F0DCD" w:rsidRDefault="007F0DCD"/>
    <w:p w14:paraId="2211401B" w14:textId="77777777" w:rsidR="007F0DCD" w:rsidRPr="00A80C7C" w:rsidRDefault="00A80C7C">
      <w:pPr>
        <w:pStyle w:val="BodyText"/>
        <w:spacing w:after="120" w:line="240" w:lineRule="auto"/>
        <w:jc w:val="both"/>
        <w:rPr>
          <w:lang w:val="fr-BE"/>
        </w:rPr>
      </w:pPr>
      <w:bookmarkStart w:id="0" w:name="_Hlk4143464"/>
      <w:r w:rsidRPr="00A80C7C">
        <w:rPr>
          <w:rStyle w:val="Strong"/>
          <w:sz w:val="18"/>
          <w:lang w:val="fr-BE"/>
        </w:rPr>
        <w:t>COMMUNIQUÉ DE PRESSE</w:t>
      </w:r>
    </w:p>
    <w:p w14:paraId="2211401C" w14:textId="5C8A9682" w:rsidR="007F0DCD" w:rsidRPr="00A80C7C" w:rsidRDefault="00503D2D">
      <w:pPr>
        <w:pStyle w:val="Heading2"/>
        <w:spacing w:after="80"/>
        <w:jc w:val="both"/>
        <w:rPr>
          <w:rFonts w:ascii="Lato" w:eastAsia="Calibri" w:hAnsi="Lato" w:cs="Arial"/>
          <w:b/>
          <w:spacing w:val="20"/>
          <w:kern w:val="3"/>
          <w:sz w:val="24"/>
          <w:szCs w:val="24"/>
          <w:lang w:val="fr-BE"/>
        </w:rPr>
      </w:pPr>
      <w:r>
        <w:rPr>
          <w:rFonts w:ascii="Lato" w:eastAsia="Calibri" w:hAnsi="Lato" w:cs="Arial"/>
          <w:b/>
          <w:spacing w:val="20"/>
          <w:kern w:val="3"/>
          <w:sz w:val="24"/>
          <w:szCs w:val="24"/>
          <w:lang w:val="fr-BE"/>
        </w:rPr>
        <w:t>R</w:t>
      </w:r>
      <w:r w:rsidR="00A80C7C" w:rsidRPr="00A80C7C">
        <w:rPr>
          <w:rFonts w:ascii="Lato" w:eastAsia="Calibri" w:hAnsi="Lato" w:cs="Arial"/>
          <w:b/>
          <w:spacing w:val="20"/>
          <w:kern w:val="3"/>
          <w:sz w:val="24"/>
          <w:szCs w:val="24"/>
          <w:lang w:val="fr-BE"/>
        </w:rPr>
        <w:t>apport du Forum de haut niveau sur l'Union européenne des marchés de capitaux (CMU) :</w:t>
      </w:r>
    </w:p>
    <w:p w14:paraId="2211401D" w14:textId="4AF0D53D" w:rsidR="007F0DCD" w:rsidRPr="00A80C7C" w:rsidRDefault="004F4430">
      <w:pPr>
        <w:pStyle w:val="Heading2"/>
        <w:spacing w:after="80"/>
        <w:jc w:val="center"/>
        <w:rPr>
          <w:lang w:val="fr-BE"/>
        </w:rPr>
      </w:pPr>
      <w:r>
        <w:rPr>
          <w:rFonts w:eastAsia="Calibri" w:cs="Arial"/>
          <w:b/>
          <w:spacing w:val="20"/>
          <w:kern w:val="3"/>
          <w:sz w:val="30"/>
          <w:szCs w:val="30"/>
          <w:lang w:val="fr-BE"/>
        </w:rPr>
        <w:t>Un pas de plus vers un</w:t>
      </w:r>
      <w:r w:rsidR="00503D2D">
        <w:rPr>
          <w:rFonts w:eastAsia="Calibri" w:cs="Arial"/>
          <w:b/>
          <w:spacing w:val="20"/>
          <w:kern w:val="3"/>
          <w:sz w:val="30"/>
          <w:szCs w:val="30"/>
          <w:lang w:val="fr-BE"/>
        </w:rPr>
        <w:t xml:space="preserve"> rendement durable de </w:t>
      </w:r>
      <w:r>
        <w:rPr>
          <w:rFonts w:eastAsia="Calibri" w:cs="Arial"/>
          <w:b/>
          <w:spacing w:val="20"/>
          <w:kern w:val="3"/>
          <w:sz w:val="30"/>
          <w:szCs w:val="30"/>
          <w:lang w:val="fr-BE"/>
        </w:rPr>
        <w:t>l’épargne des citoyens européens</w:t>
      </w:r>
      <w:r w:rsidR="00503D2D">
        <w:rPr>
          <w:rFonts w:eastAsia="Calibri" w:cs="Arial"/>
          <w:b/>
          <w:spacing w:val="20"/>
          <w:kern w:val="3"/>
          <w:sz w:val="30"/>
          <w:szCs w:val="30"/>
          <w:lang w:val="fr-BE"/>
        </w:rPr>
        <w:t xml:space="preserve"> </w:t>
      </w:r>
    </w:p>
    <w:p w14:paraId="2211401E" w14:textId="32BB5739" w:rsidR="007F0DCD" w:rsidRPr="00A80C7C" w:rsidRDefault="00A80C7C">
      <w:pPr>
        <w:spacing w:after="120" w:line="240" w:lineRule="auto"/>
        <w:jc w:val="both"/>
        <w:rPr>
          <w:lang w:val="fr-BE"/>
        </w:rPr>
      </w:pPr>
      <w:r>
        <w:rPr>
          <w:rFonts w:ascii="Calibri Light" w:eastAsia="Times New Roman" w:hAnsi="Calibri Light" w:cs="Calibri Light"/>
          <w:b/>
          <w:bCs/>
          <w:lang w:val="fr-BE"/>
        </w:rPr>
        <w:t>Bruxelles, 10 juin 2020</w:t>
      </w:r>
      <w:bookmarkEnd w:id="0"/>
      <w:r>
        <w:rPr>
          <w:rFonts w:ascii="Calibri Light" w:eastAsia="Times New Roman" w:hAnsi="Calibri Light" w:cs="Calibri Light"/>
          <w:b/>
          <w:bCs/>
          <w:lang w:val="fr-BE"/>
        </w:rPr>
        <w:t xml:space="preserve"> </w:t>
      </w:r>
      <w:r>
        <w:rPr>
          <w:rFonts w:ascii="Calibri Light" w:eastAsia="Times New Roman" w:hAnsi="Calibri Light" w:cs="Calibri Light"/>
          <w:lang w:val="fr-BE"/>
        </w:rPr>
        <w:t>- Un peu plus de 6 mois après</w:t>
      </w:r>
      <w:bookmarkStart w:id="1" w:name="_Hlk42455178"/>
      <w:r>
        <w:rPr>
          <w:rFonts w:ascii="Calibri Light" w:eastAsia="Times New Roman" w:hAnsi="Calibri Light" w:cs="Calibri Light"/>
          <w:lang w:val="fr-BE"/>
        </w:rPr>
        <w:t xml:space="preserve"> le lancement</w:t>
      </w:r>
      <w:r w:rsidR="004F4430">
        <w:rPr>
          <w:rFonts w:ascii="Calibri Light" w:eastAsia="Times New Roman" w:hAnsi="Calibri Light" w:cs="Calibri Light"/>
          <w:lang w:val="fr-BE"/>
        </w:rPr>
        <w:t xml:space="preserve"> du Forum de haut niveau sur l’U</w:t>
      </w:r>
      <w:r w:rsidR="00503D2D">
        <w:rPr>
          <w:rFonts w:ascii="Calibri Light" w:eastAsia="Times New Roman" w:hAnsi="Calibri Light" w:cs="Calibri Light"/>
          <w:lang w:val="fr-BE"/>
        </w:rPr>
        <w:t>MC</w:t>
      </w:r>
      <w:r w:rsidR="004F4430">
        <w:rPr>
          <w:rFonts w:ascii="Calibri Light" w:eastAsia="Times New Roman" w:hAnsi="Calibri Light" w:cs="Calibri Light"/>
          <w:lang w:val="fr-BE"/>
        </w:rPr>
        <w:t>, le</w:t>
      </w:r>
      <w:r w:rsidR="00503D2D">
        <w:rPr>
          <w:rFonts w:ascii="Calibri Light" w:eastAsia="Times New Roman" w:hAnsi="Calibri Light" w:cs="Calibri Light"/>
          <w:lang w:val="fr-BE"/>
        </w:rPr>
        <w:t xml:space="preserve">s  </w:t>
      </w:r>
      <w:bookmarkEnd w:id="1"/>
      <w:r>
        <w:rPr>
          <w:rFonts w:ascii="Calibri Light" w:eastAsia="Times New Roman" w:hAnsi="Calibri Light" w:cs="Calibri Light"/>
          <w:lang w:val="fr-BE"/>
        </w:rPr>
        <w:t>28 experts</w:t>
      </w:r>
      <w:r w:rsidR="004F4430">
        <w:rPr>
          <w:rFonts w:ascii="Calibri Light" w:eastAsia="Times New Roman" w:hAnsi="Calibri Light" w:cs="Calibri Light"/>
          <w:lang w:val="fr-BE"/>
        </w:rPr>
        <w:t xml:space="preserve"> </w:t>
      </w:r>
      <w:r w:rsidR="00503D2D">
        <w:rPr>
          <w:rFonts w:ascii="Calibri Light" w:eastAsia="Times New Roman" w:hAnsi="Calibri Light" w:cs="Calibri Light"/>
          <w:lang w:val="fr-BE"/>
        </w:rPr>
        <w:t xml:space="preserve">de ce groupe ont </w:t>
      </w:r>
      <w:r w:rsidR="004F4430">
        <w:rPr>
          <w:rFonts w:ascii="Calibri Light" w:eastAsia="Times New Roman" w:hAnsi="Calibri Light" w:cs="Calibri Light"/>
          <w:lang w:val="fr-BE"/>
        </w:rPr>
        <w:t xml:space="preserve">publié </w:t>
      </w:r>
      <w:r w:rsidR="00503D2D">
        <w:rPr>
          <w:rFonts w:ascii="Calibri Light" w:eastAsia="Times New Roman" w:hAnsi="Calibri Light" w:cs="Calibri Light"/>
          <w:lang w:val="fr-BE"/>
        </w:rPr>
        <w:t xml:space="preserve">leur </w:t>
      </w:r>
      <w:bookmarkStart w:id="2" w:name="_Hlk42455220"/>
      <w:r>
        <w:fldChar w:fldCharType="begin"/>
      </w:r>
      <w:r w:rsidRPr="00A80C7C">
        <w:rPr>
          <w:lang w:val="fr-BE"/>
        </w:rPr>
        <w:instrText xml:space="preserve"> HYPERLINK  "https://ec.europa.eu/info/files/200610-cmu-high-level-forum-final-report_en" </w:instrText>
      </w:r>
      <w:r>
        <w:fldChar w:fldCharType="separate"/>
      </w:r>
      <w:r w:rsidR="004F4430" w:rsidRPr="004F4430">
        <w:rPr>
          <w:rStyle w:val="Hyperlink"/>
          <w:rFonts w:ascii="Calibri Light" w:eastAsia="Times New Roman" w:hAnsi="Calibri Light" w:cs="Calibri Light"/>
          <w:i/>
          <w:iCs/>
          <w:lang w:val="fr-BE"/>
        </w:rPr>
        <w:t>«</w:t>
      </w:r>
      <w:r w:rsidR="004F4430">
        <w:rPr>
          <w:rStyle w:val="Hyperlink"/>
          <w:rFonts w:ascii="Calibri Light" w:eastAsia="Times New Roman" w:hAnsi="Calibri Light" w:cs="Calibri Light"/>
          <w:lang w:val="fr-BE"/>
        </w:rPr>
        <w:t> </w:t>
      </w:r>
      <w:r>
        <w:rPr>
          <w:rStyle w:val="Hyperlink"/>
          <w:rFonts w:ascii="Calibri Light" w:eastAsia="Times New Roman" w:hAnsi="Calibri Light" w:cs="Calibri Light"/>
          <w:i/>
          <w:iCs/>
          <w:lang w:val="fr-BE"/>
        </w:rPr>
        <w:t>N</w:t>
      </w:r>
      <w:r w:rsidR="004F4430">
        <w:rPr>
          <w:rStyle w:val="Hyperlink"/>
          <w:rFonts w:ascii="Calibri Light" w:eastAsia="Times New Roman" w:hAnsi="Calibri Light" w:cs="Calibri Light"/>
          <w:i/>
          <w:iCs/>
          <w:lang w:val="fr-BE"/>
        </w:rPr>
        <w:t>ouvelle vision pour les marchés européens de capitaux »</w:t>
      </w:r>
      <w:r>
        <w:rPr>
          <w:rStyle w:val="Hyperlink"/>
          <w:rFonts w:ascii="Calibri Light" w:eastAsia="Times New Roman" w:hAnsi="Calibri Light" w:cs="Calibri Light"/>
          <w:lang w:val="fr-BE"/>
        </w:rPr>
        <w:fldChar w:fldCharType="end"/>
      </w:r>
      <w:bookmarkEnd w:id="2"/>
      <w:r w:rsidR="00503D2D">
        <w:rPr>
          <w:rStyle w:val="Hyperlink"/>
          <w:rFonts w:ascii="Calibri Light" w:eastAsia="Times New Roman" w:hAnsi="Calibri Light" w:cs="Calibri Light"/>
          <w:lang w:val="fr-BE"/>
        </w:rPr>
        <w:t>,</w:t>
      </w:r>
      <w:r>
        <w:rPr>
          <w:rFonts w:ascii="Calibri Light" w:eastAsia="Times New Roman" w:hAnsi="Calibri Light" w:cs="Calibri Light"/>
          <w:lang w:val="fr-BE"/>
        </w:rPr>
        <w:t xml:space="preserve"> </w:t>
      </w:r>
      <w:r w:rsidR="00503D2D">
        <w:rPr>
          <w:rFonts w:ascii="Calibri Light" w:eastAsia="Times New Roman" w:hAnsi="Calibri Light" w:cs="Calibri Light"/>
          <w:lang w:val="fr-BE"/>
        </w:rPr>
        <w:t>assorti</w:t>
      </w:r>
      <w:r w:rsidR="003A2DBC">
        <w:rPr>
          <w:rFonts w:ascii="Calibri Light" w:eastAsia="Times New Roman" w:hAnsi="Calibri Light" w:cs="Calibri Light"/>
          <w:lang w:val="fr-BE"/>
        </w:rPr>
        <w:t>e</w:t>
      </w:r>
      <w:r w:rsidR="00503D2D">
        <w:rPr>
          <w:rFonts w:ascii="Calibri Light" w:eastAsia="Times New Roman" w:hAnsi="Calibri Light" w:cs="Calibri Light"/>
          <w:lang w:val="fr-BE"/>
        </w:rPr>
        <w:t xml:space="preserve"> d’une liste de </w:t>
      </w:r>
      <w:r>
        <w:rPr>
          <w:rFonts w:ascii="Calibri Light" w:eastAsia="Times New Roman" w:hAnsi="Calibri Light" w:cs="Calibri Light"/>
          <w:lang w:val="fr-BE"/>
        </w:rPr>
        <w:t xml:space="preserve">recommandations clés. </w:t>
      </w:r>
      <w:r w:rsidRPr="00A80C7C">
        <w:rPr>
          <w:rFonts w:ascii="Calibri Light" w:eastAsia="Times New Roman" w:hAnsi="Calibri Light" w:cs="Calibri Light"/>
          <w:lang w:val="fr-BE"/>
        </w:rPr>
        <w:t xml:space="preserve">Plusieurs d'entre elles </w:t>
      </w:r>
      <w:r w:rsidR="00503D2D">
        <w:rPr>
          <w:rFonts w:ascii="Calibri Light" w:eastAsia="Times New Roman" w:hAnsi="Calibri Light" w:cs="Calibri Light"/>
          <w:lang w:val="fr-BE"/>
        </w:rPr>
        <w:t xml:space="preserve">avaient </w:t>
      </w:r>
      <w:r w:rsidRPr="00A80C7C">
        <w:rPr>
          <w:rFonts w:ascii="Calibri Light" w:eastAsia="Times New Roman" w:hAnsi="Calibri Light" w:cs="Calibri Light"/>
          <w:lang w:val="fr-BE"/>
        </w:rPr>
        <w:t>été proposées par BETTER FINANCE et approuvées</w:t>
      </w:r>
      <w:r w:rsidR="00503D2D">
        <w:rPr>
          <w:rFonts w:ascii="Calibri Light" w:eastAsia="Times New Roman" w:hAnsi="Calibri Light" w:cs="Calibri Light"/>
          <w:lang w:val="fr-BE"/>
        </w:rPr>
        <w:t xml:space="preserve"> ensuite par le Forum de haut niveau. </w:t>
      </w:r>
      <w:r w:rsidR="004F4430">
        <w:rPr>
          <w:rFonts w:ascii="Calibri Light" w:eastAsia="Times New Roman" w:hAnsi="Calibri Light" w:cs="Calibri Light"/>
          <w:lang w:val="fr-BE"/>
        </w:rPr>
        <w:t xml:space="preserve">C’est là une bonne </w:t>
      </w:r>
      <w:r w:rsidRPr="00A80C7C">
        <w:rPr>
          <w:rFonts w:ascii="Calibri Light" w:eastAsia="Times New Roman" w:hAnsi="Calibri Light" w:cs="Calibri Light"/>
          <w:lang w:val="fr-BE"/>
        </w:rPr>
        <w:t>nouvelle pour les citoyens de l'UE en tant qu'u</w:t>
      </w:r>
      <w:r w:rsidR="004F4430">
        <w:rPr>
          <w:rFonts w:ascii="Calibri Light" w:eastAsia="Times New Roman" w:hAnsi="Calibri Light" w:cs="Calibri Light"/>
          <w:lang w:val="fr-BE"/>
        </w:rPr>
        <w:t>sage</w:t>
      </w:r>
      <w:r w:rsidR="00503D2D">
        <w:rPr>
          <w:rFonts w:ascii="Calibri Light" w:eastAsia="Times New Roman" w:hAnsi="Calibri Light" w:cs="Calibri Light"/>
          <w:lang w:val="fr-BE"/>
        </w:rPr>
        <w:t>r</w:t>
      </w:r>
      <w:r w:rsidR="004F4430">
        <w:rPr>
          <w:rFonts w:ascii="Calibri Light" w:eastAsia="Times New Roman" w:hAnsi="Calibri Light" w:cs="Calibri Light"/>
          <w:lang w:val="fr-BE"/>
        </w:rPr>
        <w:t xml:space="preserve">s de services financiers. </w:t>
      </w:r>
    </w:p>
    <w:p w14:paraId="2211401F" w14:textId="353C1920" w:rsidR="007F0DCD" w:rsidRPr="00A80C7C" w:rsidRDefault="00503D2D">
      <w:pPr>
        <w:spacing w:after="120" w:line="240" w:lineRule="auto"/>
        <w:jc w:val="both"/>
        <w:rPr>
          <w:lang w:val="fr-BE"/>
        </w:rPr>
      </w:pPr>
      <w:bookmarkStart w:id="3" w:name="_Hlk42455249"/>
      <w:r w:rsidRPr="00A80C7C">
        <w:rPr>
          <w:rFonts w:ascii="Calibri Light" w:eastAsia="Times New Roman" w:hAnsi="Calibri Light" w:cs="Calibri Light"/>
          <w:lang w:val="fr-BE"/>
        </w:rPr>
        <w:t xml:space="preserve">Guillaume </w:t>
      </w:r>
      <w:proofErr w:type="spellStart"/>
      <w:r w:rsidRPr="00A80C7C">
        <w:rPr>
          <w:rFonts w:ascii="Calibri Light" w:eastAsia="Times New Roman" w:hAnsi="Calibri Light" w:cs="Calibri Light"/>
          <w:lang w:val="fr-BE"/>
        </w:rPr>
        <w:t>Prache</w:t>
      </w:r>
      <w:proofErr w:type="spellEnd"/>
      <w:r w:rsidRPr="00A80C7C">
        <w:rPr>
          <w:rFonts w:ascii="Calibri Light" w:eastAsia="Times New Roman" w:hAnsi="Calibri Light" w:cs="Calibri Light"/>
          <w:lang w:val="fr-BE"/>
        </w:rPr>
        <w:t xml:space="preserve">, </w:t>
      </w:r>
      <w:r w:rsidR="00A80C7C" w:rsidRPr="00A80C7C">
        <w:rPr>
          <w:rFonts w:ascii="Calibri Light" w:eastAsia="Times New Roman" w:hAnsi="Calibri Light" w:cs="Calibri Light"/>
          <w:lang w:val="fr-BE"/>
        </w:rPr>
        <w:t>directeur général de BETTER FINANCE, était l'un des deux seuls représentants des</w:t>
      </w:r>
      <w:r w:rsidR="004F4430">
        <w:rPr>
          <w:rFonts w:ascii="Calibri Light" w:eastAsia="Times New Roman" w:hAnsi="Calibri Light" w:cs="Calibri Light"/>
          <w:lang w:val="fr-BE"/>
        </w:rPr>
        <w:t xml:space="preserve"> épargnants et investisseurs particuliers de l’UE</w:t>
      </w:r>
      <w:r w:rsidR="00A80C7C" w:rsidRPr="00A80C7C">
        <w:rPr>
          <w:rFonts w:ascii="Calibri Light" w:eastAsia="Times New Roman" w:hAnsi="Calibri Light" w:cs="Calibri Light"/>
          <w:lang w:val="fr-BE"/>
        </w:rPr>
        <w:t xml:space="preserve"> </w:t>
      </w:r>
      <w:r>
        <w:rPr>
          <w:rFonts w:ascii="Calibri Light" w:eastAsia="Times New Roman" w:hAnsi="Calibri Light" w:cs="Calibri Light"/>
          <w:lang w:val="fr-BE"/>
        </w:rPr>
        <w:t xml:space="preserve">sur les 28 membres du Forum de haut niveau de l’UMC. </w:t>
      </w:r>
      <w:r w:rsidR="004F4430">
        <w:rPr>
          <w:rFonts w:ascii="Calibri Light" w:eastAsia="Times New Roman" w:hAnsi="Calibri Light" w:cs="Calibri Light"/>
          <w:lang w:val="fr-BE"/>
        </w:rPr>
        <w:t xml:space="preserve">Malgré la surreprésentation </w:t>
      </w:r>
      <w:r w:rsidR="00410FE0">
        <w:rPr>
          <w:rFonts w:ascii="Calibri Light" w:eastAsia="Times New Roman" w:hAnsi="Calibri Light" w:cs="Calibri Light"/>
          <w:lang w:val="fr-BE"/>
        </w:rPr>
        <w:t xml:space="preserve">(18 membres sur 28) </w:t>
      </w:r>
      <w:r w:rsidR="004F4430">
        <w:rPr>
          <w:rFonts w:ascii="Calibri Light" w:eastAsia="Times New Roman" w:hAnsi="Calibri Light" w:cs="Calibri Light"/>
          <w:lang w:val="fr-BE"/>
        </w:rPr>
        <w:t xml:space="preserve">des intermédiaires financiers </w:t>
      </w:r>
      <w:r>
        <w:rPr>
          <w:rFonts w:ascii="Calibri Light" w:eastAsia="Times New Roman" w:hAnsi="Calibri Light" w:cs="Calibri Light"/>
          <w:lang w:val="fr-BE"/>
        </w:rPr>
        <w:t xml:space="preserve">ou </w:t>
      </w:r>
      <w:r w:rsidR="00410FE0">
        <w:rPr>
          <w:rFonts w:ascii="Calibri Light" w:eastAsia="Times New Roman" w:hAnsi="Calibri Light" w:cs="Calibri Light"/>
          <w:lang w:val="fr-BE"/>
        </w:rPr>
        <w:t xml:space="preserve">de leurs salariés/cadres </w:t>
      </w:r>
      <w:r w:rsidR="001E16A3">
        <w:rPr>
          <w:rFonts w:ascii="Calibri Light" w:eastAsia="Times New Roman" w:hAnsi="Calibri Light" w:cs="Calibri Light"/>
          <w:lang w:val="fr-BE"/>
        </w:rPr>
        <w:t>(parmi lesquels</w:t>
      </w:r>
      <w:r>
        <w:rPr>
          <w:rFonts w:ascii="Calibri Light" w:eastAsia="Times New Roman" w:hAnsi="Calibri Light" w:cs="Calibri Light"/>
          <w:lang w:val="fr-BE"/>
        </w:rPr>
        <w:t xml:space="preserve"> </w:t>
      </w:r>
      <w:bookmarkEnd w:id="3"/>
      <w:r w:rsidR="00A80C7C" w:rsidRPr="00A80C7C">
        <w:rPr>
          <w:rFonts w:ascii="Calibri Light" w:eastAsia="Times New Roman" w:hAnsi="Calibri Light" w:cs="Calibri Light"/>
          <w:lang w:val="fr-BE"/>
        </w:rPr>
        <w:t>six dirigeants d</w:t>
      </w:r>
      <w:r w:rsidR="001E16A3">
        <w:rPr>
          <w:rFonts w:ascii="Calibri Light" w:eastAsia="Times New Roman" w:hAnsi="Calibri Light" w:cs="Calibri Light"/>
          <w:lang w:val="fr-BE"/>
        </w:rPr>
        <w:t xml:space="preserve">e </w:t>
      </w:r>
      <w:r w:rsidR="00410FE0">
        <w:rPr>
          <w:rFonts w:ascii="Calibri Light" w:eastAsia="Times New Roman" w:hAnsi="Calibri Light" w:cs="Calibri Light"/>
          <w:lang w:val="fr-BE"/>
        </w:rPr>
        <w:t xml:space="preserve">de géants financiers </w:t>
      </w:r>
      <w:r w:rsidR="001E16A3">
        <w:rPr>
          <w:rFonts w:ascii="Calibri Light" w:eastAsia="Times New Roman" w:hAnsi="Calibri Light" w:cs="Calibri Light"/>
          <w:lang w:val="fr-BE"/>
        </w:rPr>
        <w:t xml:space="preserve">américains) au sein de ce groupe, </w:t>
      </w:r>
      <w:r w:rsidR="00A80C7C" w:rsidRPr="00A80C7C">
        <w:rPr>
          <w:rFonts w:ascii="Calibri Light" w:eastAsia="Times New Roman" w:hAnsi="Calibri Light" w:cs="Calibri Light"/>
          <w:lang w:val="fr-BE"/>
        </w:rPr>
        <w:t xml:space="preserve">BETTER FINANCE </w:t>
      </w:r>
      <w:r w:rsidR="001E16A3">
        <w:rPr>
          <w:rFonts w:ascii="Calibri Light" w:eastAsia="Times New Roman" w:hAnsi="Calibri Light" w:cs="Calibri Light"/>
          <w:lang w:val="fr-BE"/>
        </w:rPr>
        <w:t xml:space="preserve">se réjouit du soutien de la </w:t>
      </w:r>
      <w:r w:rsidR="00A80C7C" w:rsidRPr="00A80C7C">
        <w:rPr>
          <w:rFonts w:ascii="Calibri Light" w:eastAsia="Times New Roman" w:hAnsi="Calibri Light" w:cs="Calibri Light"/>
          <w:lang w:val="fr-BE"/>
        </w:rPr>
        <w:t>CE</w:t>
      </w:r>
      <w:r w:rsidR="001E16A3">
        <w:rPr>
          <w:rFonts w:ascii="Calibri Light" w:eastAsia="Times New Roman" w:hAnsi="Calibri Light" w:cs="Calibri Light"/>
          <w:lang w:val="fr-BE"/>
        </w:rPr>
        <w:t xml:space="preserve"> grâce auquel nombreuses de</w:t>
      </w:r>
      <w:r w:rsidR="00410FE0">
        <w:rPr>
          <w:rFonts w:ascii="Calibri Light" w:eastAsia="Times New Roman" w:hAnsi="Calibri Light" w:cs="Calibri Light"/>
          <w:lang w:val="fr-BE"/>
        </w:rPr>
        <w:t xml:space="preserve"> ses</w:t>
      </w:r>
      <w:r w:rsidR="001E16A3">
        <w:rPr>
          <w:rFonts w:ascii="Calibri Light" w:eastAsia="Times New Roman" w:hAnsi="Calibri Light" w:cs="Calibri Light"/>
          <w:lang w:val="fr-BE"/>
        </w:rPr>
        <w:t xml:space="preserve"> </w:t>
      </w:r>
      <w:hyperlink r:id="rId10" w:history="1">
        <w:r w:rsidR="00A80C7C" w:rsidRPr="00A80C7C">
          <w:rPr>
            <w:rStyle w:val="Hyperlink"/>
            <w:rFonts w:ascii="Calibri Light" w:eastAsia="Times New Roman" w:hAnsi="Calibri Light" w:cs="Calibri Light"/>
            <w:lang w:val="fr-BE"/>
          </w:rPr>
          <w:t>priorités clés</w:t>
        </w:r>
        <w:r w:rsidR="001E16A3">
          <w:rPr>
            <w:rStyle w:val="Hyperlink"/>
            <w:rFonts w:ascii="Calibri Light" w:eastAsia="Times New Roman" w:hAnsi="Calibri Light" w:cs="Calibri Light"/>
            <w:lang w:val="fr-BE"/>
          </w:rPr>
          <w:t>,</w:t>
        </w:r>
        <w:r w:rsidR="00A80C7C" w:rsidRPr="001E16A3">
          <w:rPr>
            <w:rStyle w:val="Hyperlink"/>
            <w:rFonts w:ascii="Calibri Light" w:eastAsia="Times New Roman" w:hAnsi="Calibri Light" w:cs="Calibri Light"/>
            <w:u w:val="none"/>
            <w:lang w:val="fr-BE"/>
          </w:rPr>
          <w:t xml:space="preserve"> </w:t>
        </w:r>
      </w:hyperlink>
      <w:r w:rsidR="00A80C7C" w:rsidRPr="00A80C7C">
        <w:rPr>
          <w:rFonts w:ascii="Calibri Light" w:eastAsia="Times New Roman" w:hAnsi="Calibri Light" w:cs="Calibri Light"/>
          <w:lang w:val="fr-BE"/>
        </w:rPr>
        <w:t>publiées l'année dernière</w:t>
      </w:r>
      <w:r w:rsidR="001E16A3">
        <w:rPr>
          <w:rFonts w:ascii="Calibri Light" w:eastAsia="Times New Roman" w:hAnsi="Calibri Light" w:cs="Calibri Light"/>
          <w:lang w:val="fr-BE"/>
        </w:rPr>
        <w:t xml:space="preserve">, ont pu être </w:t>
      </w:r>
      <w:r w:rsidR="00410FE0">
        <w:rPr>
          <w:rFonts w:ascii="Calibri Light" w:eastAsia="Times New Roman" w:hAnsi="Calibri Light" w:cs="Calibri Light"/>
          <w:lang w:val="fr-BE"/>
        </w:rPr>
        <w:t xml:space="preserve">avalisées, </w:t>
      </w:r>
      <w:r w:rsidR="001E16A3">
        <w:rPr>
          <w:rFonts w:ascii="Calibri Light" w:eastAsia="Times New Roman" w:hAnsi="Calibri Light" w:cs="Calibri Light"/>
          <w:lang w:val="fr-BE"/>
        </w:rPr>
        <w:t>du moins en partie.</w:t>
      </w:r>
      <w:r w:rsidR="00410FE0">
        <w:rPr>
          <w:rFonts w:ascii="Calibri Light" w:eastAsia="Times New Roman" w:hAnsi="Calibri Light" w:cs="Calibri Light"/>
          <w:lang w:val="fr-BE"/>
        </w:rPr>
        <w:t xml:space="preserve"> Elle tient d’ailleurs à remercier ici la CE pour son appui.  </w:t>
      </w:r>
    </w:p>
    <w:p w14:paraId="22114020" w14:textId="10B62652" w:rsidR="007F0DCD" w:rsidRPr="00A80C7C" w:rsidRDefault="00A80C7C">
      <w:pPr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i/>
          <w:iCs/>
          <w:lang w:val="fr-BE"/>
        </w:rPr>
      </w:pPr>
      <w:r w:rsidRPr="00A80C7C">
        <w:rPr>
          <w:rFonts w:ascii="Calibri Light" w:eastAsia="Times New Roman" w:hAnsi="Calibri Light" w:cs="Calibri Light"/>
          <w:b/>
          <w:bCs/>
          <w:i/>
          <w:iCs/>
          <w:lang w:val="fr-BE"/>
        </w:rPr>
        <w:t xml:space="preserve">Une </w:t>
      </w:r>
      <w:r w:rsidR="001E16A3">
        <w:rPr>
          <w:rFonts w:ascii="Calibri Light" w:eastAsia="Times New Roman" w:hAnsi="Calibri Light" w:cs="Calibri Light"/>
          <w:b/>
          <w:bCs/>
          <w:i/>
          <w:iCs/>
          <w:lang w:val="fr-BE"/>
        </w:rPr>
        <w:t xml:space="preserve">UMC au service des </w:t>
      </w:r>
      <w:r w:rsidR="0033473D">
        <w:rPr>
          <w:rFonts w:ascii="Calibri Light" w:eastAsia="Times New Roman" w:hAnsi="Calibri Light" w:cs="Calibri Light"/>
          <w:b/>
          <w:bCs/>
          <w:i/>
          <w:iCs/>
          <w:lang w:val="fr-BE"/>
        </w:rPr>
        <w:t>personnes</w:t>
      </w:r>
      <w:r w:rsidR="001E16A3">
        <w:rPr>
          <w:rFonts w:ascii="Calibri Light" w:eastAsia="Times New Roman" w:hAnsi="Calibri Light" w:cs="Calibri Light"/>
          <w:b/>
          <w:bCs/>
          <w:i/>
          <w:iCs/>
          <w:lang w:val="fr-BE"/>
        </w:rPr>
        <w:t xml:space="preserve"> </w:t>
      </w:r>
    </w:p>
    <w:p w14:paraId="22114021" w14:textId="605D0E3E" w:rsidR="007F0DCD" w:rsidRPr="00A80C7C" w:rsidRDefault="00A80C7C">
      <w:pPr>
        <w:spacing w:after="120" w:line="240" w:lineRule="auto"/>
        <w:jc w:val="both"/>
        <w:rPr>
          <w:lang w:val="fr-BE"/>
        </w:rPr>
      </w:pPr>
      <w:r w:rsidRPr="00A80C7C">
        <w:rPr>
          <w:rFonts w:ascii="Calibri Light" w:eastAsia="Times New Roman" w:hAnsi="Calibri Light" w:cs="Calibri Light"/>
          <w:lang w:val="fr-BE"/>
        </w:rPr>
        <w:t xml:space="preserve">La </w:t>
      </w:r>
      <w:r w:rsidR="001E16A3">
        <w:rPr>
          <w:rFonts w:ascii="Calibri Light" w:eastAsia="Times New Roman" w:hAnsi="Calibri Light" w:cs="Calibri Light"/>
          <w:lang w:val="fr-BE"/>
        </w:rPr>
        <w:t xml:space="preserve">création d’une </w:t>
      </w:r>
      <w:r w:rsidR="001E16A3">
        <w:rPr>
          <w:rFonts w:ascii="Calibri Light" w:eastAsia="Times New Roman" w:hAnsi="Calibri Light" w:cs="Calibri Light"/>
          <w:i/>
          <w:iCs/>
          <w:lang w:val="fr-BE"/>
        </w:rPr>
        <w:t>« UMC au service des</w:t>
      </w:r>
      <w:r w:rsidR="0033473D">
        <w:rPr>
          <w:rFonts w:ascii="Calibri Light" w:eastAsia="Times New Roman" w:hAnsi="Calibri Light" w:cs="Calibri Light"/>
          <w:i/>
          <w:iCs/>
          <w:lang w:val="fr-BE"/>
        </w:rPr>
        <w:t xml:space="preserve"> personnes</w:t>
      </w:r>
      <w:r w:rsidR="001E16A3">
        <w:rPr>
          <w:rFonts w:ascii="Calibri Light" w:eastAsia="Times New Roman" w:hAnsi="Calibri Light" w:cs="Calibri Light"/>
          <w:i/>
          <w:iCs/>
          <w:lang w:val="fr-BE"/>
        </w:rPr>
        <w:t xml:space="preserve"> » </w:t>
      </w:r>
      <w:r w:rsidRPr="00A80C7C">
        <w:rPr>
          <w:rFonts w:ascii="Calibri Light" w:eastAsia="Times New Roman" w:hAnsi="Calibri Light" w:cs="Calibri Light"/>
          <w:lang w:val="fr-BE"/>
        </w:rPr>
        <w:t xml:space="preserve">est </w:t>
      </w:r>
      <w:r w:rsidR="001E16A3">
        <w:rPr>
          <w:rFonts w:ascii="Calibri Light" w:eastAsia="Times New Roman" w:hAnsi="Calibri Light" w:cs="Calibri Light"/>
          <w:lang w:val="fr-BE"/>
        </w:rPr>
        <w:t>l’</w:t>
      </w:r>
      <w:r w:rsidRPr="00A80C7C">
        <w:rPr>
          <w:rFonts w:ascii="Calibri Light" w:eastAsia="Times New Roman" w:hAnsi="Calibri Light" w:cs="Calibri Light"/>
          <w:lang w:val="fr-BE"/>
        </w:rPr>
        <w:t xml:space="preserve">une </w:t>
      </w:r>
      <w:r w:rsidR="001E16A3">
        <w:rPr>
          <w:rFonts w:ascii="Calibri Light" w:eastAsia="Times New Roman" w:hAnsi="Calibri Light" w:cs="Calibri Light"/>
          <w:lang w:val="fr-BE"/>
        </w:rPr>
        <w:t xml:space="preserve">des </w:t>
      </w:r>
      <w:r w:rsidRPr="00A80C7C">
        <w:rPr>
          <w:rFonts w:ascii="Calibri Light" w:eastAsia="Times New Roman" w:hAnsi="Calibri Light" w:cs="Calibri Light"/>
          <w:lang w:val="fr-BE"/>
        </w:rPr>
        <w:t>priorité</w:t>
      </w:r>
      <w:r w:rsidR="001E16A3">
        <w:rPr>
          <w:rFonts w:ascii="Calibri Light" w:eastAsia="Times New Roman" w:hAnsi="Calibri Light" w:cs="Calibri Light"/>
          <w:lang w:val="fr-BE"/>
        </w:rPr>
        <w:t>s de</w:t>
      </w:r>
      <w:r w:rsidRPr="00A80C7C">
        <w:rPr>
          <w:rFonts w:ascii="Calibri Light" w:eastAsia="Times New Roman" w:hAnsi="Calibri Light" w:cs="Calibri Light"/>
          <w:lang w:val="fr-BE"/>
        </w:rPr>
        <w:t xml:space="preserve"> BETTER FINANCE depuis 2015, </w:t>
      </w:r>
      <w:r w:rsidR="001E16A3">
        <w:rPr>
          <w:rFonts w:ascii="Calibri Light" w:eastAsia="Times New Roman" w:hAnsi="Calibri Light" w:cs="Calibri Light"/>
          <w:lang w:val="fr-BE"/>
        </w:rPr>
        <w:t>année au cours de laquelle l’</w:t>
      </w:r>
      <w:r w:rsidRPr="00A80C7C">
        <w:rPr>
          <w:rFonts w:ascii="Calibri Light" w:eastAsia="Times New Roman" w:hAnsi="Calibri Light" w:cs="Calibri Light"/>
          <w:lang w:val="fr-BE"/>
        </w:rPr>
        <w:t xml:space="preserve">Union européenne (UE) a jeté les bases d'une </w:t>
      </w:r>
      <w:r w:rsidR="001E16A3">
        <w:rPr>
          <w:rFonts w:ascii="Calibri Light" w:eastAsia="Times New Roman" w:hAnsi="Calibri Light" w:cs="Calibri Light"/>
          <w:lang w:val="fr-BE"/>
        </w:rPr>
        <w:t xml:space="preserve">UMC qui verrait enfin la mise en place du </w:t>
      </w:r>
      <w:r w:rsidRPr="00A80C7C">
        <w:rPr>
          <w:rFonts w:ascii="Calibri Light" w:eastAsia="Times New Roman" w:hAnsi="Calibri Light" w:cs="Calibri Light"/>
          <w:lang w:val="fr-BE"/>
        </w:rPr>
        <w:t xml:space="preserve">marché unique des capitaux et des services d'investissement décidé il y a plus de 60 ans </w:t>
      </w:r>
      <w:r w:rsidR="001E16A3">
        <w:rPr>
          <w:rFonts w:ascii="Calibri Light" w:eastAsia="Times New Roman" w:hAnsi="Calibri Light" w:cs="Calibri Light"/>
          <w:lang w:val="fr-BE"/>
        </w:rPr>
        <w:t xml:space="preserve">et inscrit dans le </w:t>
      </w:r>
      <w:r w:rsidRPr="00A80C7C">
        <w:rPr>
          <w:rFonts w:ascii="Calibri Light" w:eastAsia="Times New Roman" w:hAnsi="Calibri Light" w:cs="Calibri Light"/>
          <w:lang w:val="fr-BE"/>
        </w:rPr>
        <w:t xml:space="preserve">traité de Rome, </w:t>
      </w:r>
      <w:r w:rsidR="001E16A3">
        <w:rPr>
          <w:rFonts w:ascii="Calibri Light" w:eastAsia="Times New Roman" w:hAnsi="Calibri Light" w:cs="Calibri Light"/>
          <w:lang w:val="fr-BE"/>
        </w:rPr>
        <w:t>stimulerait le financement direct de l’économie réelle et offrirait de</w:t>
      </w:r>
      <w:r w:rsidR="00410FE0">
        <w:rPr>
          <w:rFonts w:ascii="Calibri Light" w:eastAsia="Times New Roman" w:hAnsi="Calibri Light" w:cs="Calibri Light"/>
          <w:lang w:val="fr-BE"/>
        </w:rPr>
        <w:t>s</w:t>
      </w:r>
      <w:r w:rsidR="001E16A3">
        <w:rPr>
          <w:rFonts w:ascii="Calibri Light" w:eastAsia="Times New Roman" w:hAnsi="Calibri Light" w:cs="Calibri Light"/>
          <w:lang w:val="fr-BE"/>
        </w:rPr>
        <w:t xml:space="preserve"> rendements plus élevés aux </w:t>
      </w:r>
      <w:r w:rsidRPr="00A80C7C">
        <w:rPr>
          <w:rFonts w:ascii="Calibri Light" w:eastAsia="Times New Roman" w:hAnsi="Calibri Light" w:cs="Calibri Light"/>
          <w:lang w:val="fr-BE"/>
        </w:rPr>
        <w:t xml:space="preserve">citoyens de l'UE en tant qu'épargnants </w:t>
      </w:r>
      <w:r w:rsidR="001E16A3">
        <w:rPr>
          <w:rFonts w:ascii="Calibri Light" w:eastAsia="Times New Roman" w:hAnsi="Calibri Light" w:cs="Calibri Light"/>
          <w:lang w:val="fr-BE"/>
        </w:rPr>
        <w:t>de retraite</w:t>
      </w:r>
      <w:r w:rsidR="001C421E">
        <w:rPr>
          <w:rFonts w:ascii="Calibri Light" w:eastAsia="Times New Roman" w:hAnsi="Calibri Light" w:cs="Calibri Light"/>
          <w:lang w:val="fr-BE"/>
        </w:rPr>
        <w:t> :</w:t>
      </w:r>
      <w:r w:rsidR="00503D2D">
        <w:rPr>
          <w:rFonts w:ascii="Calibri Light" w:eastAsia="Times New Roman" w:hAnsi="Calibri Light" w:cs="Calibri Light"/>
          <w:lang w:val="fr-BE"/>
        </w:rPr>
        <w:t xml:space="preserve"> </w:t>
      </w:r>
    </w:p>
    <w:p w14:paraId="22114022" w14:textId="3BC723FE" w:rsidR="007F0DCD" w:rsidRPr="00A80C7C" w:rsidRDefault="001C421E">
      <w:pPr>
        <w:spacing w:after="120" w:line="240" w:lineRule="auto"/>
        <w:jc w:val="both"/>
        <w:rPr>
          <w:lang w:val="fr-BE"/>
        </w:rPr>
      </w:pPr>
      <w:r w:rsidRPr="00410FE0">
        <w:rPr>
          <w:rFonts w:ascii="Calibri Light" w:hAnsi="Calibri Light" w:cs="Calibri Light"/>
          <w:b/>
          <w:bCs/>
          <w:i/>
          <w:iCs/>
          <w:lang w:val="fr-BE"/>
        </w:rPr>
        <w:t>«</w:t>
      </w:r>
      <w:r w:rsidR="00410FE0">
        <w:rPr>
          <w:rFonts w:ascii="Calibri Light" w:hAnsi="Calibri Light" w:cs="Calibri Light"/>
          <w:b/>
          <w:bCs/>
          <w:i/>
          <w:iCs/>
          <w:lang w:val="fr-BE"/>
        </w:rPr>
        <w:t xml:space="preserve"> </w:t>
      </w:r>
      <w:r w:rsidR="00A80C7C" w:rsidRPr="00410FE0">
        <w:rPr>
          <w:rFonts w:ascii="Calibri Light" w:hAnsi="Calibri Light" w:cs="Calibri Light"/>
          <w:b/>
          <w:bCs/>
          <w:i/>
          <w:iCs/>
          <w:lang w:val="fr-BE"/>
        </w:rPr>
        <w:t>Les</w:t>
      </w:r>
      <w:r w:rsidR="00A80C7C" w:rsidRPr="00A80C7C">
        <w:rPr>
          <w:rFonts w:ascii="Calibri Light" w:hAnsi="Calibri Light" w:cs="Calibri Light"/>
          <w:i/>
          <w:iCs/>
          <w:lang w:val="fr-BE"/>
        </w:rPr>
        <w:t xml:space="preserve"> </w:t>
      </w:r>
      <w:r w:rsidR="00A80C7C" w:rsidRPr="00A80C7C">
        <w:rPr>
          <w:rFonts w:ascii="Calibri Light" w:hAnsi="Calibri Light" w:cs="Calibri Light"/>
          <w:b/>
          <w:bCs/>
          <w:i/>
          <w:iCs/>
          <w:lang w:val="fr-BE"/>
        </w:rPr>
        <w:t xml:space="preserve">citoyens européens, en tant qu'épargnants à long terme et investisseurs </w:t>
      </w:r>
      <w:r>
        <w:rPr>
          <w:rFonts w:ascii="Calibri Light" w:hAnsi="Calibri Light" w:cs="Calibri Light"/>
          <w:b/>
          <w:bCs/>
          <w:i/>
          <w:iCs/>
          <w:lang w:val="fr-BE"/>
        </w:rPr>
        <w:t>particuliers –</w:t>
      </w:r>
      <w:r w:rsidR="00503D2D">
        <w:rPr>
          <w:rFonts w:ascii="Calibri Light" w:hAnsi="Calibri Light" w:cs="Calibri Light"/>
          <w:b/>
          <w:bCs/>
          <w:i/>
          <w:iCs/>
          <w:lang w:val="fr-BE"/>
        </w:rPr>
        <w:t xml:space="preserve"> </w:t>
      </w:r>
      <w:r w:rsidR="00A80C7C" w:rsidRPr="00A80C7C">
        <w:rPr>
          <w:rFonts w:ascii="Calibri Light" w:hAnsi="Calibri Light" w:cs="Calibri Light"/>
          <w:b/>
          <w:bCs/>
          <w:i/>
          <w:iCs/>
          <w:lang w:val="fr-BE"/>
        </w:rPr>
        <w:t xml:space="preserve">qui </w:t>
      </w:r>
      <w:r>
        <w:rPr>
          <w:rFonts w:ascii="Calibri Light" w:hAnsi="Calibri Light" w:cs="Calibri Light"/>
          <w:b/>
          <w:bCs/>
          <w:i/>
          <w:iCs/>
          <w:lang w:val="fr-BE"/>
        </w:rPr>
        <w:t xml:space="preserve">comptent parmi ceux qui financent le plus les </w:t>
      </w:r>
      <w:r w:rsidR="00A80C7C" w:rsidRPr="00A80C7C">
        <w:rPr>
          <w:rFonts w:ascii="Calibri Light" w:hAnsi="Calibri Light" w:cs="Calibri Light"/>
          <w:b/>
          <w:bCs/>
          <w:i/>
          <w:iCs/>
          <w:lang w:val="fr-BE"/>
        </w:rPr>
        <w:t xml:space="preserve">marchés </w:t>
      </w:r>
      <w:r w:rsidR="00410FE0">
        <w:rPr>
          <w:rFonts w:ascii="Calibri Light" w:hAnsi="Calibri Light" w:cs="Calibri Light"/>
          <w:b/>
          <w:bCs/>
          <w:i/>
          <w:iCs/>
          <w:lang w:val="fr-BE"/>
        </w:rPr>
        <w:t>de capitaux</w:t>
      </w:r>
      <w:r>
        <w:rPr>
          <w:rFonts w:ascii="Calibri Light" w:hAnsi="Calibri Light" w:cs="Calibri Light"/>
          <w:b/>
          <w:bCs/>
          <w:i/>
          <w:iCs/>
          <w:lang w:val="fr-BE"/>
        </w:rPr>
        <w:t xml:space="preserve"> </w:t>
      </w:r>
      <w:r w:rsidR="00A80C7C" w:rsidRPr="00A80C7C">
        <w:rPr>
          <w:rFonts w:ascii="Calibri Light" w:hAnsi="Calibri Light" w:cs="Calibri Light"/>
          <w:b/>
          <w:bCs/>
          <w:i/>
          <w:iCs/>
          <w:lang w:val="fr-BE"/>
        </w:rPr>
        <w:t xml:space="preserve">et l'économie </w:t>
      </w:r>
      <w:r w:rsidR="00410FE0">
        <w:rPr>
          <w:rFonts w:ascii="Calibri Light" w:hAnsi="Calibri Light" w:cs="Calibri Light"/>
          <w:b/>
          <w:bCs/>
          <w:i/>
          <w:iCs/>
          <w:lang w:val="fr-BE"/>
        </w:rPr>
        <w:t>–</w:t>
      </w:r>
      <w:r w:rsidR="00A80C7C" w:rsidRPr="00A80C7C">
        <w:rPr>
          <w:rFonts w:ascii="Calibri Light" w:hAnsi="Calibri Light" w:cs="Calibri Light"/>
          <w:b/>
          <w:bCs/>
          <w:i/>
          <w:iCs/>
          <w:lang w:val="fr-BE"/>
        </w:rPr>
        <w:t xml:space="preserve"> obtiennent trop souvent </w:t>
      </w:r>
      <w:r>
        <w:rPr>
          <w:rFonts w:ascii="Calibri Light" w:hAnsi="Calibri Light" w:cs="Calibri Light"/>
          <w:b/>
          <w:bCs/>
          <w:i/>
          <w:iCs/>
          <w:lang w:val="fr-BE"/>
        </w:rPr>
        <w:t xml:space="preserve">de médiocres rendements </w:t>
      </w:r>
      <w:r w:rsidR="00A80C7C" w:rsidRPr="00A80C7C">
        <w:rPr>
          <w:rFonts w:ascii="Calibri Light" w:hAnsi="Calibri Light" w:cs="Calibri Light"/>
          <w:b/>
          <w:bCs/>
          <w:i/>
          <w:iCs/>
          <w:lang w:val="fr-BE"/>
        </w:rPr>
        <w:t>réels nets à long terme. L'accès transfrontalier à des produits simples, comparables, rentables</w:t>
      </w:r>
      <w:r>
        <w:rPr>
          <w:rFonts w:ascii="Calibri Light" w:hAnsi="Calibri Light" w:cs="Calibri Light"/>
          <w:b/>
          <w:bCs/>
          <w:i/>
          <w:iCs/>
          <w:lang w:val="fr-BE"/>
        </w:rPr>
        <w:t xml:space="preserve">, </w:t>
      </w:r>
      <w:r w:rsidR="00A80C7C" w:rsidRPr="00A80C7C">
        <w:rPr>
          <w:rFonts w:ascii="Calibri Light" w:hAnsi="Calibri Light" w:cs="Calibri Light"/>
          <w:b/>
          <w:bCs/>
          <w:i/>
          <w:iCs/>
          <w:lang w:val="fr-BE"/>
        </w:rPr>
        <w:t xml:space="preserve">transparents </w:t>
      </w:r>
      <w:r>
        <w:rPr>
          <w:rFonts w:ascii="Calibri Light" w:hAnsi="Calibri Light" w:cs="Calibri Light"/>
          <w:b/>
          <w:bCs/>
          <w:i/>
          <w:iCs/>
          <w:lang w:val="fr-BE"/>
        </w:rPr>
        <w:t xml:space="preserve">et durablement rémunérateurs est essentiel pour l’épargne, </w:t>
      </w:r>
      <w:r w:rsidR="00410FE0">
        <w:rPr>
          <w:rFonts w:ascii="Calibri Light" w:hAnsi="Calibri Light" w:cs="Calibri Light"/>
          <w:b/>
          <w:bCs/>
          <w:i/>
          <w:iCs/>
          <w:lang w:val="fr-BE"/>
        </w:rPr>
        <w:t xml:space="preserve">ainsi que pour les </w:t>
      </w:r>
      <w:r>
        <w:rPr>
          <w:rFonts w:ascii="Calibri Light" w:hAnsi="Calibri Light" w:cs="Calibri Light"/>
          <w:b/>
          <w:bCs/>
          <w:i/>
          <w:iCs/>
          <w:lang w:val="fr-BE"/>
        </w:rPr>
        <w:t>investissements ».</w:t>
      </w:r>
      <w:r w:rsidR="00E73D2A">
        <w:rPr>
          <w:rFonts w:ascii="Calibri Light" w:hAnsi="Calibri Light" w:cs="Calibri Light"/>
          <w:b/>
          <w:bCs/>
          <w:i/>
          <w:iCs/>
          <w:lang w:val="fr-BE"/>
        </w:rPr>
        <w:t xml:space="preserve"> </w:t>
      </w:r>
      <w:r w:rsidR="00A80C7C" w:rsidRPr="00A80C7C">
        <w:rPr>
          <w:rFonts w:ascii="Calibri Light" w:hAnsi="Calibri Light" w:cs="Calibri Light"/>
          <w:lang w:val="fr-BE"/>
        </w:rPr>
        <w:t>(Préface</w:t>
      </w:r>
      <w:r>
        <w:rPr>
          <w:rFonts w:ascii="Calibri Light" w:hAnsi="Calibri Light" w:cs="Calibri Light"/>
          <w:lang w:val="fr-BE"/>
        </w:rPr>
        <w:t xml:space="preserve"> du rapport</w:t>
      </w:r>
      <w:r w:rsidR="00410FE0">
        <w:rPr>
          <w:rFonts w:ascii="Calibri Light" w:hAnsi="Calibri Light" w:cs="Calibri Light"/>
          <w:lang w:val="fr-BE"/>
        </w:rPr>
        <w:t xml:space="preserve"> rédigé par le président du Forum de </w:t>
      </w:r>
      <w:r>
        <w:rPr>
          <w:rFonts w:ascii="Calibri Light" w:hAnsi="Calibri Light" w:cs="Calibri Light"/>
          <w:lang w:val="fr-BE"/>
        </w:rPr>
        <w:t>haut niveau)</w:t>
      </w:r>
      <w:r w:rsidR="00503D2D">
        <w:rPr>
          <w:rFonts w:ascii="Calibri Light" w:hAnsi="Calibri Light" w:cs="Calibri Light"/>
          <w:lang w:val="fr-BE"/>
        </w:rPr>
        <w:t xml:space="preserve"> </w:t>
      </w:r>
    </w:p>
    <w:p w14:paraId="22114023" w14:textId="4D4E87B4" w:rsidR="007F0DCD" w:rsidRPr="00A80C7C" w:rsidRDefault="00A80C7C">
      <w:pPr>
        <w:spacing w:after="120" w:line="240" w:lineRule="auto"/>
        <w:jc w:val="both"/>
        <w:rPr>
          <w:rFonts w:ascii="Calibri Light" w:eastAsia="Times New Roman" w:hAnsi="Calibri Light" w:cs="Calibri Light"/>
          <w:lang w:val="fr-BE"/>
        </w:rPr>
      </w:pPr>
      <w:r w:rsidRPr="00A80C7C">
        <w:rPr>
          <w:rFonts w:ascii="Calibri Light" w:eastAsia="Times New Roman" w:hAnsi="Calibri Light" w:cs="Calibri Light"/>
          <w:lang w:val="fr-BE"/>
        </w:rPr>
        <w:t>Certaines des recommandations</w:t>
      </w:r>
      <w:r w:rsidR="00E73D2A">
        <w:rPr>
          <w:rFonts w:ascii="Calibri Light" w:eastAsia="Times New Roman" w:hAnsi="Calibri Light" w:cs="Calibri Light"/>
          <w:lang w:val="fr-BE"/>
        </w:rPr>
        <w:t xml:space="preserve"> de BF</w:t>
      </w:r>
      <w:r w:rsidRPr="00A80C7C">
        <w:rPr>
          <w:rFonts w:ascii="Calibri Light" w:eastAsia="Times New Roman" w:hAnsi="Calibri Light" w:cs="Calibri Light"/>
          <w:lang w:val="fr-BE"/>
        </w:rPr>
        <w:t xml:space="preserve"> sont présentées ci-dessous, </w:t>
      </w:r>
      <w:r w:rsidR="001C421E">
        <w:rPr>
          <w:rFonts w:ascii="Calibri Light" w:eastAsia="Times New Roman" w:hAnsi="Calibri Light" w:cs="Calibri Light"/>
          <w:lang w:val="fr-BE"/>
        </w:rPr>
        <w:t>et</w:t>
      </w:r>
      <w:r w:rsidRPr="00A80C7C">
        <w:rPr>
          <w:rFonts w:ascii="Calibri Light" w:eastAsia="Times New Roman" w:hAnsi="Calibri Light" w:cs="Calibri Light"/>
          <w:lang w:val="fr-BE"/>
        </w:rPr>
        <w:t xml:space="preserve"> la liste complète </w:t>
      </w:r>
      <w:r w:rsidR="00E73D2A">
        <w:rPr>
          <w:rFonts w:ascii="Calibri Light" w:eastAsia="Times New Roman" w:hAnsi="Calibri Light" w:cs="Calibri Light"/>
          <w:lang w:val="fr-BE"/>
        </w:rPr>
        <w:t xml:space="preserve">figure dans l’annexe à ce </w:t>
      </w:r>
      <w:r w:rsidRPr="00A80C7C">
        <w:rPr>
          <w:rFonts w:ascii="Calibri Light" w:eastAsia="Times New Roman" w:hAnsi="Calibri Light" w:cs="Calibri Light"/>
          <w:lang w:val="fr-BE"/>
        </w:rPr>
        <w:t>communiqué de presse.</w:t>
      </w:r>
    </w:p>
    <w:p w14:paraId="22114024" w14:textId="77777777" w:rsidR="007F0DCD" w:rsidRPr="00A80C7C" w:rsidRDefault="00A80C7C">
      <w:pPr>
        <w:spacing w:after="120" w:line="240" w:lineRule="auto"/>
        <w:jc w:val="both"/>
        <w:rPr>
          <w:lang w:val="fr-BE"/>
        </w:rPr>
      </w:pPr>
      <w:r w:rsidRPr="00A80C7C">
        <w:rPr>
          <w:rFonts w:ascii="Calibri Light" w:eastAsia="Times New Roman" w:hAnsi="Calibri Light" w:cs="Calibri Light"/>
          <w:b/>
          <w:bCs/>
          <w:i/>
          <w:iCs/>
          <w:lang w:val="fr-BE"/>
        </w:rPr>
        <w:t xml:space="preserve">Limiter les conflits d'intérêts dans la distribution </w:t>
      </w:r>
    </w:p>
    <w:p w14:paraId="22114025" w14:textId="2B53B811" w:rsidR="007F0DCD" w:rsidRPr="00A80C7C" w:rsidRDefault="001C421E">
      <w:pPr>
        <w:pStyle w:val="Default"/>
        <w:spacing w:after="120"/>
        <w:jc w:val="both"/>
        <w:rPr>
          <w:lang w:val="fr-BE"/>
        </w:rPr>
      </w:pPr>
      <w:r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La première chose à faire pour que les citoyens de l’UE, en tant qu’investisseurs, aient accès à </w:t>
      </w:r>
      <w:r w:rsidR="00E73D2A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des </w:t>
      </w:r>
      <w:r w:rsidR="00E73D2A"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>produits</w:t>
      </w:r>
      <w:r w:rsidR="00A80C7C"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 d'investissement simples et rentables, est de s'assurer qu'ils bénéficient de conseils financiers </w:t>
      </w:r>
      <w:r w:rsidR="00E73D2A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impartiaux. </w:t>
      </w:r>
      <w:r>
        <w:rPr>
          <w:rFonts w:ascii="Calibri Light" w:eastAsia="Times New Roman" w:hAnsi="Calibri Light" w:cs="Calibri Light"/>
          <w:sz w:val="22"/>
          <w:szCs w:val="22"/>
          <w:lang w:val="fr-BE"/>
        </w:rPr>
        <w:t>Même si</w:t>
      </w:r>
      <w:r w:rsidR="00A80C7C"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 le</w:t>
      </w:r>
      <w:r w:rsidR="00E73D2A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 Forum </w:t>
      </w:r>
      <w:r>
        <w:rPr>
          <w:rFonts w:ascii="Calibri Light" w:eastAsia="Times New Roman" w:hAnsi="Calibri Light" w:cs="Calibri Light"/>
          <w:sz w:val="22"/>
          <w:szCs w:val="22"/>
          <w:lang w:val="fr-BE"/>
        </w:rPr>
        <w:t>de haut niveau</w:t>
      </w:r>
      <w:r w:rsidR="00503D2D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 </w:t>
      </w:r>
      <w:r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n’a finalement pas recommandé qu’il soit mis fin aux </w:t>
      </w:r>
      <w:r w:rsidR="001A6618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avantages (« incitations » dans le </w:t>
      </w:r>
      <w:r w:rsidR="00A80C7C"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>jargon de l'UE)</w:t>
      </w:r>
      <w:r w:rsidR="001A6618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 versés aux</w:t>
      </w:r>
      <w:r w:rsidR="00503D2D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 </w:t>
      </w:r>
      <w:r w:rsidR="00A80C7C"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distributeurs de détail </w:t>
      </w:r>
      <w:r w:rsidR="001A6618">
        <w:rPr>
          <w:rFonts w:ascii="Calibri Light" w:eastAsia="Times New Roman" w:hAnsi="Calibri Light" w:cs="Calibri Light"/>
          <w:sz w:val="22"/>
          <w:szCs w:val="22"/>
          <w:lang w:val="fr-BE"/>
        </w:rPr>
        <w:t>« </w:t>
      </w:r>
      <w:r w:rsidR="00A80C7C"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>non indépendants</w:t>
      </w:r>
      <w:r w:rsidR="001A6618">
        <w:rPr>
          <w:rFonts w:ascii="Calibri Light" w:eastAsia="Times New Roman" w:hAnsi="Calibri Light" w:cs="Calibri Light"/>
          <w:sz w:val="22"/>
          <w:szCs w:val="22"/>
          <w:lang w:val="fr-BE"/>
        </w:rPr>
        <w:t> »</w:t>
      </w:r>
      <w:r w:rsidR="00503D2D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 </w:t>
      </w:r>
      <w:r w:rsidR="00A80C7C"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(sic) </w:t>
      </w:r>
      <w:r w:rsidR="001A6618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– </w:t>
      </w:r>
      <w:r w:rsidR="00A80C7C"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comme l'ont fait les Pays-Bas et le Royaume-Uni </w:t>
      </w:r>
      <w:r w:rsidR="001A6618">
        <w:rPr>
          <w:rFonts w:ascii="Calibri Light" w:eastAsia="Times New Roman" w:hAnsi="Calibri Light" w:cs="Calibri Light"/>
          <w:sz w:val="22"/>
          <w:szCs w:val="22"/>
          <w:lang w:val="fr-BE"/>
        </w:rPr>
        <w:t>–</w:t>
      </w:r>
      <w:r w:rsidR="00E73D2A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, </w:t>
      </w:r>
      <w:r w:rsidR="001A6618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il demande </w:t>
      </w:r>
      <w:r w:rsidR="00A80C7C"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à la Commission européenne d'examiner en particulier </w:t>
      </w:r>
      <w:r w:rsidR="001A6618">
        <w:rPr>
          <w:rFonts w:ascii="Calibri Light" w:eastAsia="Times New Roman" w:hAnsi="Calibri Light" w:cs="Calibri Light"/>
          <w:i/>
          <w:iCs/>
          <w:sz w:val="22"/>
          <w:szCs w:val="22"/>
          <w:lang w:val="fr-BE"/>
        </w:rPr>
        <w:t>« l</w:t>
      </w:r>
      <w:r w:rsidR="00E73D2A">
        <w:rPr>
          <w:rFonts w:ascii="Calibri Light" w:eastAsia="Times New Roman" w:hAnsi="Calibri Light" w:cs="Calibri Light"/>
          <w:i/>
          <w:iCs/>
          <w:sz w:val="22"/>
          <w:szCs w:val="22"/>
          <w:lang w:val="fr-BE"/>
        </w:rPr>
        <w:t xml:space="preserve">e rôle </w:t>
      </w:r>
      <w:r w:rsidR="00A80C7C" w:rsidRPr="00A80C7C">
        <w:rPr>
          <w:rFonts w:ascii="Calibri Light" w:eastAsia="Times New Roman" w:hAnsi="Calibri Light" w:cs="Calibri Light"/>
          <w:i/>
          <w:iCs/>
          <w:sz w:val="22"/>
          <w:szCs w:val="22"/>
          <w:lang w:val="fr-BE"/>
        </w:rPr>
        <w:t>des incitations</w:t>
      </w:r>
      <w:r w:rsidR="001A6618">
        <w:rPr>
          <w:rFonts w:ascii="Calibri Light" w:eastAsia="Times New Roman" w:hAnsi="Calibri Light" w:cs="Calibri Light"/>
          <w:i/>
          <w:iCs/>
          <w:sz w:val="22"/>
          <w:szCs w:val="22"/>
          <w:lang w:val="fr-BE"/>
        </w:rPr>
        <w:t xml:space="preserve"> </w:t>
      </w:r>
      <w:r w:rsidR="00E73D2A">
        <w:rPr>
          <w:rFonts w:ascii="Calibri Light" w:eastAsia="Times New Roman" w:hAnsi="Calibri Light" w:cs="Calibri Light"/>
          <w:i/>
          <w:iCs/>
          <w:sz w:val="22"/>
          <w:szCs w:val="22"/>
          <w:lang w:val="fr-BE"/>
        </w:rPr>
        <w:t xml:space="preserve">pour </w:t>
      </w:r>
      <w:r w:rsidR="00A80C7C" w:rsidRPr="00A80C7C">
        <w:rPr>
          <w:rFonts w:ascii="Calibri Light" w:eastAsia="Times New Roman" w:hAnsi="Calibri Light" w:cs="Calibri Light"/>
          <w:i/>
          <w:iCs/>
          <w:sz w:val="22"/>
          <w:szCs w:val="22"/>
          <w:lang w:val="fr-BE"/>
        </w:rPr>
        <w:t>l'adéquation des conseils</w:t>
      </w:r>
      <w:r w:rsidR="001A6618">
        <w:rPr>
          <w:rFonts w:ascii="Calibri Light" w:eastAsia="Times New Roman" w:hAnsi="Calibri Light" w:cs="Calibri Light"/>
          <w:sz w:val="22"/>
          <w:szCs w:val="22"/>
          <w:lang w:val="fr-BE"/>
        </w:rPr>
        <w:t> »</w:t>
      </w:r>
      <w:r w:rsidR="00A80C7C"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 et </w:t>
      </w:r>
      <w:r w:rsidR="001A6618" w:rsidRPr="001A6618">
        <w:rPr>
          <w:rFonts w:ascii="Calibri Light" w:eastAsia="Times New Roman" w:hAnsi="Calibri Light" w:cs="Calibri Light"/>
          <w:sz w:val="22"/>
          <w:szCs w:val="22"/>
          <w:lang w:val="fr-BE"/>
        </w:rPr>
        <w:t>« </w:t>
      </w:r>
      <w:r w:rsidR="00A80C7C" w:rsidRPr="00A80C7C">
        <w:rPr>
          <w:rFonts w:ascii="Calibri Light" w:hAnsi="Calibri Light" w:cs="Calibri Light"/>
          <w:i/>
          <w:iCs/>
          <w:sz w:val="22"/>
          <w:szCs w:val="22"/>
          <w:lang w:val="fr-BE"/>
        </w:rPr>
        <w:t>comment les</w:t>
      </w:r>
      <w:r w:rsidR="001A6618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 dispositions</w:t>
      </w:r>
      <w:r w:rsidR="00E73D2A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 de la DDA</w:t>
      </w:r>
      <w:r w:rsidR="001A6618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 sur les incitations</w:t>
      </w:r>
      <w:r w:rsidR="00E73D2A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 </w:t>
      </w:r>
      <w:r w:rsidR="001A6618">
        <w:rPr>
          <w:rFonts w:ascii="Calibri Light" w:hAnsi="Calibri Light" w:cs="Calibri Light"/>
          <w:i/>
          <w:iCs/>
          <w:sz w:val="22"/>
          <w:szCs w:val="22"/>
          <w:lang w:val="fr-BE"/>
        </w:rPr>
        <w:t>p</w:t>
      </w:r>
      <w:r w:rsidR="00A80C7C" w:rsidRPr="00A80C7C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euvent garantir </w:t>
      </w:r>
      <w:r w:rsidR="001A6618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aux consommateurs un </w:t>
      </w:r>
      <w:r w:rsidR="00A80C7C" w:rsidRPr="00A80C7C">
        <w:rPr>
          <w:rFonts w:ascii="Calibri Light" w:hAnsi="Calibri Light" w:cs="Calibri Light"/>
          <w:i/>
          <w:iCs/>
          <w:sz w:val="22"/>
          <w:szCs w:val="22"/>
          <w:lang w:val="fr-BE"/>
        </w:rPr>
        <w:t>niveau de protection</w:t>
      </w:r>
      <w:r w:rsidR="001A6618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 </w:t>
      </w:r>
      <w:r w:rsidR="00A80C7C" w:rsidRPr="00A80C7C">
        <w:rPr>
          <w:rFonts w:ascii="Calibri Light" w:hAnsi="Calibri Light" w:cs="Calibri Light"/>
          <w:i/>
          <w:iCs/>
          <w:sz w:val="22"/>
          <w:szCs w:val="22"/>
          <w:lang w:val="fr-BE"/>
        </w:rPr>
        <w:t>suffisant, conforme aux normes de protection des investisseurs applicables</w:t>
      </w:r>
      <w:r w:rsidR="003A2DBC">
        <w:rPr>
          <w:rFonts w:ascii="Calibri Light" w:hAnsi="Calibri Light" w:cs="Calibri Light"/>
          <w:i/>
          <w:iCs/>
          <w:sz w:val="22"/>
          <w:szCs w:val="22"/>
          <w:lang w:val="fr-BE"/>
        </w:rPr>
        <w:t>,</w:t>
      </w:r>
      <w:r w:rsidR="00A80C7C" w:rsidRPr="00A80C7C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 </w:t>
      </w:r>
      <w:r w:rsidR="001A6618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au titre de la </w:t>
      </w:r>
      <w:proofErr w:type="spellStart"/>
      <w:r w:rsidR="001A6618">
        <w:rPr>
          <w:rFonts w:ascii="Calibri Light" w:hAnsi="Calibri Light" w:cs="Calibri Light"/>
          <w:i/>
          <w:iCs/>
          <w:sz w:val="22"/>
          <w:szCs w:val="22"/>
          <w:lang w:val="fr-BE"/>
        </w:rPr>
        <w:t>MiFID</w:t>
      </w:r>
      <w:proofErr w:type="spellEnd"/>
      <w:r w:rsidR="001A6618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 </w:t>
      </w:r>
      <w:r w:rsidR="00A80C7C" w:rsidRPr="00A80C7C">
        <w:rPr>
          <w:rFonts w:ascii="Calibri Light" w:hAnsi="Calibri Light" w:cs="Calibri Light"/>
          <w:i/>
          <w:iCs/>
          <w:sz w:val="22"/>
          <w:szCs w:val="22"/>
          <w:lang w:val="fr-BE"/>
        </w:rPr>
        <w:t>II</w:t>
      </w:r>
      <w:r w:rsidR="003A2DBC">
        <w:rPr>
          <w:rFonts w:ascii="Calibri Light" w:hAnsi="Calibri Light" w:cs="Calibri Light"/>
          <w:i/>
          <w:iCs/>
          <w:sz w:val="22"/>
          <w:szCs w:val="22"/>
          <w:lang w:val="fr-BE"/>
        </w:rPr>
        <w:t>,</w:t>
      </w:r>
      <w:r w:rsidR="00E73D2A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 aux </w:t>
      </w:r>
      <w:r w:rsidR="00A80C7C" w:rsidRPr="00A80C7C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produits d'investissement </w:t>
      </w:r>
      <w:r w:rsidR="001A6618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fondés sur l’assurance ». </w:t>
      </w:r>
      <w:r w:rsidR="00A80C7C"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Ces </w:t>
      </w:r>
      <w:r w:rsidR="001A6618">
        <w:rPr>
          <w:rFonts w:ascii="Calibri Light" w:eastAsia="Times New Roman" w:hAnsi="Calibri Light" w:cs="Calibri Light"/>
          <w:sz w:val="22"/>
          <w:szCs w:val="22"/>
          <w:lang w:val="fr-BE"/>
        </w:rPr>
        <w:t>analyses d</w:t>
      </w:r>
      <w:r w:rsidR="00A80C7C"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evraient </w:t>
      </w:r>
      <w:r w:rsidR="001A6618">
        <w:rPr>
          <w:rFonts w:ascii="Calibri Light" w:eastAsia="Times New Roman" w:hAnsi="Calibri Light" w:cs="Calibri Light"/>
          <w:sz w:val="22"/>
          <w:szCs w:val="22"/>
          <w:lang w:val="fr-BE"/>
        </w:rPr>
        <w:t>déboucher sur des p</w:t>
      </w:r>
      <w:r w:rsidR="00A80C7C"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>ropositions législatives appropriées.</w:t>
      </w:r>
    </w:p>
    <w:p w14:paraId="22114026" w14:textId="32D193FC" w:rsidR="007F0DCD" w:rsidRPr="00A80C7C" w:rsidRDefault="00A80C7C">
      <w:pPr>
        <w:pStyle w:val="Default"/>
        <w:spacing w:after="120"/>
        <w:jc w:val="both"/>
        <w:rPr>
          <w:rFonts w:ascii="Calibri Light" w:eastAsia="Times New Roman" w:hAnsi="Calibri Light" w:cs="Calibri Light"/>
          <w:b/>
          <w:bCs/>
          <w:i/>
          <w:iCs/>
          <w:sz w:val="22"/>
          <w:szCs w:val="22"/>
          <w:lang w:val="fr-BE"/>
        </w:rPr>
      </w:pPr>
      <w:r w:rsidRPr="00A80C7C">
        <w:rPr>
          <w:rFonts w:ascii="Calibri Light" w:eastAsia="Times New Roman" w:hAnsi="Calibri Light" w:cs="Calibri Light"/>
          <w:b/>
          <w:bCs/>
          <w:i/>
          <w:iCs/>
          <w:sz w:val="22"/>
          <w:szCs w:val="22"/>
          <w:lang w:val="fr-BE"/>
        </w:rPr>
        <w:t>Vers une</w:t>
      </w:r>
      <w:r w:rsidR="001A6618">
        <w:rPr>
          <w:rFonts w:ascii="Calibri Light" w:eastAsia="Times New Roman" w:hAnsi="Calibri Light" w:cs="Calibri Light"/>
          <w:b/>
          <w:bCs/>
          <w:i/>
          <w:iCs/>
          <w:sz w:val="22"/>
          <w:szCs w:val="22"/>
          <w:lang w:val="fr-BE"/>
        </w:rPr>
        <w:t xml:space="preserve"> communication d’informations clés claires, impartiales, </w:t>
      </w:r>
      <w:r w:rsidRPr="00A80C7C">
        <w:rPr>
          <w:rFonts w:ascii="Calibri Light" w:eastAsia="Times New Roman" w:hAnsi="Calibri Light" w:cs="Calibri Light"/>
          <w:b/>
          <w:bCs/>
          <w:i/>
          <w:iCs/>
          <w:sz w:val="22"/>
          <w:szCs w:val="22"/>
          <w:lang w:val="fr-BE"/>
        </w:rPr>
        <w:t>non trompeuse</w:t>
      </w:r>
      <w:r w:rsidR="001A6618">
        <w:rPr>
          <w:rFonts w:ascii="Calibri Light" w:eastAsia="Times New Roman" w:hAnsi="Calibri Light" w:cs="Calibri Light"/>
          <w:b/>
          <w:bCs/>
          <w:i/>
          <w:iCs/>
          <w:sz w:val="22"/>
          <w:szCs w:val="22"/>
          <w:lang w:val="fr-BE"/>
        </w:rPr>
        <w:t>s</w:t>
      </w:r>
      <w:r w:rsidRPr="00A80C7C">
        <w:rPr>
          <w:rFonts w:ascii="Calibri Light" w:eastAsia="Times New Roman" w:hAnsi="Calibri Light" w:cs="Calibri Light"/>
          <w:b/>
          <w:bCs/>
          <w:i/>
          <w:iCs/>
          <w:sz w:val="22"/>
          <w:szCs w:val="22"/>
          <w:lang w:val="fr-BE"/>
        </w:rPr>
        <w:t xml:space="preserve"> et comparable</w:t>
      </w:r>
      <w:r w:rsidR="001A6618">
        <w:rPr>
          <w:rFonts w:ascii="Calibri Light" w:eastAsia="Times New Roman" w:hAnsi="Calibri Light" w:cs="Calibri Light"/>
          <w:b/>
          <w:bCs/>
          <w:i/>
          <w:iCs/>
          <w:sz w:val="22"/>
          <w:szCs w:val="22"/>
          <w:lang w:val="fr-BE"/>
        </w:rPr>
        <w:t>s</w:t>
      </w:r>
      <w:r w:rsidR="00503D2D">
        <w:rPr>
          <w:rFonts w:ascii="Calibri Light" w:eastAsia="Times New Roman" w:hAnsi="Calibri Light" w:cs="Calibri Light"/>
          <w:b/>
          <w:bCs/>
          <w:i/>
          <w:iCs/>
          <w:sz w:val="22"/>
          <w:szCs w:val="22"/>
          <w:lang w:val="fr-BE"/>
        </w:rPr>
        <w:t xml:space="preserve"> </w:t>
      </w:r>
    </w:p>
    <w:p w14:paraId="22114027" w14:textId="479BBDA4" w:rsidR="007F0DCD" w:rsidRPr="00A80C7C" w:rsidRDefault="00A80C7C">
      <w:pPr>
        <w:pStyle w:val="Default"/>
        <w:spacing w:after="120"/>
        <w:jc w:val="both"/>
        <w:rPr>
          <w:lang w:val="fr-BE"/>
        </w:rPr>
      </w:pPr>
      <w:r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lastRenderedPageBreak/>
        <w:t xml:space="preserve">En outre, le rapport tient compte des appels </w:t>
      </w:r>
      <w:r w:rsidR="001A6618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réitérés de </w:t>
      </w:r>
      <w:r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>BETTER FINANCE</w:t>
      </w:r>
      <w:r w:rsidR="00E73D2A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 </w:t>
      </w:r>
      <w:r w:rsidR="003A2DBC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à </w:t>
      </w:r>
      <w:r w:rsidR="00E73D2A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une </w:t>
      </w:r>
      <w:r w:rsidR="001A6618">
        <w:rPr>
          <w:rFonts w:ascii="Calibri Light" w:eastAsia="Times New Roman" w:hAnsi="Calibri Light" w:cs="Calibri Light"/>
          <w:sz w:val="22"/>
          <w:szCs w:val="22"/>
          <w:lang w:val="fr-BE"/>
        </w:rPr>
        <w:t>amélioration de la communication d’informations clés</w:t>
      </w:r>
      <w:r w:rsidR="009A7736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 pour les produits d’investissements packagés de détail et fondés sur l’assurance (« </w:t>
      </w:r>
      <w:r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>PRIIP</w:t>
      </w:r>
      <w:r w:rsidR="009A7736">
        <w:rPr>
          <w:rFonts w:ascii="Calibri Light" w:eastAsia="Times New Roman" w:hAnsi="Calibri Light" w:cs="Calibri Light"/>
          <w:sz w:val="22"/>
          <w:szCs w:val="22"/>
          <w:lang w:val="fr-BE"/>
        </w:rPr>
        <w:t> »</w:t>
      </w:r>
      <w:r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>)</w:t>
      </w:r>
      <w:r w:rsidR="009A7736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 puisqu</w:t>
      </w:r>
      <w:r w:rsidR="00E73D2A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e le Forum de haut niveau </w:t>
      </w:r>
      <w:r w:rsidR="009A7736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demande à la </w:t>
      </w:r>
      <w:r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Commission européenne </w:t>
      </w:r>
      <w:r w:rsidR="009A7736" w:rsidRPr="009A7736">
        <w:rPr>
          <w:rFonts w:ascii="Calibri Light" w:eastAsia="Times New Roman" w:hAnsi="Calibri Light" w:cs="Calibri Light"/>
          <w:i/>
          <w:iCs/>
          <w:sz w:val="22"/>
          <w:szCs w:val="22"/>
          <w:lang w:val="fr-BE"/>
        </w:rPr>
        <w:t>«</w:t>
      </w:r>
      <w:r w:rsidR="009A7736">
        <w:rPr>
          <w:rFonts w:ascii="Calibri Light" w:eastAsia="Times New Roman" w:hAnsi="Calibri Light" w:cs="Calibri Light"/>
          <w:sz w:val="22"/>
          <w:szCs w:val="22"/>
          <w:lang w:val="fr-BE"/>
        </w:rPr>
        <w:t> </w:t>
      </w:r>
      <w:r w:rsidR="009A7736">
        <w:rPr>
          <w:rFonts w:ascii="Calibri Light" w:eastAsia="Times New Roman" w:hAnsi="Calibri Light" w:cs="Calibri Light"/>
          <w:i/>
          <w:iCs/>
          <w:sz w:val="22"/>
          <w:szCs w:val="22"/>
          <w:lang w:val="fr-BE"/>
        </w:rPr>
        <w:t xml:space="preserve">de réexaminer dès que possible </w:t>
      </w:r>
      <w:r w:rsidR="009A7736">
        <w:rPr>
          <w:rFonts w:ascii="Calibri Light" w:hAnsi="Calibri Light" w:cs="Calibri Light"/>
          <w:i/>
          <w:iCs/>
          <w:sz w:val="22"/>
          <w:szCs w:val="22"/>
          <w:lang w:val="fr-BE"/>
        </w:rPr>
        <w:t>le règlement PRIIP</w:t>
      </w:r>
      <w:r w:rsidRPr="00A80C7C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, et </w:t>
      </w:r>
      <w:r w:rsidR="009A7736">
        <w:rPr>
          <w:rFonts w:ascii="Calibri Light" w:hAnsi="Calibri Light" w:cs="Calibri Light"/>
          <w:i/>
          <w:iCs/>
          <w:sz w:val="22"/>
          <w:szCs w:val="22"/>
          <w:lang w:val="fr-BE"/>
        </w:rPr>
        <w:t>suffisamment tôt pour éviter tout</w:t>
      </w:r>
      <w:r w:rsidR="00E73D2A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 conflit lié </w:t>
      </w:r>
      <w:r w:rsidR="009A7736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à l’expiration de l’exemption pour </w:t>
      </w:r>
      <w:r w:rsidRPr="00A80C7C">
        <w:rPr>
          <w:rFonts w:ascii="Calibri Light" w:hAnsi="Calibri Light" w:cs="Calibri Light"/>
          <w:i/>
          <w:iCs/>
          <w:sz w:val="22"/>
          <w:szCs w:val="22"/>
          <w:lang w:val="fr-BE"/>
        </w:rPr>
        <w:t>les OPCVM,</w:t>
      </w:r>
      <w:r w:rsidR="009A7736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 ceci afin de </w:t>
      </w:r>
      <w:r w:rsidRPr="00A80C7C">
        <w:rPr>
          <w:rFonts w:ascii="Calibri Light" w:hAnsi="Calibri Light" w:cs="Calibri Light"/>
          <w:i/>
          <w:iCs/>
          <w:sz w:val="22"/>
          <w:szCs w:val="22"/>
          <w:lang w:val="fr-BE"/>
        </w:rPr>
        <w:t>répondre aux questions soulevées par la plupart des parties</w:t>
      </w:r>
      <w:r w:rsidR="009A7736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 </w:t>
      </w:r>
      <w:r w:rsidR="00E73D2A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prenantes </w:t>
      </w:r>
      <w:r w:rsidRPr="00A80C7C">
        <w:rPr>
          <w:rFonts w:ascii="Calibri Light" w:hAnsi="Calibri Light" w:cs="Calibri Light"/>
          <w:i/>
          <w:iCs/>
          <w:sz w:val="22"/>
          <w:szCs w:val="22"/>
          <w:lang w:val="fr-BE"/>
        </w:rPr>
        <w:t>concernant l'intelligibilité et la comparabilité des informations et la cohérence avec les</w:t>
      </w:r>
      <w:r w:rsidR="009A7736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 dispositions de la </w:t>
      </w:r>
      <w:proofErr w:type="spellStart"/>
      <w:r w:rsidRPr="00A80C7C">
        <w:rPr>
          <w:rFonts w:ascii="Calibri Light" w:hAnsi="Calibri Light" w:cs="Calibri Light"/>
          <w:i/>
          <w:iCs/>
          <w:sz w:val="22"/>
          <w:szCs w:val="22"/>
          <w:lang w:val="fr-BE"/>
        </w:rPr>
        <w:t>M</w:t>
      </w:r>
      <w:r w:rsidR="009A7736">
        <w:rPr>
          <w:rFonts w:ascii="Calibri Light" w:hAnsi="Calibri Light" w:cs="Calibri Light"/>
          <w:i/>
          <w:iCs/>
          <w:sz w:val="22"/>
          <w:szCs w:val="22"/>
          <w:lang w:val="fr-BE"/>
        </w:rPr>
        <w:t>i</w:t>
      </w:r>
      <w:r w:rsidRPr="00A80C7C">
        <w:rPr>
          <w:rFonts w:ascii="Calibri Light" w:hAnsi="Calibri Light" w:cs="Calibri Light"/>
          <w:i/>
          <w:iCs/>
          <w:sz w:val="22"/>
          <w:szCs w:val="22"/>
          <w:lang w:val="fr-BE"/>
        </w:rPr>
        <w:t>FID</w:t>
      </w:r>
      <w:proofErr w:type="spellEnd"/>
      <w:r w:rsidR="009A7736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 sur l’information, </w:t>
      </w:r>
      <w:r w:rsidRPr="00A80C7C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en particulier </w:t>
      </w:r>
      <w:r w:rsidR="009A7736">
        <w:rPr>
          <w:rFonts w:ascii="Calibri Light" w:hAnsi="Calibri Light" w:cs="Calibri Light"/>
          <w:i/>
          <w:iCs/>
          <w:sz w:val="22"/>
          <w:szCs w:val="22"/>
          <w:lang w:val="fr-BE"/>
        </w:rPr>
        <w:t>la communication des performances et des coûts. »</w:t>
      </w:r>
      <w:r w:rsidR="00503D2D">
        <w:rPr>
          <w:rFonts w:ascii="Calibri Light" w:hAnsi="Calibri Light" w:cs="Calibri Light"/>
          <w:i/>
          <w:iCs/>
          <w:sz w:val="22"/>
          <w:szCs w:val="22"/>
          <w:lang w:val="fr-BE"/>
        </w:rPr>
        <w:t xml:space="preserve"> </w:t>
      </w:r>
      <w:r w:rsidRPr="00A80C7C">
        <w:rPr>
          <w:rFonts w:ascii="Calibri Light" w:hAnsi="Calibri Light" w:cs="Calibri Light"/>
          <w:sz w:val="22"/>
          <w:szCs w:val="22"/>
          <w:lang w:val="fr-BE"/>
        </w:rPr>
        <w:t xml:space="preserve">Des </w:t>
      </w:r>
      <w:r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documents d'information </w:t>
      </w:r>
      <w:r w:rsidR="00E73D2A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appropriés </w:t>
      </w:r>
      <w:r w:rsidR="009A7736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et </w:t>
      </w:r>
      <w:r w:rsidRPr="00A80C7C">
        <w:rPr>
          <w:rFonts w:ascii="Calibri Light" w:eastAsia="Times New Roman" w:hAnsi="Calibri Light" w:cs="Calibri Light"/>
          <w:sz w:val="22"/>
          <w:szCs w:val="22"/>
          <w:lang w:val="fr-BE"/>
        </w:rPr>
        <w:t xml:space="preserve">clairs sont une condition préalable pour permettre aux consommateurs de comparer les produits et de prendre des décisions d'investissement </w:t>
      </w:r>
      <w:r w:rsidR="009A7736">
        <w:rPr>
          <w:rFonts w:ascii="Calibri Light" w:eastAsia="Times New Roman" w:hAnsi="Calibri Light" w:cs="Calibri Light"/>
          <w:sz w:val="22"/>
          <w:szCs w:val="22"/>
          <w:lang w:val="fr-BE"/>
        </w:rPr>
        <w:t>éclairées.</w:t>
      </w:r>
    </w:p>
    <w:p w14:paraId="22114028" w14:textId="77777777" w:rsidR="007F0DCD" w:rsidRPr="00A80C7C" w:rsidRDefault="007F0DCD">
      <w:pPr>
        <w:pStyle w:val="Default"/>
        <w:spacing w:after="120"/>
        <w:jc w:val="both"/>
        <w:rPr>
          <w:rFonts w:ascii="Calibri Light" w:eastAsia="Times New Roman" w:hAnsi="Calibri Light" w:cs="Calibri Light"/>
          <w:sz w:val="22"/>
          <w:szCs w:val="22"/>
          <w:lang w:val="fr-BE"/>
        </w:rPr>
      </w:pPr>
    </w:p>
    <w:p w14:paraId="22114029" w14:textId="77777777" w:rsidR="007F0DCD" w:rsidRPr="00A80C7C" w:rsidRDefault="00A80C7C">
      <w:pPr>
        <w:pStyle w:val="Default"/>
        <w:spacing w:after="120"/>
        <w:jc w:val="both"/>
        <w:rPr>
          <w:rFonts w:ascii="Calibri Light" w:eastAsia="Times New Roman" w:hAnsi="Calibri Light" w:cs="Calibri Light"/>
          <w:b/>
          <w:bCs/>
          <w:i/>
          <w:iCs/>
          <w:sz w:val="22"/>
          <w:szCs w:val="22"/>
          <w:lang w:val="fr-BE"/>
        </w:rPr>
      </w:pPr>
      <w:r w:rsidRPr="00A80C7C">
        <w:rPr>
          <w:rFonts w:ascii="Calibri Light" w:eastAsia="Times New Roman" w:hAnsi="Calibri Light" w:cs="Calibri Light"/>
          <w:b/>
          <w:bCs/>
          <w:i/>
          <w:iCs/>
          <w:sz w:val="22"/>
          <w:szCs w:val="22"/>
          <w:lang w:val="fr-BE"/>
        </w:rPr>
        <w:t xml:space="preserve">Rétablir la confiance des citoyens dans les marchés d'actions </w:t>
      </w:r>
    </w:p>
    <w:p w14:paraId="2211402A" w14:textId="0E0884A9" w:rsidR="007F0DCD" w:rsidRPr="00A80C7C" w:rsidRDefault="00A80C7C">
      <w:pPr>
        <w:spacing w:after="120" w:line="240" w:lineRule="auto"/>
        <w:jc w:val="both"/>
        <w:rPr>
          <w:rFonts w:ascii="Calibri Light" w:eastAsia="Times New Roman" w:hAnsi="Calibri Light" w:cs="Calibri Light"/>
          <w:lang w:val="fr-BE"/>
        </w:rPr>
      </w:pPr>
      <w:r w:rsidRPr="00A80C7C">
        <w:rPr>
          <w:rFonts w:ascii="Calibri Light" w:eastAsia="Times New Roman" w:hAnsi="Calibri Light" w:cs="Calibri Light"/>
          <w:lang w:val="fr-BE"/>
        </w:rPr>
        <w:t xml:space="preserve">Le </w:t>
      </w:r>
      <w:r w:rsidR="00E73D2A">
        <w:rPr>
          <w:rFonts w:ascii="Calibri Light" w:eastAsia="Times New Roman" w:hAnsi="Calibri Light" w:cs="Calibri Light"/>
          <w:lang w:val="fr-BE"/>
        </w:rPr>
        <w:t>Forum</w:t>
      </w:r>
      <w:r w:rsidR="009A7736">
        <w:rPr>
          <w:rFonts w:ascii="Calibri Light" w:eastAsia="Times New Roman" w:hAnsi="Calibri Light" w:cs="Calibri Light"/>
          <w:lang w:val="fr-BE"/>
        </w:rPr>
        <w:t xml:space="preserve"> de haut niveau </w:t>
      </w:r>
      <w:r w:rsidR="00257A47">
        <w:rPr>
          <w:rFonts w:ascii="Calibri Light" w:eastAsia="Times New Roman" w:hAnsi="Calibri Light" w:cs="Calibri Light"/>
          <w:lang w:val="fr-BE"/>
        </w:rPr>
        <w:t>r</w:t>
      </w:r>
      <w:r w:rsidRPr="00A80C7C">
        <w:rPr>
          <w:rFonts w:ascii="Calibri Light" w:eastAsia="Times New Roman" w:hAnsi="Calibri Light" w:cs="Calibri Light"/>
          <w:lang w:val="fr-BE"/>
        </w:rPr>
        <w:t xml:space="preserve">ecommande également de cesser d'exclure les </w:t>
      </w:r>
      <w:r w:rsidR="009A7736">
        <w:rPr>
          <w:rFonts w:ascii="Calibri Light" w:eastAsia="Times New Roman" w:hAnsi="Calibri Light" w:cs="Calibri Light"/>
          <w:lang w:val="fr-BE"/>
        </w:rPr>
        <w:t>particuliers qui investissent dans des actions et des obligations cotées en bourse</w:t>
      </w:r>
      <w:r w:rsidR="00257A47">
        <w:rPr>
          <w:rFonts w:ascii="Calibri Light" w:eastAsia="Times New Roman" w:hAnsi="Calibri Light" w:cs="Calibri Light"/>
          <w:lang w:val="fr-BE"/>
        </w:rPr>
        <w:t xml:space="preserve"> du projet de cadre de recours collectif</w:t>
      </w:r>
      <w:r w:rsidR="00E73D2A">
        <w:rPr>
          <w:rFonts w:ascii="Calibri Light" w:eastAsia="Times New Roman" w:hAnsi="Calibri Light" w:cs="Calibri Light"/>
          <w:lang w:val="fr-BE"/>
        </w:rPr>
        <w:t>,</w:t>
      </w:r>
      <w:r w:rsidR="00257A47">
        <w:rPr>
          <w:rFonts w:ascii="Calibri Light" w:eastAsia="Times New Roman" w:hAnsi="Calibri Light" w:cs="Calibri Light"/>
          <w:lang w:val="fr-BE"/>
        </w:rPr>
        <w:t xml:space="preserve"> </w:t>
      </w:r>
      <w:r w:rsidRPr="00A80C7C">
        <w:rPr>
          <w:rFonts w:ascii="Calibri Light" w:eastAsia="Times New Roman" w:hAnsi="Calibri Light" w:cs="Calibri Light"/>
          <w:lang w:val="fr-BE"/>
        </w:rPr>
        <w:t>de promouvoir les plans d'actionnariat salarié (ESOP)</w:t>
      </w:r>
      <w:r w:rsidR="003A2DBC">
        <w:rPr>
          <w:rFonts w:ascii="Calibri Light" w:eastAsia="Times New Roman" w:hAnsi="Calibri Light" w:cs="Calibri Light"/>
          <w:lang w:val="fr-BE"/>
        </w:rPr>
        <w:t xml:space="preserve"> –</w:t>
      </w:r>
      <w:r w:rsidR="00E73D2A">
        <w:rPr>
          <w:rFonts w:ascii="Calibri Light" w:eastAsia="Times New Roman" w:hAnsi="Calibri Light" w:cs="Calibri Light"/>
          <w:lang w:val="fr-BE"/>
        </w:rPr>
        <w:t xml:space="preserve"> un </w:t>
      </w:r>
      <w:r w:rsidRPr="00A80C7C">
        <w:rPr>
          <w:rFonts w:ascii="Calibri Light" w:eastAsia="Times New Roman" w:hAnsi="Calibri Light" w:cs="Calibri Light"/>
          <w:lang w:val="fr-BE"/>
        </w:rPr>
        <w:t xml:space="preserve">moyen efficace de mieux financer les PME (à ce jour, les ESOP </w:t>
      </w:r>
      <w:r w:rsidR="00257A47">
        <w:rPr>
          <w:rFonts w:ascii="Calibri Light" w:eastAsia="Times New Roman" w:hAnsi="Calibri Light" w:cs="Calibri Light"/>
          <w:lang w:val="fr-BE"/>
        </w:rPr>
        <w:t xml:space="preserve">américaines </w:t>
      </w:r>
      <w:r w:rsidRPr="00A80C7C">
        <w:rPr>
          <w:rFonts w:ascii="Calibri Light" w:eastAsia="Times New Roman" w:hAnsi="Calibri Light" w:cs="Calibri Light"/>
          <w:lang w:val="fr-BE"/>
        </w:rPr>
        <w:t>ont investi... cent fois plus dans des PME non cotées</w:t>
      </w:r>
      <w:r w:rsidR="00257A47">
        <w:rPr>
          <w:rFonts w:ascii="Calibri Light" w:eastAsia="Times New Roman" w:hAnsi="Calibri Light" w:cs="Calibri Light"/>
          <w:lang w:val="fr-BE"/>
        </w:rPr>
        <w:t xml:space="preserve"> </w:t>
      </w:r>
      <w:r w:rsidR="00E73D2A">
        <w:rPr>
          <w:rFonts w:ascii="Calibri Light" w:eastAsia="Times New Roman" w:hAnsi="Calibri Light" w:cs="Calibri Light"/>
          <w:lang w:val="fr-BE"/>
        </w:rPr>
        <w:t xml:space="preserve">en bourse </w:t>
      </w:r>
      <w:r w:rsidR="00257A47">
        <w:rPr>
          <w:rFonts w:ascii="Calibri Light" w:eastAsia="Times New Roman" w:hAnsi="Calibri Light" w:cs="Calibri Light"/>
          <w:lang w:val="fr-BE"/>
        </w:rPr>
        <w:t>que leurs homologues européens</w:t>
      </w:r>
      <w:r w:rsidRPr="00A80C7C">
        <w:rPr>
          <w:rFonts w:ascii="Calibri Light" w:eastAsia="Times New Roman" w:hAnsi="Calibri Light" w:cs="Calibri Light"/>
          <w:lang w:val="fr-BE"/>
        </w:rPr>
        <w:t xml:space="preserve">) </w:t>
      </w:r>
      <w:r w:rsidR="003A2DBC">
        <w:rPr>
          <w:rFonts w:ascii="Calibri Light" w:eastAsia="Times New Roman" w:hAnsi="Calibri Light" w:cs="Calibri Light"/>
          <w:lang w:val="fr-BE"/>
        </w:rPr>
        <w:t xml:space="preserve">– </w:t>
      </w:r>
      <w:r w:rsidRPr="00A80C7C">
        <w:rPr>
          <w:rFonts w:ascii="Calibri Light" w:eastAsia="Times New Roman" w:hAnsi="Calibri Light" w:cs="Calibri Light"/>
          <w:lang w:val="fr-BE"/>
        </w:rPr>
        <w:t xml:space="preserve">et de </w:t>
      </w:r>
      <w:r w:rsidR="00257A47">
        <w:rPr>
          <w:rFonts w:ascii="Calibri Light" w:eastAsia="Times New Roman" w:hAnsi="Calibri Light" w:cs="Calibri Light"/>
          <w:lang w:val="fr-BE"/>
        </w:rPr>
        <w:t xml:space="preserve">raviver la </w:t>
      </w:r>
      <w:r w:rsidRPr="00A80C7C">
        <w:rPr>
          <w:rFonts w:ascii="Calibri Light" w:eastAsia="Times New Roman" w:hAnsi="Calibri Light" w:cs="Calibri Light"/>
          <w:lang w:val="fr-BE"/>
        </w:rPr>
        <w:t xml:space="preserve">culture </w:t>
      </w:r>
      <w:r w:rsidR="00257A47">
        <w:rPr>
          <w:rFonts w:ascii="Calibri Light" w:eastAsia="Times New Roman" w:hAnsi="Calibri Light" w:cs="Calibri Light"/>
          <w:lang w:val="fr-BE"/>
        </w:rPr>
        <w:t xml:space="preserve">de l’actionnariat, </w:t>
      </w:r>
      <w:r w:rsidR="003651DB">
        <w:rPr>
          <w:rFonts w:ascii="Calibri Light" w:eastAsia="Times New Roman" w:hAnsi="Calibri Light" w:cs="Calibri Light"/>
          <w:lang w:val="fr-BE"/>
        </w:rPr>
        <w:t xml:space="preserve">qui a souffert de </w:t>
      </w:r>
      <w:r w:rsidRPr="00A80C7C">
        <w:rPr>
          <w:rFonts w:ascii="Calibri Light" w:eastAsia="Times New Roman" w:hAnsi="Calibri Light" w:cs="Calibri Light"/>
          <w:lang w:val="fr-BE"/>
        </w:rPr>
        <w:t xml:space="preserve">décennies de conseils </w:t>
      </w:r>
      <w:r w:rsidR="003651DB">
        <w:rPr>
          <w:rFonts w:ascii="Calibri Light" w:eastAsia="Times New Roman" w:hAnsi="Calibri Light" w:cs="Calibri Light"/>
          <w:lang w:val="fr-BE"/>
        </w:rPr>
        <w:t xml:space="preserve">partiaux </w:t>
      </w:r>
      <w:r w:rsidRPr="00A80C7C">
        <w:rPr>
          <w:rFonts w:ascii="Calibri Light" w:eastAsia="Times New Roman" w:hAnsi="Calibri Light" w:cs="Calibri Light"/>
          <w:lang w:val="fr-BE"/>
        </w:rPr>
        <w:t xml:space="preserve">aux particuliers. L'exercice des droits de vote par les actionnaires </w:t>
      </w:r>
      <w:r w:rsidR="003651DB">
        <w:rPr>
          <w:rFonts w:ascii="Calibri Light" w:eastAsia="Times New Roman" w:hAnsi="Calibri Light" w:cs="Calibri Light"/>
          <w:lang w:val="fr-BE"/>
        </w:rPr>
        <w:t xml:space="preserve">devrait également être facilité. </w:t>
      </w:r>
    </w:p>
    <w:p w14:paraId="2211402B" w14:textId="7013F207" w:rsidR="007F0DCD" w:rsidRPr="00A80C7C" w:rsidRDefault="003651DB">
      <w:pPr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i/>
          <w:iCs/>
          <w:lang w:val="fr-BE"/>
        </w:rPr>
      </w:pPr>
      <w:r>
        <w:rPr>
          <w:rFonts w:ascii="Calibri Light" w:eastAsia="Times New Roman" w:hAnsi="Calibri Light" w:cs="Calibri Light"/>
          <w:b/>
          <w:bCs/>
          <w:i/>
          <w:iCs/>
          <w:lang w:val="fr-BE"/>
        </w:rPr>
        <w:t>« </w:t>
      </w:r>
      <w:r w:rsidR="00A80C7C" w:rsidRPr="00A80C7C">
        <w:rPr>
          <w:rFonts w:ascii="Calibri Light" w:eastAsia="Times New Roman" w:hAnsi="Calibri Light" w:cs="Calibri Light"/>
          <w:b/>
          <w:bCs/>
          <w:i/>
          <w:iCs/>
          <w:lang w:val="fr-BE"/>
        </w:rPr>
        <w:t>L'argent des autres</w:t>
      </w:r>
      <w:r>
        <w:rPr>
          <w:rFonts w:ascii="Calibri Light" w:eastAsia="Times New Roman" w:hAnsi="Calibri Light" w:cs="Calibri Light"/>
          <w:b/>
          <w:bCs/>
          <w:i/>
          <w:iCs/>
          <w:lang w:val="fr-BE"/>
        </w:rPr>
        <w:t> »</w:t>
      </w:r>
    </w:p>
    <w:p w14:paraId="2211402C" w14:textId="43B3F49F" w:rsidR="007F0DCD" w:rsidRPr="00A80C7C" w:rsidRDefault="003651DB">
      <w:pPr>
        <w:spacing w:after="120" w:line="240" w:lineRule="auto"/>
        <w:jc w:val="both"/>
        <w:rPr>
          <w:lang w:val="fr-BE"/>
        </w:rPr>
      </w:pPr>
      <w:r>
        <w:rPr>
          <w:rFonts w:ascii="Calibri Light" w:eastAsia="Times New Roman" w:hAnsi="Calibri Light" w:cs="Calibri Light"/>
          <w:i/>
          <w:iCs/>
          <w:lang w:val="fr-BE"/>
        </w:rPr>
        <w:t xml:space="preserve">« Même si nous nous réjouissons de constater que les 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 xml:space="preserve">citoyens européens, en tant qu'épargnants, </w:t>
      </w:r>
      <w:r w:rsidR="00D31549">
        <w:rPr>
          <w:rFonts w:ascii="Calibri Light" w:eastAsia="Times New Roman" w:hAnsi="Calibri Light" w:cs="Calibri Light"/>
          <w:i/>
          <w:iCs/>
          <w:lang w:val="fr-BE"/>
        </w:rPr>
        <w:t>sont en train de trouver petit à petit leur place au cœur d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>e l'Union des marchés</w:t>
      </w:r>
      <w:r>
        <w:rPr>
          <w:rFonts w:ascii="Calibri Light" w:eastAsia="Times New Roman" w:hAnsi="Calibri Light" w:cs="Calibri Light"/>
          <w:i/>
          <w:iCs/>
          <w:lang w:val="fr-BE"/>
        </w:rPr>
        <w:t xml:space="preserve"> de capitaux », </w:t>
      </w:r>
      <w:r w:rsidR="00A80C7C" w:rsidRPr="00A80C7C">
        <w:rPr>
          <w:rFonts w:ascii="Calibri Light" w:eastAsia="Times New Roman" w:hAnsi="Calibri Light" w:cs="Calibri Light"/>
          <w:lang w:val="fr-BE"/>
        </w:rPr>
        <w:t xml:space="preserve">souligne Guillaume </w:t>
      </w:r>
      <w:proofErr w:type="spellStart"/>
      <w:r w:rsidR="00A80C7C" w:rsidRPr="00A80C7C">
        <w:rPr>
          <w:rFonts w:ascii="Calibri Light" w:eastAsia="Times New Roman" w:hAnsi="Calibri Light" w:cs="Calibri Light"/>
          <w:lang w:val="fr-BE"/>
        </w:rPr>
        <w:t>Prache</w:t>
      </w:r>
      <w:proofErr w:type="spellEnd"/>
      <w:r w:rsidR="00A80C7C" w:rsidRPr="00A80C7C">
        <w:rPr>
          <w:rFonts w:ascii="Calibri Light" w:eastAsia="Times New Roman" w:hAnsi="Calibri Light" w:cs="Calibri Light"/>
          <w:lang w:val="fr-BE"/>
        </w:rPr>
        <w:t xml:space="preserve">, </w:t>
      </w:r>
      <w:r w:rsidRPr="003651DB">
        <w:rPr>
          <w:rFonts w:ascii="Calibri Light" w:eastAsia="Times New Roman" w:hAnsi="Calibri Light" w:cs="Calibri Light"/>
          <w:i/>
          <w:iCs/>
          <w:lang w:val="fr-BE"/>
        </w:rPr>
        <w:t>«</w:t>
      </w:r>
      <w:r>
        <w:rPr>
          <w:rFonts w:ascii="Calibri Light" w:eastAsia="Times New Roman" w:hAnsi="Calibri Light" w:cs="Calibri Light"/>
          <w:lang w:val="fr-BE"/>
        </w:rPr>
        <w:t> 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 xml:space="preserve">une incompréhension fondamentale de la </w:t>
      </w:r>
      <w:r>
        <w:rPr>
          <w:rFonts w:ascii="Calibri Light" w:eastAsia="Times New Roman" w:hAnsi="Calibri Light" w:cs="Calibri Light"/>
          <w:i/>
          <w:iCs/>
          <w:lang w:val="fr-BE"/>
        </w:rPr>
        <w:t>‘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>raison d'être</w:t>
      </w:r>
      <w:r>
        <w:rPr>
          <w:rFonts w:ascii="Calibri Light" w:eastAsia="Times New Roman" w:hAnsi="Calibri Light" w:cs="Calibri Light"/>
          <w:i/>
          <w:iCs/>
          <w:lang w:val="fr-BE"/>
        </w:rPr>
        <w:t>’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 xml:space="preserve"> des marchés de capitaux, et de </w:t>
      </w:r>
      <w:r>
        <w:rPr>
          <w:rFonts w:ascii="Calibri Light" w:eastAsia="Times New Roman" w:hAnsi="Calibri Light" w:cs="Calibri Light"/>
          <w:i/>
          <w:iCs/>
          <w:lang w:val="fr-BE"/>
        </w:rPr>
        <w:t xml:space="preserve">ceux </w:t>
      </w:r>
      <w:r w:rsidR="00D31549">
        <w:rPr>
          <w:rFonts w:ascii="Calibri Light" w:eastAsia="Times New Roman" w:hAnsi="Calibri Light" w:cs="Calibri Light"/>
          <w:i/>
          <w:iCs/>
          <w:lang w:val="fr-BE"/>
        </w:rPr>
        <w:t xml:space="preserve">à qui ils s’adressent, 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 xml:space="preserve">demeure : </w:t>
      </w:r>
      <w:r w:rsidR="00D31549">
        <w:rPr>
          <w:rFonts w:ascii="Calibri Light" w:eastAsia="Times New Roman" w:hAnsi="Calibri Light" w:cs="Calibri Light"/>
          <w:i/>
          <w:iCs/>
          <w:lang w:val="fr-BE"/>
        </w:rPr>
        <w:t xml:space="preserve">ces marchés 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>ne sont pas destinés en premier lieu aux intermédiaires financiers, mais</w:t>
      </w:r>
      <w:r>
        <w:rPr>
          <w:rFonts w:ascii="Calibri Light" w:eastAsia="Times New Roman" w:hAnsi="Calibri Light" w:cs="Calibri Light"/>
          <w:i/>
          <w:iCs/>
          <w:lang w:val="fr-BE"/>
        </w:rPr>
        <w:t xml:space="preserve"> bien aux usagers de l’économie réelle et aux 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>fournisseurs de capitaux</w:t>
      </w:r>
      <w:r w:rsidR="00D31549">
        <w:rPr>
          <w:rFonts w:ascii="Calibri Light" w:eastAsia="Times New Roman" w:hAnsi="Calibri Light" w:cs="Calibri Light"/>
          <w:i/>
          <w:iCs/>
          <w:lang w:val="fr-BE"/>
        </w:rPr>
        <w:t xml:space="preserve">, c’est-à-dire </w:t>
      </w:r>
      <w:r w:rsidR="003A2DBC">
        <w:rPr>
          <w:rFonts w:ascii="Calibri Light" w:eastAsia="Times New Roman" w:hAnsi="Calibri Light" w:cs="Calibri Light"/>
          <w:i/>
          <w:iCs/>
          <w:lang w:val="fr-BE"/>
        </w:rPr>
        <w:t>les</w:t>
      </w:r>
      <w:r w:rsidR="00D31549">
        <w:rPr>
          <w:rFonts w:ascii="Calibri Light" w:eastAsia="Times New Roman" w:hAnsi="Calibri Light" w:cs="Calibri Light"/>
          <w:i/>
          <w:iCs/>
          <w:lang w:val="fr-BE"/>
        </w:rPr>
        <w:t xml:space="preserve"> 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 xml:space="preserve">entreprises qui ont besoin de capitaux pour se développer et </w:t>
      </w:r>
      <w:r w:rsidR="003A2DBC">
        <w:rPr>
          <w:rFonts w:ascii="Calibri Light" w:eastAsia="Times New Roman" w:hAnsi="Calibri Light" w:cs="Calibri Light"/>
          <w:i/>
          <w:iCs/>
          <w:lang w:val="fr-BE"/>
        </w:rPr>
        <w:t xml:space="preserve">les 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>investisseurs finaux qui</w:t>
      </w:r>
      <w:r>
        <w:rPr>
          <w:rFonts w:ascii="Calibri Light" w:eastAsia="Times New Roman" w:hAnsi="Calibri Light" w:cs="Calibri Light"/>
          <w:i/>
          <w:iCs/>
          <w:lang w:val="fr-BE"/>
        </w:rPr>
        <w:t xml:space="preserve"> les leur fournissent. 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>Et qui sont</w:t>
      </w:r>
      <w:r>
        <w:rPr>
          <w:rFonts w:ascii="Calibri Light" w:eastAsia="Times New Roman" w:hAnsi="Calibri Light" w:cs="Calibri Light"/>
          <w:i/>
          <w:iCs/>
          <w:lang w:val="fr-BE"/>
        </w:rPr>
        <w:t xml:space="preserve"> justement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 xml:space="preserve"> ces fournisseurs de capitaux, qui investissent directement</w:t>
      </w:r>
      <w:r>
        <w:rPr>
          <w:rFonts w:ascii="Calibri Light" w:eastAsia="Times New Roman" w:hAnsi="Calibri Light" w:cs="Calibri Light"/>
          <w:i/>
          <w:iCs/>
          <w:lang w:val="fr-BE"/>
        </w:rPr>
        <w:t xml:space="preserve"> dans l’économie réelle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 xml:space="preserve"> ou via des fonds de </w:t>
      </w:r>
      <w:r>
        <w:rPr>
          <w:rFonts w:ascii="Calibri Light" w:eastAsia="Times New Roman" w:hAnsi="Calibri Light" w:cs="Calibri Light"/>
          <w:i/>
          <w:iCs/>
          <w:lang w:val="fr-BE"/>
        </w:rPr>
        <w:t xml:space="preserve">retraite, 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 xml:space="preserve">des fonds </w:t>
      </w:r>
      <w:r>
        <w:rPr>
          <w:rFonts w:ascii="Calibri Light" w:eastAsia="Times New Roman" w:hAnsi="Calibri Light" w:cs="Calibri Light"/>
          <w:i/>
          <w:iCs/>
          <w:lang w:val="fr-BE"/>
        </w:rPr>
        <w:t xml:space="preserve">de placement ou des 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 xml:space="preserve">produits d'investissement </w:t>
      </w:r>
      <w:r>
        <w:rPr>
          <w:rFonts w:ascii="Calibri Light" w:eastAsia="Times New Roman" w:hAnsi="Calibri Light" w:cs="Calibri Light"/>
          <w:i/>
          <w:iCs/>
          <w:lang w:val="fr-BE"/>
        </w:rPr>
        <w:t xml:space="preserve">fondés </w:t>
      </w:r>
      <w:r w:rsidR="00A80C7C" w:rsidRPr="00A80C7C">
        <w:rPr>
          <w:rFonts w:ascii="Calibri Light" w:eastAsia="Times New Roman" w:hAnsi="Calibri Light" w:cs="Calibri Light"/>
          <w:i/>
          <w:iCs/>
          <w:lang w:val="fr-BE"/>
        </w:rPr>
        <w:t>sur l'assurance ? Les citoyens de l'UE en tant qu'épargnants</w:t>
      </w:r>
      <w:r w:rsidR="003A2DBC">
        <w:rPr>
          <w:rFonts w:ascii="Calibri Light" w:eastAsia="Times New Roman" w:hAnsi="Calibri Light" w:cs="Calibri Light"/>
          <w:i/>
          <w:iCs/>
          <w:lang w:val="fr-BE"/>
        </w:rPr>
        <w:t> !</w:t>
      </w:r>
      <w:r>
        <w:rPr>
          <w:rFonts w:ascii="Calibri Light" w:eastAsia="Times New Roman" w:hAnsi="Calibri Light" w:cs="Calibri Light"/>
          <w:i/>
          <w:iCs/>
          <w:lang w:val="fr-BE"/>
        </w:rPr>
        <w:t> »</w:t>
      </w:r>
      <w:r w:rsidR="00503D2D">
        <w:rPr>
          <w:rFonts w:ascii="Calibri Light" w:eastAsia="Times New Roman" w:hAnsi="Calibri Light" w:cs="Calibri Light"/>
          <w:i/>
          <w:iCs/>
          <w:lang w:val="fr-BE"/>
        </w:rPr>
        <w:t xml:space="preserve"> </w:t>
      </w:r>
    </w:p>
    <w:p w14:paraId="2211402D" w14:textId="5B2F8F82" w:rsidR="007F0DCD" w:rsidRPr="00A80C7C" w:rsidRDefault="00A80C7C">
      <w:pPr>
        <w:spacing w:after="120" w:line="240" w:lineRule="auto"/>
        <w:jc w:val="both"/>
        <w:rPr>
          <w:lang w:val="fr-BE"/>
        </w:rPr>
      </w:pPr>
      <w:r w:rsidRPr="00A80C7C">
        <w:rPr>
          <w:rFonts w:ascii="Calibri Light" w:eastAsia="Times New Roman" w:hAnsi="Calibri Light" w:cs="Calibri Light"/>
          <w:lang w:val="fr-BE"/>
        </w:rPr>
        <w:t xml:space="preserve">M. </w:t>
      </w:r>
      <w:proofErr w:type="spellStart"/>
      <w:r w:rsidRPr="00A80C7C">
        <w:rPr>
          <w:rFonts w:ascii="Calibri Light" w:eastAsia="Times New Roman" w:hAnsi="Calibri Light" w:cs="Calibri Light"/>
          <w:lang w:val="fr-BE"/>
        </w:rPr>
        <w:t>Prache</w:t>
      </w:r>
      <w:proofErr w:type="spellEnd"/>
      <w:r w:rsidRPr="00A80C7C">
        <w:rPr>
          <w:rFonts w:ascii="Calibri Light" w:eastAsia="Times New Roman" w:hAnsi="Calibri Light" w:cs="Calibri Light"/>
          <w:lang w:val="fr-BE"/>
        </w:rPr>
        <w:t xml:space="preserve"> </w:t>
      </w:r>
      <w:r w:rsidR="00D31549">
        <w:rPr>
          <w:rFonts w:ascii="Calibri Light" w:eastAsia="Times New Roman" w:hAnsi="Calibri Light" w:cs="Calibri Light"/>
          <w:lang w:val="fr-BE"/>
        </w:rPr>
        <w:t xml:space="preserve">insiste également sur le fait que ces recommandations doivent bénéficier d’un solide soutien politique : </w:t>
      </w:r>
      <w:r w:rsidR="003651DB">
        <w:rPr>
          <w:rFonts w:ascii="Calibri Light" w:eastAsia="Times New Roman" w:hAnsi="Calibri Light" w:cs="Calibri Light"/>
          <w:i/>
          <w:iCs/>
          <w:lang w:val="fr-BE"/>
        </w:rPr>
        <w:t>« </w:t>
      </w:r>
      <w:r w:rsidRPr="00A80C7C">
        <w:rPr>
          <w:rFonts w:ascii="Calibri Light" w:eastAsia="Times New Roman" w:hAnsi="Calibri Light" w:cs="Calibri Light"/>
          <w:i/>
          <w:iCs/>
          <w:lang w:val="fr-BE"/>
        </w:rPr>
        <w:t xml:space="preserve">il est trop tôt pour </w:t>
      </w:r>
      <w:r w:rsidR="003651DB">
        <w:rPr>
          <w:rFonts w:ascii="Calibri Light" w:eastAsia="Times New Roman" w:hAnsi="Calibri Light" w:cs="Calibri Light"/>
          <w:i/>
          <w:iCs/>
          <w:lang w:val="fr-BE"/>
        </w:rPr>
        <w:t xml:space="preserve">crier </w:t>
      </w:r>
      <w:r w:rsidRPr="00A80C7C">
        <w:rPr>
          <w:rFonts w:ascii="Calibri Light" w:eastAsia="Times New Roman" w:hAnsi="Calibri Light" w:cs="Calibri Light"/>
          <w:i/>
          <w:iCs/>
          <w:lang w:val="fr-BE"/>
        </w:rPr>
        <w:t xml:space="preserve">victoire. </w:t>
      </w:r>
      <w:r w:rsidR="003651DB">
        <w:rPr>
          <w:rFonts w:ascii="Calibri Light" w:eastAsia="Times New Roman" w:hAnsi="Calibri Light" w:cs="Calibri Light"/>
          <w:i/>
          <w:iCs/>
          <w:lang w:val="fr-BE"/>
        </w:rPr>
        <w:t xml:space="preserve">La confiance indispensable des investisseurs particuliers ne pourra être rétablie que si les </w:t>
      </w:r>
      <w:r w:rsidRPr="00A80C7C">
        <w:rPr>
          <w:rFonts w:ascii="Calibri Light" w:eastAsia="Times New Roman" w:hAnsi="Calibri Light" w:cs="Calibri Light"/>
          <w:i/>
          <w:iCs/>
          <w:lang w:val="fr-BE"/>
        </w:rPr>
        <w:t>décideurs politiques tiennent compte de ce rapport et</w:t>
      </w:r>
      <w:r w:rsidR="003651DB">
        <w:rPr>
          <w:rFonts w:ascii="Calibri Light" w:eastAsia="Times New Roman" w:hAnsi="Calibri Light" w:cs="Calibri Light"/>
          <w:i/>
          <w:iCs/>
          <w:lang w:val="fr-BE"/>
        </w:rPr>
        <w:t xml:space="preserve"> se mobilisent en faveur de ses propositions capables de ‘changer la donne’ ».</w:t>
      </w:r>
      <w:r w:rsidR="00503D2D">
        <w:rPr>
          <w:rFonts w:ascii="Calibri Light" w:eastAsia="Times New Roman" w:hAnsi="Calibri Light" w:cs="Calibri Light"/>
          <w:i/>
          <w:iCs/>
          <w:lang w:val="fr-BE"/>
        </w:rPr>
        <w:t xml:space="preserve"> </w:t>
      </w:r>
    </w:p>
    <w:p w14:paraId="2211402E" w14:textId="5E24C5F1" w:rsidR="007F0DCD" w:rsidRPr="00A80C7C" w:rsidRDefault="00A80C7C">
      <w:pPr>
        <w:spacing w:after="120" w:line="240" w:lineRule="auto"/>
        <w:jc w:val="both"/>
        <w:rPr>
          <w:rFonts w:ascii="Calibri Light" w:eastAsia="Times New Roman" w:hAnsi="Calibri Light" w:cs="Calibri Light"/>
          <w:lang w:val="fr-BE"/>
        </w:rPr>
      </w:pPr>
      <w:r w:rsidRPr="00A80C7C">
        <w:rPr>
          <w:rFonts w:ascii="Calibri Light" w:eastAsia="Times New Roman" w:hAnsi="Calibri Light" w:cs="Calibri Light"/>
          <w:lang w:val="fr-BE"/>
        </w:rPr>
        <w:t>BETTER FINANCE suivra</w:t>
      </w:r>
      <w:r w:rsidR="003159A7">
        <w:rPr>
          <w:rFonts w:ascii="Calibri Light" w:eastAsia="Times New Roman" w:hAnsi="Calibri Light" w:cs="Calibri Light"/>
          <w:lang w:val="fr-BE"/>
        </w:rPr>
        <w:t xml:space="preserve"> attentivement et surveillera l’évolution des avancées. </w:t>
      </w:r>
    </w:p>
    <w:p w14:paraId="2211402F" w14:textId="77777777" w:rsidR="007F0DCD" w:rsidRPr="00A80C7C" w:rsidRDefault="00A80C7C">
      <w:pPr>
        <w:spacing w:after="0" w:line="240" w:lineRule="auto"/>
        <w:jc w:val="center"/>
        <w:rPr>
          <w:rFonts w:ascii="Calibri Light" w:hAnsi="Calibri Light" w:cs="Calibri Light"/>
          <w:lang w:val="fr-BE"/>
        </w:rPr>
      </w:pPr>
      <w:r w:rsidRPr="00A80C7C">
        <w:rPr>
          <w:rFonts w:ascii="Calibri Light" w:hAnsi="Calibri Light" w:cs="Calibri Light"/>
          <w:lang w:val="fr-BE"/>
        </w:rPr>
        <w:t>***</w:t>
      </w:r>
    </w:p>
    <w:p w14:paraId="22114030" w14:textId="77777777" w:rsidR="007F0DCD" w:rsidRPr="00A80C7C" w:rsidRDefault="00A80C7C">
      <w:pPr>
        <w:pStyle w:val="BodyText"/>
        <w:spacing w:before="120" w:after="0" w:line="240" w:lineRule="auto"/>
        <w:jc w:val="center"/>
        <w:rPr>
          <w:lang w:val="fr-BE"/>
        </w:rPr>
      </w:pPr>
      <w:r w:rsidRPr="00A80C7C">
        <w:rPr>
          <w:rFonts w:ascii="Calibri Light" w:hAnsi="Calibri Light" w:cs="Calibri Light"/>
          <w:sz w:val="20"/>
          <w:u w:val="single"/>
          <w:lang w:val="fr-BE"/>
        </w:rPr>
        <w:t xml:space="preserve">Contact </w:t>
      </w:r>
      <w:r w:rsidRPr="00A80C7C">
        <w:rPr>
          <w:rFonts w:ascii="Calibri Light" w:hAnsi="Calibri Light" w:cs="Calibri Light"/>
          <w:sz w:val="20"/>
          <w:lang w:val="fr-BE"/>
        </w:rPr>
        <w:t xml:space="preserve">: Directeur de la communication ǀ Arnaud </w:t>
      </w:r>
      <w:proofErr w:type="spellStart"/>
      <w:r w:rsidRPr="00A80C7C">
        <w:rPr>
          <w:rFonts w:ascii="Calibri Light" w:hAnsi="Calibri Light" w:cs="Calibri Light"/>
          <w:sz w:val="20"/>
          <w:lang w:val="fr-BE"/>
        </w:rPr>
        <w:t>Houdmont</w:t>
      </w:r>
      <w:proofErr w:type="spellEnd"/>
      <w:r w:rsidRPr="00A80C7C">
        <w:rPr>
          <w:rFonts w:ascii="Calibri Light" w:hAnsi="Calibri Light" w:cs="Calibri Light"/>
          <w:sz w:val="20"/>
          <w:lang w:val="fr-BE"/>
        </w:rPr>
        <w:t xml:space="preserve"> ǀ +32 (0)2 514 37 77 ǀ </w:t>
      </w:r>
      <w:hyperlink r:id="rId11" w:history="1">
        <w:r w:rsidRPr="00A80C7C">
          <w:rPr>
            <w:rStyle w:val="Hyperlink"/>
            <w:rFonts w:ascii="Calibri Light" w:hAnsi="Calibri Light" w:cs="Calibri Light"/>
            <w:sz w:val="20"/>
            <w:lang w:val="fr-BE"/>
          </w:rPr>
          <w:t>houdmont@betterfinance.eu</w:t>
        </w:r>
      </w:hyperlink>
    </w:p>
    <w:p w14:paraId="22114031" w14:textId="77777777" w:rsidR="007F0DCD" w:rsidRPr="00A80C7C" w:rsidRDefault="007F0DCD">
      <w:pPr>
        <w:pStyle w:val="BodyText"/>
        <w:spacing w:before="120" w:after="0" w:line="240" w:lineRule="auto"/>
        <w:rPr>
          <w:lang w:val="fr-BE"/>
        </w:rPr>
      </w:pPr>
    </w:p>
    <w:p w14:paraId="22114032" w14:textId="62B99509" w:rsidR="007F0DCD" w:rsidRPr="00A80C7C" w:rsidRDefault="00A80C7C">
      <w:pPr>
        <w:pStyle w:val="BodyText"/>
        <w:numPr>
          <w:ilvl w:val="0"/>
          <w:numId w:val="1"/>
        </w:numPr>
        <w:spacing w:before="120" w:after="0" w:line="240" w:lineRule="auto"/>
        <w:ind w:left="426" w:hanging="426"/>
        <w:rPr>
          <w:lang w:val="fr-BE"/>
        </w:rPr>
      </w:pPr>
      <w:r w:rsidRPr="00A80C7C">
        <w:rPr>
          <w:rFonts w:ascii="Calibri Light" w:hAnsi="Calibri Light" w:cs="Calibri Light"/>
          <w:color w:val="1F497D"/>
          <w:spacing w:val="0"/>
          <w:sz w:val="20"/>
          <w:u w:val="single"/>
          <w:lang w:val="fr-BE"/>
        </w:rPr>
        <w:t>Voir</w:t>
      </w:r>
      <w:r w:rsidR="003159A7">
        <w:rPr>
          <w:rFonts w:ascii="Calibri Light" w:hAnsi="Calibri Light" w:cs="Calibri Light"/>
          <w:color w:val="1F497D"/>
          <w:spacing w:val="0"/>
          <w:sz w:val="20"/>
          <w:u w:val="single"/>
          <w:lang w:val="fr-BE"/>
        </w:rPr>
        <w:t xml:space="preserve">, à la page suivante, l’Annexe </w:t>
      </w:r>
      <w:r w:rsidRPr="00A80C7C">
        <w:rPr>
          <w:rFonts w:ascii="Calibri Light" w:hAnsi="Calibri Light" w:cs="Calibri Light"/>
          <w:color w:val="1F497D"/>
          <w:spacing w:val="0"/>
          <w:sz w:val="20"/>
          <w:lang w:val="fr-BE"/>
        </w:rPr>
        <w:t xml:space="preserve">: </w:t>
      </w:r>
      <w:r w:rsidR="003159A7">
        <w:rPr>
          <w:rFonts w:ascii="Calibri Light" w:hAnsi="Calibri Light" w:cs="Calibri Light"/>
          <w:color w:val="1F497D"/>
          <w:spacing w:val="0"/>
          <w:sz w:val="20"/>
          <w:lang w:val="fr-BE"/>
        </w:rPr>
        <w:t>« Comparaison entre les r</w:t>
      </w:r>
      <w:r w:rsidRPr="00A80C7C">
        <w:rPr>
          <w:rFonts w:ascii="Calibri Light" w:hAnsi="Calibri Light" w:cs="Calibri Light"/>
          <w:color w:val="1F497D"/>
          <w:spacing w:val="0"/>
          <w:sz w:val="20"/>
          <w:lang w:val="fr-BE"/>
        </w:rPr>
        <w:t>ecommandations du rapport final du</w:t>
      </w:r>
      <w:r w:rsidR="003159A7">
        <w:rPr>
          <w:rFonts w:ascii="Calibri Light" w:hAnsi="Calibri Light" w:cs="Calibri Light"/>
          <w:color w:val="1F497D"/>
          <w:spacing w:val="0"/>
          <w:sz w:val="20"/>
          <w:lang w:val="fr-BE"/>
        </w:rPr>
        <w:t xml:space="preserve"> </w:t>
      </w:r>
      <w:r w:rsidR="0033473D">
        <w:rPr>
          <w:rFonts w:ascii="Calibri Light" w:hAnsi="Calibri Light" w:cs="Calibri Light"/>
          <w:color w:val="1F497D"/>
          <w:spacing w:val="0"/>
          <w:sz w:val="20"/>
          <w:lang w:val="fr-BE"/>
        </w:rPr>
        <w:t>Forum de</w:t>
      </w:r>
      <w:r w:rsidR="003159A7">
        <w:rPr>
          <w:rFonts w:ascii="Calibri Light" w:hAnsi="Calibri Light" w:cs="Calibri Light"/>
          <w:color w:val="1F497D"/>
          <w:spacing w:val="0"/>
          <w:sz w:val="20"/>
          <w:lang w:val="fr-BE"/>
        </w:rPr>
        <w:t xml:space="preserve"> haut niveau sur l’UMC et les priorités clés de BETTER FINANCE </w:t>
      </w:r>
      <w:r w:rsidRPr="00A80C7C">
        <w:rPr>
          <w:rFonts w:ascii="Calibri Light" w:hAnsi="Calibri Light" w:cs="Calibri Light"/>
          <w:color w:val="1F497D"/>
          <w:spacing w:val="0"/>
          <w:sz w:val="20"/>
          <w:lang w:val="fr-BE"/>
        </w:rPr>
        <w:t>(2019-2024)</w:t>
      </w:r>
      <w:r w:rsidR="003159A7">
        <w:rPr>
          <w:rFonts w:ascii="Calibri Light" w:hAnsi="Calibri Light" w:cs="Calibri Light"/>
          <w:color w:val="1F497D"/>
          <w:spacing w:val="0"/>
          <w:sz w:val="20"/>
          <w:lang w:val="fr-BE"/>
        </w:rPr>
        <w:t> »</w:t>
      </w:r>
      <w:r w:rsidRPr="00A80C7C">
        <w:rPr>
          <w:rFonts w:ascii="Calibri Light" w:hAnsi="Calibri Light" w:cs="Calibri Light"/>
          <w:color w:val="1F497D"/>
          <w:spacing w:val="0"/>
          <w:sz w:val="20"/>
          <w:lang w:val="fr-BE"/>
        </w:rPr>
        <w:t>.</w:t>
      </w:r>
    </w:p>
    <w:p w14:paraId="22114033" w14:textId="77777777" w:rsidR="007F0DCD" w:rsidRPr="00A80C7C" w:rsidRDefault="007F0DCD">
      <w:pPr>
        <w:pageBreakBefore/>
        <w:rPr>
          <w:lang w:val="fr-BE"/>
        </w:rPr>
      </w:pPr>
    </w:p>
    <w:p w14:paraId="22114034" w14:textId="77777777" w:rsidR="003A6F4B" w:rsidRPr="00A80C7C" w:rsidRDefault="003A6F4B">
      <w:pPr>
        <w:rPr>
          <w:lang w:val="fr-BE"/>
        </w:rPr>
        <w:sectPr w:rsidR="003A6F4B" w:rsidRPr="00A80C7C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20"/>
        </w:sectPr>
      </w:pPr>
    </w:p>
    <w:p w14:paraId="22114035" w14:textId="77777777" w:rsidR="007F0DCD" w:rsidRPr="00A80C7C" w:rsidRDefault="00A80C7C">
      <w:pPr>
        <w:pStyle w:val="Heading2"/>
        <w:spacing w:after="80"/>
        <w:jc w:val="center"/>
        <w:rPr>
          <w:rFonts w:eastAsia="Calibri" w:cs="Arial"/>
          <w:b/>
          <w:color w:val="auto"/>
          <w:spacing w:val="20"/>
          <w:kern w:val="3"/>
          <w:sz w:val="24"/>
          <w:szCs w:val="24"/>
          <w:lang w:val="fr-BE"/>
        </w:rPr>
      </w:pPr>
      <w:r w:rsidRPr="00A80C7C">
        <w:rPr>
          <w:rFonts w:eastAsia="Calibri" w:cs="Arial"/>
          <w:b/>
          <w:color w:val="auto"/>
          <w:spacing w:val="20"/>
          <w:kern w:val="3"/>
          <w:sz w:val="24"/>
          <w:szCs w:val="24"/>
          <w:lang w:val="fr-BE"/>
        </w:rPr>
        <w:t>ANNEXE AU COMMUNIQUÉ DE PRESSE</w:t>
      </w:r>
    </w:p>
    <w:p w14:paraId="22114036" w14:textId="52F0DC6D" w:rsidR="007F0DCD" w:rsidRPr="00A80C7C" w:rsidRDefault="003159A7">
      <w:pPr>
        <w:pStyle w:val="Heading2"/>
        <w:spacing w:before="0" w:line="240" w:lineRule="auto"/>
        <w:jc w:val="center"/>
        <w:rPr>
          <w:rFonts w:eastAsia="Calibri" w:cs="Arial"/>
          <w:b/>
          <w:spacing w:val="20"/>
          <w:kern w:val="3"/>
          <w:sz w:val="28"/>
          <w:szCs w:val="28"/>
          <w:lang w:val="fr-BE"/>
        </w:rPr>
      </w:pPr>
      <w:r>
        <w:rPr>
          <w:rFonts w:eastAsia="Calibri" w:cs="Arial"/>
          <w:b/>
          <w:spacing w:val="20"/>
          <w:kern w:val="3"/>
          <w:sz w:val="28"/>
          <w:szCs w:val="28"/>
          <w:lang w:val="fr-BE"/>
        </w:rPr>
        <w:t>Comparaison entre les r</w:t>
      </w:r>
      <w:r w:rsidR="00A80C7C" w:rsidRPr="00A80C7C">
        <w:rPr>
          <w:rFonts w:eastAsia="Calibri" w:cs="Arial"/>
          <w:b/>
          <w:spacing w:val="20"/>
          <w:kern w:val="3"/>
          <w:sz w:val="28"/>
          <w:szCs w:val="28"/>
          <w:lang w:val="fr-BE"/>
        </w:rPr>
        <w:t>ecommandations du rapport final du</w:t>
      </w:r>
      <w:r w:rsidR="00D31549">
        <w:rPr>
          <w:rFonts w:eastAsia="Calibri" w:cs="Arial"/>
          <w:b/>
          <w:spacing w:val="20"/>
          <w:kern w:val="3"/>
          <w:sz w:val="28"/>
          <w:szCs w:val="28"/>
          <w:lang w:val="fr-BE"/>
        </w:rPr>
        <w:t xml:space="preserve"> </w:t>
      </w:r>
      <w:r w:rsidR="0033473D">
        <w:rPr>
          <w:rFonts w:eastAsia="Calibri" w:cs="Arial"/>
          <w:b/>
          <w:spacing w:val="20"/>
          <w:kern w:val="3"/>
          <w:sz w:val="28"/>
          <w:szCs w:val="28"/>
          <w:lang w:val="fr-BE"/>
        </w:rPr>
        <w:t>Forum de</w:t>
      </w:r>
      <w:r>
        <w:rPr>
          <w:rFonts w:eastAsia="Calibri" w:cs="Arial"/>
          <w:b/>
          <w:spacing w:val="20"/>
          <w:kern w:val="3"/>
          <w:sz w:val="28"/>
          <w:szCs w:val="28"/>
          <w:lang w:val="fr-BE"/>
        </w:rPr>
        <w:t xml:space="preserve"> haut niveau sur l’UMC et les </w:t>
      </w:r>
      <w:r w:rsidR="00A80C7C" w:rsidRPr="00A80C7C">
        <w:rPr>
          <w:rFonts w:eastAsia="Calibri" w:cs="Arial"/>
          <w:b/>
          <w:spacing w:val="20"/>
          <w:kern w:val="3"/>
          <w:sz w:val="28"/>
          <w:szCs w:val="28"/>
          <w:lang w:val="fr-BE"/>
        </w:rPr>
        <w:t>priorités clés d</w:t>
      </w:r>
      <w:r>
        <w:rPr>
          <w:rFonts w:eastAsia="Calibri" w:cs="Arial"/>
          <w:b/>
          <w:spacing w:val="20"/>
          <w:kern w:val="3"/>
          <w:sz w:val="28"/>
          <w:szCs w:val="28"/>
          <w:lang w:val="fr-BE"/>
        </w:rPr>
        <w:t>e BETTER FINANCE (</w:t>
      </w:r>
      <w:r w:rsidR="00A80C7C" w:rsidRPr="00A80C7C">
        <w:rPr>
          <w:rFonts w:eastAsia="Calibri" w:cs="Arial"/>
          <w:b/>
          <w:spacing w:val="20"/>
          <w:kern w:val="3"/>
          <w:sz w:val="28"/>
          <w:szCs w:val="28"/>
          <w:lang w:val="fr-BE"/>
        </w:rPr>
        <w:t>2019-2024)</w:t>
      </w:r>
    </w:p>
    <w:p w14:paraId="22114037" w14:textId="77777777" w:rsidR="007F0DCD" w:rsidRPr="00A80C7C" w:rsidRDefault="007F0DCD">
      <w:pPr>
        <w:pBdr>
          <w:bottom w:val="single" w:sz="4" w:space="1" w:color="000000"/>
        </w:pBdr>
        <w:spacing w:after="0"/>
        <w:rPr>
          <w:rFonts w:ascii="Cambria" w:hAnsi="Cambria"/>
          <w:color w:val="0070C0"/>
          <w:sz w:val="18"/>
          <w:szCs w:val="18"/>
          <w:lang w:val="fr-BE"/>
        </w:rPr>
      </w:pPr>
    </w:p>
    <w:p w14:paraId="22114038" w14:textId="77777777" w:rsidR="007F0DCD" w:rsidRPr="00A80C7C" w:rsidRDefault="007F0DCD">
      <w:pPr>
        <w:spacing w:after="0"/>
        <w:jc w:val="both"/>
        <w:rPr>
          <w:rFonts w:ascii="Cambria" w:hAnsi="Cambria" w:cs="Cambria"/>
          <w:sz w:val="18"/>
          <w:szCs w:val="18"/>
          <w:lang w:val="fr-BE"/>
        </w:rPr>
      </w:pPr>
    </w:p>
    <w:p w14:paraId="22114039" w14:textId="4F0F6BC1" w:rsidR="007F0DCD" w:rsidRPr="00A80C7C" w:rsidRDefault="00A80C7C">
      <w:pPr>
        <w:spacing w:after="120"/>
        <w:jc w:val="both"/>
        <w:rPr>
          <w:rFonts w:ascii="Calibri Light" w:hAnsi="Calibri Light" w:cs="Calibri Light"/>
          <w:sz w:val="20"/>
          <w:szCs w:val="20"/>
          <w:lang w:val="fr-BE"/>
        </w:rPr>
      </w:pPr>
      <w:r w:rsidRPr="00A80C7C">
        <w:rPr>
          <w:rFonts w:ascii="Calibri Light" w:hAnsi="Calibri Light" w:cs="Calibri Light"/>
          <w:sz w:val="20"/>
          <w:szCs w:val="20"/>
          <w:lang w:val="fr-BE"/>
        </w:rPr>
        <w:t>Ce tableau présente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 xml:space="preserve"> </w:t>
      </w:r>
      <w:r w:rsidR="0033473D">
        <w:rPr>
          <w:rFonts w:ascii="Calibri Light" w:hAnsi="Calibri Light" w:cs="Calibri Light"/>
          <w:sz w:val="20"/>
          <w:szCs w:val="20"/>
          <w:lang w:val="fr-BE"/>
        </w:rPr>
        <w:t xml:space="preserve">en regard 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 xml:space="preserve">les </w:t>
      </w:r>
      <w:r w:rsidRPr="00A80C7C">
        <w:rPr>
          <w:rFonts w:ascii="Calibri Light" w:hAnsi="Calibri Light" w:cs="Calibri Light"/>
          <w:sz w:val="20"/>
          <w:szCs w:val="20"/>
          <w:lang w:val="fr-BE"/>
        </w:rPr>
        <w:t>priorités clés d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 xml:space="preserve">e BETTER FINANCE </w:t>
      </w:r>
      <w:r w:rsidRPr="00A80C7C">
        <w:rPr>
          <w:rFonts w:ascii="Calibri Light" w:hAnsi="Calibri Light" w:cs="Calibri Light"/>
          <w:sz w:val="20"/>
          <w:szCs w:val="20"/>
          <w:lang w:val="fr-BE"/>
        </w:rPr>
        <w:t xml:space="preserve">(en gras) et la 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 xml:space="preserve">façon dont elles sont </w:t>
      </w:r>
      <w:r w:rsidRPr="00A80C7C">
        <w:rPr>
          <w:rFonts w:ascii="Calibri Light" w:hAnsi="Calibri Light" w:cs="Calibri Light"/>
          <w:sz w:val="20"/>
          <w:szCs w:val="20"/>
          <w:lang w:val="fr-BE"/>
        </w:rPr>
        <w:t xml:space="preserve">prises en compte dans les recommandations concrètes formulées 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 xml:space="preserve">dans le rapport final du </w:t>
      </w:r>
      <w:r w:rsidRPr="00A80C7C">
        <w:rPr>
          <w:rFonts w:ascii="Calibri Light" w:hAnsi="Calibri Light" w:cs="Calibri Light"/>
          <w:sz w:val="20"/>
          <w:szCs w:val="20"/>
          <w:lang w:val="fr-BE"/>
        </w:rPr>
        <w:t>Forum de haut niveau sur l'Union d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 xml:space="preserve">es marchés de capitaux. </w:t>
      </w:r>
    </w:p>
    <w:p w14:paraId="2211403A" w14:textId="2B925C27" w:rsidR="007F0DCD" w:rsidRPr="00A80C7C" w:rsidRDefault="00A80C7C">
      <w:pPr>
        <w:jc w:val="both"/>
        <w:rPr>
          <w:rFonts w:ascii="Calibri Light" w:hAnsi="Calibri Light" w:cs="Calibri Light"/>
          <w:sz w:val="20"/>
          <w:szCs w:val="20"/>
          <w:lang w:val="fr-BE"/>
        </w:rPr>
      </w:pPr>
      <w:r w:rsidRPr="00A80C7C">
        <w:rPr>
          <w:rFonts w:ascii="Calibri Light" w:hAnsi="Calibri Light" w:cs="Calibri Light"/>
          <w:sz w:val="20"/>
          <w:szCs w:val="20"/>
          <w:lang w:val="fr-BE"/>
        </w:rPr>
        <w:t>Le rapport final du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 xml:space="preserve"> </w:t>
      </w:r>
      <w:r w:rsidR="00D31549">
        <w:rPr>
          <w:rFonts w:ascii="Calibri Light" w:hAnsi="Calibri Light" w:cs="Calibri Light"/>
          <w:sz w:val="20"/>
          <w:szCs w:val="20"/>
          <w:lang w:val="fr-BE"/>
        </w:rPr>
        <w:t>Forum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 xml:space="preserve"> de haut niveau c</w:t>
      </w:r>
      <w:r w:rsidRPr="00A80C7C">
        <w:rPr>
          <w:rFonts w:ascii="Calibri Light" w:hAnsi="Calibri Light" w:cs="Calibri Light"/>
          <w:sz w:val="20"/>
          <w:szCs w:val="20"/>
          <w:lang w:val="fr-BE"/>
        </w:rPr>
        <w:t>ouvre toutes les priorités clés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 xml:space="preserve"> présentées par Better Finance afin de mettre en place une UMC capable de restaurer la </w:t>
      </w:r>
      <w:r w:rsidRPr="00A80C7C">
        <w:rPr>
          <w:rFonts w:ascii="Calibri Light" w:hAnsi="Calibri Light" w:cs="Calibri Light"/>
          <w:sz w:val="20"/>
          <w:szCs w:val="20"/>
          <w:lang w:val="fr-BE"/>
        </w:rPr>
        <w:t xml:space="preserve">confiance des citoyens dans le secteur financier, 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 xml:space="preserve">de </w:t>
      </w:r>
      <w:r w:rsidRPr="00A80C7C">
        <w:rPr>
          <w:rFonts w:ascii="Calibri Light" w:hAnsi="Calibri Light" w:cs="Calibri Light"/>
          <w:sz w:val="20"/>
          <w:szCs w:val="20"/>
          <w:lang w:val="fr-BE"/>
        </w:rPr>
        <w:t>désamorce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>r</w:t>
      </w:r>
      <w:r w:rsidRPr="00A80C7C">
        <w:rPr>
          <w:rFonts w:ascii="Calibri Light" w:hAnsi="Calibri Light" w:cs="Calibri Light"/>
          <w:sz w:val="20"/>
          <w:szCs w:val="20"/>
          <w:lang w:val="fr-BE"/>
        </w:rPr>
        <w:t xml:space="preserve"> la bombe à retardement des 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 xml:space="preserve">retraites et de rendre les marchés de capitaux de l’UE plus attrayants. Dans ses </w:t>
      </w:r>
      <w:r w:rsidRPr="00A80C7C">
        <w:rPr>
          <w:rFonts w:ascii="Calibri Light" w:hAnsi="Calibri Light" w:cs="Calibri Light"/>
          <w:sz w:val="20"/>
          <w:szCs w:val="20"/>
          <w:lang w:val="fr-BE"/>
        </w:rPr>
        <w:t>recommandations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 xml:space="preserve">, le </w:t>
      </w:r>
      <w:r w:rsidR="00D31549">
        <w:rPr>
          <w:rFonts w:ascii="Calibri Light" w:hAnsi="Calibri Light" w:cs="Calibri Light"/>
          <w:sz w:val="20"/>
          <w:szCs w:val="20"/>
          <w:lang w:val="fr-BE"/>
        </w:rPr>
        <w:t>Forum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 xml:space="preserve"> de haut niveau </w:t>
      </w:r>
      <w:r w:rsidR="00D31549">
        <w:rPr>
          <w:rFonts w:ascii="Calibri Light" w:hAnsi="Calibri Light" w:cs="Calibri Light"/>
          <w:sz w:val="20"/>
          <w:szCs w:val="20"/>
          <w:lang w:val="fr-BE"/>
        </w:rPr>
        <w:t>sur</w:t>
      </w:r>
      <w:r w:rsidR="003159A7">
        <w:rPr>
          <w:rFonts w:ascii="Calibri Light" w:hAnsi="Calibri Light" w:cs="Calibri Light"/>
          <w:sz w:val="20"/>
          <w:szCs w:val="20"/>
          <w:lang w:val="fr-BE"/>
        </w:rPr>
        <w:t xml:space="preserve"> l’UMC a approuvé 16 de nos </w:t>
      </w:r>
      <w:r w:rsidRPr="00A80C7C">
        <w:rPr>
          <w:rFonts w:ascii="Calibri Light" w:hAnsi="Calibri Light" w:cs="Calibri Light"/>
          <w:sz w:val="20"/>
          <w:szCs w:val="20"/>
          <w:lang w:val="fr-BE"/>
        </w:rPr>
        <w:t>35 mesures clés.</w:t>
      </w:r>
    </w:p>
    <w:p w14:paraId="2211403B" w14:textId="4072980F" w:rsidR="007F0DCD" w:rsidRPr="00A80C7C" w:rsidRDefault="00A80C7C">
      <w:pPr>
        <w:jc w:val="both"/>
        <w:rPr>
          <w:rFonts w:ascii="Calibri Light" w:hAnsi="Calibri Light" w:cs="Calibri Light"/>
          <w:sz w:val="20"/>
          <w:szCs w:val="20"/>
          <w:lang w:val="fr-BE"/>
        </w:rPr>
      </w:pPr>
      <w:r w:rsidRPr="00A80C7C">
        <w:rPr>
          <w:rFonts w:ascii="Calibri Light" w:hAnsi="Calibri Light" w:cs="Calibri Light"/>
          <w:sz w:val="20"/>
          <w:szCs w:val="20"/>
          <w:lang w:val="fr-BE"/>
        </w:rPr>
        <w:t>La liste ci-dessous n'est pas exhaustive</w:t>
      </w:r>
      <w:r w:rsidR="00D31549">
        <w:rPr>
          <w:rFonts w:ascii="Calibri Light" w:hAnsi="Calibri Light" w:cs="Calibri Light"/>
          <w:sz w:val="20"/>
          <w:szCs w:val="20"/>
          <w:lang w:val="fr-BE"/>
        </w:rPr>
        <w:t xml:space="preserve">. Elle se </w:t>
      </w:r>
      <w:r w:rsidRPr="00A80C7C">
        <w:rPr>
          <w:rFonts w:ascii="Calibri Light" w:hAnsi="Calibri Light" w:cs="Calibri Light"/>
          <w:sz w:val="20"/>
          <w:szCs w:val="20"/>
          <w:lang w:val="fr-BE"/>
        </w:rPr>
        <w:t>concentre</w:t>
      </w:r>
      <w:r w:rsidR="000E751C">
        <w:rPr>
          <w:rFonts w:ascii="Calibri Light" w:hAnsi="Calibri Light" w:cs="Calibri Light"/>
          <w:sz w:val="20"/>
          <w:szCs w:val="20"/>
          <w:lang w:val="fr-BE"/>
        </w:rPr>
        <w:t xml:space="preserve"> sur les mesures les plus pertinentes (« indispensables »</w:t>
      </w:r>
      <w:r w:rsidR="00D31549">
        <w:rPr>
          <w:rFonts w:ascii="Calibri Light" w:hAnsi="Calibri Light" w:cs="Calibri Light"/>
          <w:sz w:val="20"/>
          <w:szCs w:val="20"/>
          <w:lang w:val="fr-BE"/>
        </w:rPr>
        <w:t>)</w:t>
      </w:r>
      <w:r w:rsidR="000E751C">
        <w:rPr>
          <w:rFonts w:ascii="Calibri Light" w:hAnsi="Calibri Light" w:cs="Calibri Light"/>
          <w:sz w:val="20"/>
          <w:szCs w:val="20"/>
          <w:lang w:val="fr-BE"/>
        </w:rPr>
        <w:t xml:space="preserve"> pour les investisseurs particuliers.</w:t>
      </w:r>
      <w:r w:rsidR="00503D2D">
        <w:rPr>
          <w:rFonts w:ascii="Calibri Light" w:hAnsi="Calibri Light" w:cs="Calibri Light"/>
          <w:sz w:val="20"/>
          <w:szCs w:val="20"/>
          <w:lang w:val="fr-BE"/>
        </w:rPr>
        <w:t xml:space="preserve"> 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5103"/>
      </w:tblGrid>
      <w:tr w:rsidR="007F0DCD" w:rsidRPr="00A80C7C" w14:paraId="2211403E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3C" w14:textId="23B21242" w:rsidR="007F0DCD" w:rsidRDefault="00A80C7C">
            <w:pPr>
              <w:spacing w:after="0" w:line="240" w:lineRule="auto"/>
              <w:jc w:val="center"/>
            </w:pP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</w:rPr>
              <w:t>Priorités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</w:rPr>
              <w:t>clés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</w:rPr>
              <w:t xml:space="preserve"> d</w:t>
            </w:r>
            <w:r w:rsidR="000E751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</w:rPr>
              <w:t xml:space="preserve">e BF 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</w:rPr>
              <w:t>2019 - 2024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3D" w14:textId="34054705" w:rsidR="007F0DCD" w:rsidRPr="00A80C7C" w:rsidRDefault="00A80C7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Recommandations </w:t>
            </w:r>
            <w:r w:rsidR="000E751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du </w:t>
            </w:r>
            <w:r w:rsidR="00D31549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Forum </w:t>
            </w:r>
            <w:r w:rsidR="000E751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de haut niveau </w:t>
            </w:r>
            <w:r w:rsidR="00D31549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sur </w:t>
            </w:r>
            <w:r w:rsidR="000E751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l’UMC </w:t>
            </w:r>
          </w:p>
        </w:tc>
      </w:tr>
      <w:tr w:rsidR="007F0DCD" w:rsidRPr="00A80C7C" w14:paraId="22114048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3F" w14:textId="2279D266" w:rsidR="007F0DCD" w:rsidRPr="00A80C7C" w:rsidRDefault="00D31549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>Améliorer l’</w:t>
            </w:r>
            <w:r w:rsidR="00A80C7C"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 xml:space="preserve">accès 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>aux</w:t>
            </w:r>
            <w:r w:rsidR="00A80C7C"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 xml:space="preserve"> produits simples et transparents</w:t>
            </w:r>
          </w:p>
          <w:p w14:paraId="22114040" w14:textId="6D2917AF" w:rsidR="007F0DCD" w:rsidRPr="00A80C7C" w:rsidRDefault="00A80C7C">
            <w:pPr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1) 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Un meilleur alignement des </w:t>
            </w:r>
            <w:r w:rsidR="00D31549">
              <w:rPr>
                <w:rFonts w:ascii="Calibri Light" w:hAnsi="Calibri Light" w:cs="Calibri Light"/>
                <w:sz w:val="20"/>
                <w:szCs w:val="20"/>
                <w:lang w:val="fr-BE"/>
              </w:rPr>
              <w:t>‘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incitations</w:t>
            </w:r>
            <w:r w:rsidR="00D31549">
              <w:rPr>
                <w:rFonts w:ascii="Calibri Light" w:hAnsi="Calibri Light" w:cs="Calibri Light"/>
                <w:sz w:val="20"/>
                <w:szCs w:val="20"/>
                <w:lang w:val="fr-BE"/>
              </w:rPr>
              <w:t>’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 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des distributeurs sur les rendements des clients en minimisant les conflits d'intérêts dans la distribution...</w:t>
            </w:r>
            <w:r w:rsidR="0033473D">
              <w:rPr>
                <w:rFonts w:ascii="Calibri Light" w:hAnsi="Calibri Light" w:cs="Calibri Light"/>
                <w:sz w:val="20"/>
                <w:szCs w:val="20"/>
                <w:lang w:val="fr-BE"/>
              </w:rPr>
              <w:t> »</w:t>
            </w:r>
          </w:p>
          <w:p w14:paraId="22114041" w14:textId="69E1CCC6" w:rsidR="007F0DCD" w:rsidRPr="00A80C7C" w:rsidRDefault="006F2391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 xml:space="preserve">Harmoniser toutes les règles de l’UE </w:t>
            </w:r>
            <w:r w:rsidR="00A80C7C"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 xml:space="preserve">en matière de protection des 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>usagers de services financiers</w:t>
            </w:r>
          </w:p>
          <w:p w14:paraId="22114042" w14:textId="2981A16B" w:rsidR="007F0DCD" w:rsidRPr="00A80C7C" w:rsidRDefault="00A80C7C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2) 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Éliminer les incohérences entre les règles existantes de protection des investisseurs et des preneurs d'assurance (par exemple, </w:t>
            </w:r>
            <w:proofErr w:type="spellStart"/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MiFID</w:t>
            </w:r>
            <w:proofErr w:type="spellEnd"/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 II et PRIIP, 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DDA et 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IBIP) (...)</w:t>
            </w:r>
            <w:r w:rsidR="00D31549">
              <w:rPr>
                <w:rFonts w:ascii="Calibri Light" w:hAnsi="Calibri Light" w:cs="Calibri Light"/>
                <w:sz w:val="20"/>
                <w:szCs w:val="20"/>
                <w:lang w:val="fr-BE"/>
              </w:rPr>
              <w:t>,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 en particulier les conflits d'intérêts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> »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43" w14:textId="4844860A" w:rsidR="007F0DCD" w:rsidRPr="00A80C7C" w:rsidRDefault="009D243B">
            <w:pPr>
              <w:spacing w:after="0" w:line="240" w:lineRule="auto"/>
              <w:rPr>
                <w:lang w:val="fr-BE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P</w:t>
            </w:r>
            <w:r w:rsidR="00402576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roblèmes </w:t>
            </w:r>
            <w:r w:rsidR="00A80C7C"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et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 n</w:t>
            </w:r>
            <w:r w:rsidR="006F2391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ouvelles règles du jeu</w:t>
            </w:r>
            <w:r w:rsidR="00503D2D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:</w:t>
            </w:r>
          </w:p>
          <w:p w14:paraId="22114044" w14:textId="6E5E3876" w:rsidR="007F0DCD" w:rsidRPr="00EA6E60" w:rsidRDefault="00EA6E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4" w:hanging="218"/>
              <w:rPr>
                <w:i/>
                <w:iCs/>
                <w:lang w:val="fr-BE"/>
              </w:rPr>
            </w:pPr>
            <w:r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40257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N</w:t>
            </w:r>
            <w:r w:rsidR="00A80C7C"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écessité pour la Commission d'examiner le rôle des incitations</w:t>
            </w:r>
            <w:r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</w:p>
          <w:p w14:paraId="22114045" w14:textId="723DDD64" w:rsidR="007F0DCD" w:rsidRPr="00EA6E60" w:rsidRDefault="00EA6E60">
            <w:pPr>
              <w:pStyle w:val="Default"/>
              <w:numPr>
                <w:ilvl w:val="0"/>
                <w:numId w:val="3"/>
              </w:numPr>
              <w:ind w:left="599" w:hanging="239"/>
              <w:rPr>
                <w:i/>
                <w:iCs/>
                <w:lang w:val="fr-BE"/>
              </w:rPr>
            </w:pPr>
            <w:r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402576"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Étude</w:t>
            </w:r>
            <w:r w:rsidR="00A80C7C"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sur le rôle des incitations</w:t>
            </w:r>
            <w:r w:rsidR="0033473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pour </w:t>
            </w:r>
            <w:r w:rsidR="00A80C7C"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l'adéquation des conseils</w:t>
            </w:r>
            <w:r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.</w:t>
            </w:r>
          </w:p>
          <w:p w14:paraId="22114046" w14:textId="1F8BF365" w:rsidR="007F0DCD" w:rsidRPr="00EA6E60" w:rsidRDefault="00EA6E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4" w:hanging="218"/>
              <w:rPr>
                <w:i/>
                <w:iCs/>
                <w:lang w:val="fr-BE"/>
              </w:rPr>
            </w:pPr>
            <w:r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40257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D</w:t>
            </w:r>
            <w:r w:rsidR="00A80C7C"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es règles plus harmonisées</w:t>
            </w:r>
            <w:r w:rsidR="0040257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sur les </w:t>
            </w:r>
            <w:r w:rsidR="00A80C7C"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incitations dans la législation sectorielle</w:t>
            </w:r>
            <w:r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</w:p>
          <w:p w14:paraId="22114047" w14:textId="57052F86" w:rsidR="007F0DCD" w:rsidRPr="00A80C7C" w:rsidRDefault="00EA6E60">
            <w:pPr>
              <w:pStyle w:val="Default"/>
              <w:numPr>
                <w:ilvl w:val="0"/>
                <w:numId w:val="3"/>
              </w:numPr>
              <w:ind w:left="599" w:hanging="239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Modification de la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DDA et de la </w:t>
            </w:r>
            <w:proofErr w:type="spellStart"/>
            <w:r w:rsidR="00A80C7C"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MiFID</w:t>
            </w:r>
            <w:proofErr w:type="spellEnd"/>
            <w:r w:rsidR="00A80C7C"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II pour améliorer l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’impartialité et </w:t>
            </w:r>
            <w:r w:rsidR="00A80C7C" w:rsidRPr="00EA6E6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la qualité des conseils financiers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</w:p>
        </w:tc>
      </w:tr>
      <w:tr w:rsidR="007F0DCD" w:rsidRPr="00A80C7C" w14:paraId="2211405E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49" w14:textId="77777777" w:rsidR="007F0DCD" w:rsidRPr="00A80C7C" w:rsidRDefault="00A80C7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>Rendre les marchés européens des capitaux plus attrayants pour les citoyens de l'UE en tant qu'épargnants et investisseurs</w:t>
            </w:r>
          </w:p>
          <w:p w14:paraId="2211404A" w14:textId="264FAC61" w:rsidR="007F0DCD" w:rsidRPr="00A80C7C" w:rsidRDefault="00A80C7C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3) 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="00D31549">
              <w:rPr>
                <w:rFonts w:ascii="Calibri Light" w:hAnsi="Calibri Light" w:cs="Calibri Light"/>
                <w:sz w:val="20"/>
                <w:szCs w:val="20"/>
                <w:lang w:val="fr-BE"/>
              </w:rPr>
              <w:t>V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eiller à l’application appropriée des 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règles de l'UE 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interdisant la vente abusive ». </w:t>
            </w:r>
          </w:p>
          <w:p w14:paraId="2211404B" w14:textId="47654ECD" w:rsidR="007F0DCD" w:rsidRPr="00A80C7C" w:rsidRDefault="00A80C7C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4) 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="00D31549">
              <w:rPr>
                <w:rFonts w:ascii="Calibri Light" w:hAnsi="Calibri Light" w:cs="Calibri Light"/>
                <w:sz w:val="20"/>
                <w:szCs w:val="20"/>
                <w:lang w:val="fr-BE"/>
              </w:rPr>
              <w:t>U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tiliser l</w:t>
            </w:r>
            <w:r w:rsidR="00D31549">
              <w:rPr>
                <w:rFonts w:ascii="Calibri Light" w:hAnsi="Calibri Light" w:cs="Calibri Light"/>
                <w:sz w:val="20"/>
                <w:szCs w:val="20"/>
                <w:lang w:val="fr-BE"/>
              </w:rPr>
              <w:t>’imposition à des fins incitatives et non à des fins punitives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> »</w:t>
            </w:r>
          </w:p>
          <w:p w14:paraId="2211404C" w14:textId="337F3AEE" w:rsidR="007F0DCD" w:rsidRPr="00A80C7C" w:rsidRDefault="00A80C7C">
            <w:pPr>
              <w:spacing w:after="120" w:line="240" w:lineRule="auto"/>
              <w:rPr>
                <w:rFonts w:ascii="Calibri Light" w:hAnsi="Calibri Light" w:cs="Calibri Light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5) 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="00402576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Renforcer la 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responsabilité des investisseurs institutionnels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> »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 </w:t>
            </w:r>
          </w:p>
          <w:p w14:paraId="2211404D" w14:textId="25AD5AB4" w:rsidR="007F0DCD" w:rsidRPr="00A80C7C" w:rsidRDefault="00A80C7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>Assurer un accès juste et équitable</w:t>
            </w:r>
            <w:r w:rsidR="006F2391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 xml:space="preserve"> aux procédures de recours </w:t>
            </w:r>
          </w:p>
          <w:p w14:paraId="2211404E" w14:textId="29FEE574" w:rsidR="007F0DCD" w:rsidRPr="00A80C7C" w:rsidRDefault="00A80C7C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6) 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Introduire 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un dispositif commun de 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recours collectif pour tous les investisseurs de l'UE</w:t>
            </w:r>
            <w:r w:rsidR="006F2391">
              <w:rPr>
                <w:rFonts w:ascii="Calibri Light" w:hAnsi="Calibri Light" w:cs="Calibri Light"/>
                <w:sz w:val="20"/>
                <w:szCs w:val="20"/>
                <w:lang w:val="fr-BE"/>
              </w:rPr>
              <w:t> »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.</w:t>
            </w:r>
          </w:p>
          <w:p w14:paraId="2211404F" w14:textId="77777777" w:rsidR="007F0DCD" w:rsidRPr="00A80C7C" w:rsidRDefault="007F0DC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fr-BE"/>
              </w:rPr>
            </w:pPr>
          </w:p>
          <w:p w14:paraId="22114050" w14:textId="77777777" w:rsidR="007F0DCD" w:rsidRPr="00A80C7C" w:rsidRDefault="007F0DC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fr-B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51" w14:textId="52229C1A" w:rsidR="007F0DCD" w:rsidRPr="00A80C7C" w:rsidRDefault="009D243B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P</w:t>
            </w:r>
            <w:r w:rsidR="00402576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roblèmes </w:t>
            </w:r>
            <w:r w:rsidR="0033473D"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et </w:t>
            </w:r>
            <w:r w:rsidR="0033473D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nouvelles</w:t>
            </w:r>
            <w:r w:rsidR="00EA6E60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 règles du jeu</w:t>
            </w:r>
            <w:r w:rsidR="00503D2D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:</w:t>
            </w:r>
          </w:p>
          <w:p w14:paraId="22114052" w14:textId="3787BCF8" w:rsidR="007F0DCD" w:rsidRPr="00A80C7C" w:rsidRDefault="00EA6E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214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La confiance des citoyens dans les marchés de capitaux devrait être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encore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renforcée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grâce à des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instruments de recours collectif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efficaces et d’une portée </w:t>
            </w:r>
            <w:r w:rsidR="0040257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adéquate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».</w:t>
            </w:r>
            <w:r w:rsidR="00503D2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</w:p>
          <w:p w14:paraId="22114053" w14:textId="46BA6B10" w:rsidR="007F0DCD" w:rsidRPr="00A80C7C" w:rsidRDefault="0040257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99" w:hanging="219"/>
              <w:jc w:val="both"/>
              <w:rPr>
                <w:lang w:val="fr-BE"/>
              </w:rPr>
            </w:pPr>
            <w:r w:rsidRPr="00402576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Le</w:t>
            </w:r>
            <w:r w:rsidR="00EA6E60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Forum </w:t>
            </w:r>
            <w:r w:rsidR="00EA6E60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de haut niveau i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nvite les colégislateurs à ne pas </w:t>
            </w:r>
            <w:r w:rsidR="00EA6E60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défavoriser les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investissements directs des </w:t>
            </w:r>
            <w:r w:rsidR="00EA6E60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particuliers qui investissent dans des instruments de capitaux et à revenu fixe, 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et à les inclure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dans le champ d'application de la directive relative aux actions représentatives </w:t>
            </w:r>
            <w:r w:rsidR="00EA6E60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dans le domaine de la protection des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intérêts collectifs des consommateurs 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(...)</w:t>
            </w:r>
            <w:r>
              <w:rPr>
                <w:rFonts w:ascii="Calibri Light" w:hAnsi="Calibri Light" w:cs="Calibri Light"/>
                <w:sz w:val="20"/>
                <w:szCs w:val="20"/>
                <w:lang w:val="fr-BE"/>
              </w:rPr>
              <w:t>,</w:t>
            </w:r>
            <w:r w:rsidR="00503D2D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 </w:t>
            </w:r>
            <w:r w:rsidR="00EA6E60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en 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intégrant </w:t>
            </w:r>
            <w:r w:rsidR="00EA6E60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dans son Annexe I le règlement sur les abus de marché et la directive sur les droits des actionnaires. »</w:t>
            </w:r>
            <w:r w:rsidR="00503D2D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</w:t>
            </w:r>
          </w:p>
          <w:p w14:paraId="22114054" w14:textId="060444DA" w:rsidR="007F0DCD" w:rsidRPr="000731A9" w:rsidRDefault="000731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214"/>
              <w:jc w:val="both"/>
              <w:rPr>
                <w:i/>
                <w:iCs/>
                <w:lang w:val="fr-BE"/>
              </w:rPr>
            </w:pPr>
            <w:r w:rsidRPr="000731A9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40257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</w:t>
            </w:r>
            <w:r w:rsidR="00A80C7C" w:rsidRPr="000731A9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e manque d'harmonisation et d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e standardisation entre les règles </w:t>
            </w:r>
            <w:r w:rsidR="0040257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nationales</w:t>
            </w:r>
            <w:r w:rsidR="00A80C7C" w:rsidRPr="000731A9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régissant l'attribution des droits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de vote aux actionnaires et l’exercice de leurs droits de vote. » </w:t>
            </w:r>
          </w:p>
          <w:p w14:paraId="22114055" w14:textId="783DFE45" w:rsidR="007F0DCD" w:rsidRPr="00356C6B" w:rsidRDefault="00356C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5" w:hanging="245"/>
              <w:rPr>
                <w:i/>
                <w:iCs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40257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P</w:t>
            </w:r>
            <w:r w:rsidR="00A80C7C" w:rsidRPr="00356C6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résenter une proposition de règlement sur les droits des actionnaires afin d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e 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parvenir à une 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lastRenderedPageBreak/>
              <w:t>définition de</w:t>
            </w:r>
            <w:r w:rsidR="00402576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l</w:t>
            </w:r>
            <w:proofErr w:type="gramStart"/>
            <w:r w:rsidR="00402576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’«</w:t>
            </w:r>
            <w:proofErr w:type="gramEnd"/>
            <w:r w:rsidR="00402576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 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actionnaire</w:t>
            </w:r>
            <w:r w:rsidR="00402576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 »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356C6B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harmonisée</w:t>
            </w:r>
            <w:r w:rsidR="00503D2D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356C6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au niveau de l'UE</w:t>
            </w:r>
            <w:r w:rsidR="0040257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356C6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.</w:t>
            </w:r>
          </w:p>
          <w:p w14:paraId="22114056" w14:textId="5A791DF3" w:rsidR="007F0DCD" w:rsidRPr="00A80C7C" w:rsidRDefault="00356C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214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40257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a gestion des processus complexes et divergents d</w:t>
            </w:r>
            <w:r w:rsidR="00243188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’opérations sur titres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dans les États membres reste également inefficace et coûteuse</w:t>
            </w:r>
            <w:r w:rsidR="0040257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.</w:t>
            </w:r>
          </w:p>
          <w:p w14:paraId="22114057" w14:textId="737EEB16" w:rsidR="007F0DCD" w:rsidRPr="00A80C7C" w:rsidRDefault="0024318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99" w:hanging="218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40257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M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odifier la </w:t>
            </w:r>
            <w:r w:rsidR="00A80C7C" w:rsidRPr="00243188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directive</w:t>
            </w:r>
            <w:r w:rsidRPr="00243188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sur les droits des actionnaires II</w:t>
            </w:r>
            <w:r w:rsidR="00503D2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et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son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règlement </w:t>
            </w:r>
            <w:r w:rsidR="00A80C7C" w:rsidRPr="00243188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d'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application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afin de clarifier et d'harmoniser davantage l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es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interaction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s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entre les investisseurs, les intermédiaires, y compris les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dépositaires centraux de titres, et les</w:t>
            </w:r>
            <w:r w:rsidR="00503D2D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émetteurs/agents émetteurs en ce qui concerne l'exercice des droits de vote et le traitement des opérations sur titres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</w:p>
          <w:p w14:paraId="22114058" w14:textId="099A86D3" w:rsidR="007F0DCD" w:rsidRPr="00A80C7C" w:rsidRDefault="002431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4" w:hanging="218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40257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L’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utilisation des nouvelles technologies </w:t>
            </w:r>
            <w:r w:rsidR="0040257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a le potentiel </w:t>
            </w:r>
            <w:r w:rsidR="00402576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d’améliorer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l'efficacité (...) et de faciliter l'exercice des droits des actionnaires dans un contexte transfrontalier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.</w:t>
            </w:r>
          </w:p>
          <w:p w14:paraId="22114059" w14:textId="7194A5E5" w:rsidR="007F0DCD" w:rsidRPr="00A80C7C" w:rsidRDefault="004025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99" w:hanging="239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F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aciliter l'utilisation des nouvelles technologies numériques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pour (i) permettre un</w:t>
            </w:r>
            <w:r w:rsidR="00243188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e </w:t>
            </w:r>
            <w:r w:rsidR="00243188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mobilisation</w:t>
            </w:r>
            <w:r w:rsidR="00503D2D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à </w:t>
            </w:r>
            <w:r w:rsidR="00243188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plus grande échelle des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investisseurs 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(...)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et (ii) </w:t>
            </w:r>
            <w:r w:rsidR="00243188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améliorer l’efficacité des processus de traitement des opérations sur titre</w:t>
            </w:r>
            <w:r w:rsidR="00B276F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s</w:t>
            </w:r>
            <w:r w:rsidR="00243188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et des assemblées générales »</w:t>
            </w:r>
            <w:r w:rsidR="00503D2D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</w:t>
            </w:r>
          </w:p>
          <w:p w14:paraId="2211405A" w14:textId="7F64FF88" w:rsidR="007F0DCD" w:rsidRPr="00A80C7C" w:rsidRDefault="002431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4" w:hanging="174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Un système européen unique permettrait d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e parvenir à un</w:t>
            </w:r>
            <w:r w:rsidR="00503D2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allègement immédiat </w:t>
            </w:r>
            <w:r w:rsidR="00376BFE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du précompte mobilier sur les</w:t>
            </w:r>
            <w:r w:rsidR="00503D2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revenus d'investissement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</w:p>
          <w:p w14:paraId="2211405B" w14:textId="40642A03" w:rsidR="007F0DCD" w:rsidRPr="00A80C7C" w:rsidRDefault="00B276F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99" w:hanging="218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La Commission est invitée à </w:t>
            </w:r>
            <w:r w:rsidR="00243188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inscrire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dans le droit communautaire des définitions communes, des procédures communes et un formulaire unique</w:t>
            </w:r>
            <w:r w:rsidR="00376BFE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en vue de l’allègement du précompte mobilier et de son harmonisation »  </w:t>
            </w:r>
          </w:p>
          <w:p w14:paraId="2211405C" w14:textId="3E716634" w:rsidR="007F0DCD" w:rsidRPr="00A80C7C" w:rsidRDefault="00376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4" w:hanging="174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L'UE souffre d'un manque chronique de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fonds pour financer les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entreprises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ayant le potentiel de devenir des acteurs mondiaux et pour financer les investissements à long terme nécessaires pour assurer le développement durable de l’environnement. </w:t>
            </w:r>
          </w:p>
          <w:p w14:paraId="2211405D" w14:textId="50A54409" w:rsidR="007F0DCD" w:rsidRPr="00A80C7C" w:rsidRDefault="00B276F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99" w:hanging="218"/>
              <w:jc w:val="both"/>
              <w:rPr>
                <w:lang w:val="fr-BE"/>
              </w:rPr>
            </w:pPr>
            <w:r w:rsidRPr="00B276FF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Les États membres sont invités à simplifier les règles fiscales applicables aux Fonds européens d'investissement à long terme (FE</w:t>
            </w:r>
            <w:r w:rsidR="00376BFE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I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LT) et/ou</w:t>
            </w:r>
            <w:r w:rsidR="00376BFE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au</w:t>
            </w:r>
            <w:r w:rsidR="00503D2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traitement fiscal préférentiel des FE</w:t>
            </w:r>
            <w:r w:rsidR="00376BFE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I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LT. En outre, les États membres devraient envisager </w:t>
            </w:r>
            <w:r w:rsidR="00376BFE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la mise en place de mesures fiscales incitatives pour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promouvoir l'investissement à long terme dans les PME par le biais des</w:t>
            </w:r>
            <w:r w:rsidR="00376BFE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FEILT ». </w:t>
            </w:r>
          </w:p>
        </w:tc>
      </w:tr>
      <w:tr w:rsidR="007F0DCD" w:rsidRPr="00A80C7C" w14:paraId="2211406B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5F" w14:textId="6F2FF617" w:rsidR="007F0DCD" w:rsidRPr="00A80C7C" w:rsidRDefault="00A80C7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lastRenderedPageBreak/>
              <w:t>Améliorer la compétitivité des marchés européens de capitaux pour les PME</w:t>
            </w:r>
          </w:p>
          <w:p w14:paraId="22114060" w14:textId="7675F3AF" w:rsidR="007F0DCD" w:rsidRPr="00A80C7C" w:rsidRDefault="00A80C7C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7) </w:t>
            </w:r>
            <w:r w:rsidR="00376BFE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A</w:t>
            </w:r>
            <w:r w:rsidR="00376BFE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méliorer l’attrait des 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bourses </w:t>
            </w:r>
            <w:r w:rsidR="00B276FF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européennes 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pour les PME de l'UE</w:t>
            </w:r>
            <w:r w:rsidR="00376BFE">
              <w:rPr>
                <w:rFonts w:ascii="Calibri Light" w:hAnsi="Calibri Light" w:cs="Calibri Light"/>
                <w:sz w:val="20"/>
                <w:szCs w:val="20"/>
                <w:lang w:val="fr-BE"/>
              </w:rPr>
              <w:t> »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.</w:t>
            </w:r>
          </w:p>
          <w:p w14:paraId="22114061" w14:textId="7F55486F" w:rsidR="007F0DCD" w:rsidRPr="00A80C7C" w:rsidRDefault="00A80C7C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8) </w:t>
            </w:r>
            <w:r w:rsidR="00376BFE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Renforcer le marché des</w:t>
            </w:r>
            <w:r w:rsidR="009D68A2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 OPI e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n Europe continentale...</w:t>
            </w:r>
            <w:r w:rsidR="009D68A2">
              <w:rPr>
                <w:rFonts w:ascii="Calibri Light" w:hAnsi="Calibri Light" w:cs="Calibri Light"/>
                <w:sz w:val="20"/>
                <w:szCs w:val="20"/>
                <w:lang w:val="fr-BE"/>
              </w:rPr>
              <w:t> 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62" w14:textId="48E89B3D" w:rsidR="007F0DCD" w:rsidRPr="00A80C7C" w:rsidRDefault="009D243B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P</w:t>
            </w:r>
            <w:r w:rsidR="00B276FF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roblèmes et </w:t>
            </w:r>
            <w:r w:rsidR="009D68A2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nouvelles règles du jeu</w:t>
            </w:r>
            <w:r w:rsidR="00503D2D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:</w:t>
            </w:r>
          </w:p>
          <w:p w14:paraId="22114063" w14:textId="4DD45BF5" w:rsidR="007F0DCD" w:rsidRPr="00A80C7C" w:rsidRDefault="009D68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« Faire en sorte que les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PME ne soient pas confrontées à une charge administrative et à des coûts disproportionnés pour se conformer aux exigences de cotation, </w:t>
            </w:r>
            <w:r w:rsidR="00B276FF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ou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à des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abus de marché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, permettr</w:t>
            </w:r>
            <w:r w:rsidR="00B276FF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a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de réduire leur réticence à</w:t>
            </w:r>
            <w:r w:rsidR="00B276FF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une introduction en bourse ».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</w:p>
          <w:p w14:paraId="22114064" w14:textId="226CF121" w:rsidR="007F0DCD" w:rsidRPr="00A80C7C" w:rsidRDefault="00B276F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99" w:hanging="218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fr-BE"/>
              </w:rPr>
              <w:t>N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ouvelle définition </w:t>
            </w:r>
            <w:r w:rsidR="009D68A2">
              <w:rPr>
                <w:rFonts w:ascii="Calibri Light" w:hAnsi="Calibri Light" w:cs="Calibri Light"/>
                <w:sz w:val="20"/>
                <w:szCs w:val="20"/>
                <w:lang w:val="fr-BE"/>
              </w:rPr>
              <w:t>de la</w:t>
            </w:r>
            <w:r w:rsidR="00503D2D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PME (</w:t>
            </w:r>
            <w:r w:rsidR="009D68A2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société à petite et moyenne capitalisation</w:t>
            </w:r>
            <w:r w:rsidR="009D68A2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) ;</w:t>
            </w:r>
          </w:p>
          <w:p w14:paraId="22114065" w14:textId="07294C5F" w:rsidR="007F0DCD" w:rsidRPr="00A80C7C" w:rsidRDefault="009D68A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99" w:hanging="218"/>
              <w:jc w:val="both"/>
              <w:rPr>
                <w:lang w:val="fr-BE"/>
              </w:rPr>
            </w:pPr>
            <w:r w:rsidRPr="009D68A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«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</w:t>
            </w:r>
            <w:r w:rsidR="00B276F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P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ériodes 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de transition pour les OPI »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, en allégeant les exigences d'inscription</w:t>
            </w:r>
            <w:r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 à la cote, l’idée étant […] bénéficient d’une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période de transition</w:t>
            </w:r>
            <w:r w:rsidR="00B276FF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,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de 5 ans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lastRenderedPageBreak/>
              <w:t>maximum</w:t>
            </w:r>
            <w:r w:rsidR="00B276FF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,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pour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certaines dispositions de la législation applicable ».</w:t>
            </w:r>
            <w:r w:rsidR="00503D2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</w:p>
          <w:p w14:paraId="22114066" w14:textId="24ADA019" w:rsidR="007F0DCD" w:rsidRPr="00A80C7C" w:rsidRDefault="009D68A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99" w:hanging="218"/>
              <w:jc w:val="both"/>
              <w:rPr>
                <w:lang w:val="fr-BE"/>
              </w:rPr>
            </w:pPr>
            <w:r w:rsidRPr="009D68A2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«</w:t>
            </w:r>
            <w:r>
              <w:rPr>
                <w:rFonts w:ascii="Calibri Light" w:hAnsi="Calibri Light" w:cs="Calibri Light"/>
                <w:sz w:val="20"/>
                <w:szCs w:val="20"/>
                <w:lang w:val="fr-BE"/>
              </w:rPr>
              <w:t> 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Création d'un fonds</w:t>
            </w:r>
            <w:r w:rsidR="00477BC2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OPI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public-privé 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paneuropéen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soutenu par l'UE</w:t>
            </w:r>
            <w:r w:rsidR="00B276F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 »</w:t>
            </w:r>
          </w:p>
          <w:p w14:paraId="22114067" w14:textId="442873AF" w:rsidR="007F0DCD" w:rsidRPr="00A80C7C" w:rsidRDefault="00477BC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99" w:hanging="218"/>
              <w:jc w:val="both"/>
              <w:rPr>
                <w:lang w:val="fr-BE"/>
              </w:rPr>
            </w:pPr>
            <w:r w:rsidRPr="00B276FF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«</w:t>
            </w:r>
            <w:r>
              <w:rPr>
                <w:rFonts w:ascii="Calibri Light" w:hAnsi="Calibri Light" w:cs="Calibri Light"/>
                <w:sz w:val="20"/>
                <w:szCs w:val="20"/>
                <w:lang w:val="fr-BE"/>
              </w:rPr>
              <w:t> 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Exempter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les activités de recherche des PME de la règle de dissociation inscrite dans la</w:t>
            </w:r>
            <w:r w:rsidR="00B276F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</w:t>
            </w:r>
            <w:proofErr w:type="spellStart"/>
            <w:r w:rsidR="00B276FF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MiFID</w:t>
            </w:r>
            <w:proofErr w:type="spellEnd"/>
            <w:r w:rsidR="00503D2D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II</w:t>
            </w:r>
            <w:r w:rsidR="00B276FF">
              <w:rPr>
                <w:rFonts w:ascii="Calibri Light" w:hAnsi="Calibri Light" w:cs="Calibri Light"/>
                <w:sz w:val="20"/>
                <w:szCs w:val="20"/>
                <w:lang w:val="fr-BE"/>
              </w:rPr>
              <w:t> </w:t>
            </w:r>
            <w:r w:rsidR="00B276FF" w:rsidRPr="00B276FF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»</w:t>
            </w:r>
          </w:p>
          <w:p w14:paraId="22114068" w14:textId="467CBBB3" w:rsidR="007F0DCD" w:rsidRPr="00A80C7C" w:rsidRDefault="00477BC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99" w:hanging="218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«</w:t>
            </w:r>
            <w:r w:rsidR="00503D2D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Allégement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des règles relatives au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prospectus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en termes de délais, de durée, de seuils et de passeport.</w:t>
            </w:r>
          </w:p>
          <w:p w14:paraId="22114069" w14:textId="6CB6B59D" w:rsidR="007F0DCD" w:rsidRPr="00A80C7C" w:rsidRDefault="00477B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Le manque d'informations publiques facilement accessibles, fiables, compréhensibles et comparables est l'une des raisons pour lesquelles les entreprises (...)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peinent à attirer les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investisseurs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</w:p>
          <w:p w14:paraId="61C43119" w14:textId="750A098B" w:rsidR="007F0DCD" w:rsidRPr="004D4890" w:rsidRDefault="004D489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Proposer une législation permettant à l'AEMF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de mettre en place une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plateforme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paneuropéenne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d'accès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électronique (point d’accès électronique européen, </w:t>
            </w:r>
            <w:r w:rsidR="00B276FF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‘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ESAP</w:t>
            </w:r>
            <w:r w:rsidR="00B276FF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’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)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aux informations publiques financières et non financières des entreprises, ainsi qu'à d'autres informations publique</w:t>
            </w:r>
            <w:r w:rsidR="005A645A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s sur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des produits ou activités financiers</w:t>
            </w:r>
            <w:r w:rsidR="00B276FF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.</w:t>
            </w:r>
          </w:p>
          <w:p w14:paraId="2211406A" w14:textId="3C18529E" w:rsidR="004D4890" w:rsidRPr="004D4890" w:rsidRDefault="004D4890" w:rsidP="004D4890">
            <w:pPr>
              <w:spacing w:after="0" w:line="240" w:lineRule="auto"/>
              <w:jc w:val="both"/>
              <w:rPr>
                <w:lang w:val="fr-BE"/>
              </w:rPr>
            </w:pPr>
            <w:r>
              <w:rPr>
                <w:rStyle w:val="Emphasis"/>
              </w:rPr>
              <w:t xml:space="preserve"> </w:t>
            </w:r>
          </w:p>
        </w:tc>
      </w:tr>
      <w:tr w:rsidR="007F0DCD" w:rsidRPr="00A80C7C" w14:paraId="2211407A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6C" w14:textId="5076E237" w:rsidR="007F0DCD" w:rsidRPr="00A80C7C" w:rsidRDefault="00B276FF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lastRenderedPageBreak/>
              <w:t>Améliorer l’</w:t>
            </w:r>
            <w:r w:rsidR="00A80C7C"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 xml:space="preserve">accès à des informations comparables, </w:t>
            </w:r>
            <w:r w:rsidR="003A2DB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 xml:space="preserve">impartiales, </w:t>
            </w:r>
            <w:r w:rsidR="003A2DBC"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>claires</w:t>
            </w:r>
            <w:r w:rsidR="00A80C7C"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 xml:space="preserve"> et non trompeuses</w:t>
            </w:r>
          </w:p>
          <w:p w14:paraId="2211406D" w14:textId="6B78564B" w:rsidR="007F0DCD" w:rsidRPr="00A80C7C" w:rsidRDefault="00A80C7C">
            <w:pPr>
              <w:spacing w:after="0" w:line="240" w:lineRule="auto"/>
              <w:rPr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9) </w:t>
            </w:r>
            <w:r w:rsidR="009F0FB9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(...) </w:t>
            </w:r>
            <w:r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revoir d'urgence le règlement PRIIP</w:t>
            </w:r>
            <w:r w:rsidR="009F0FB9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 »</w:t>
            </w:r>
            <w:r w:rsidR="00B276FF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 </w:t>
            </w:r>
          </w:p>
          <w:p w14:paraId="2211406E" w14:textId="6D950C4D" w:rsidR="007F0DCD" w:rsidRPr="00A80C7C" w:rsidRDefault="00A80C7C">
            <w:pPr>
              <w:spacing w:after="0" w:line="240" w:lineRule="auto"/>
              <w:rPr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10) </w:t>
            </w:r>
            <w:r w:rsidR="009F0FB9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Simplifier 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et standardiser les documents d'information clés</w:t>
            </w:r>
            <w:r w:rsidR="009F0FB9">
              <w:rPr>
                <w:rFonts w:ascii="Calibri Light" w:hAnsi="Calibri Light" w:cs="Calibri Light"/>
                <w:sz w:val="20"/>
                <w:szCs w:val="20"/>
                <w:lang w:val="fr-BE"/>
              </w:rPr>
              <w:t> »</w:t>
            </w:r>
            <w:r w:rsidR="00B276FF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 </w:t>
            </w:r>
          </w:p>
          <w:p w14:paraId="2211406F" w14:textId="45E7004A" w:rsidR="007F0DCD" w:rsidRPr="00A80C7C" w:rsidRDefault="00A80C7C">
            <w:pPr>
              <w:spacing w:after="0" w:line="240" w:lineRule="auto"/>
              <w:rPr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11) </w:t>
            </w:r>
            <w:r w:rsidR="009F0FB9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créer des </w:t>
            </w:r>
            <w:r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outils </w:t>
            </w:r>
            <w:r w:rsidR="009F0FB9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paneuropéens </w:t>
            </w:r>
            <w:r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de comparaison</w:t>
            </w:r>
            <w:r w:rsidR="009F0FB9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 en ligne,</w:t>
            </w:r>
            <w:r w:rsidR="00503D2D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 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publics ou </w:t>
            </w:r>
            <w:r w:rsidR="009F0FB9">
              <w:rPr>
                <w:rFonts w:ascii="Calibri Light" w:hAnsi="Calibri Light" w:cs="Calibri Light"/>
                <w:sz w:val="20"/>
                <w:szCs w:val="20"/>
                <w:lang w:val="fr-BE"/>
              </w:rPr>
              <w:t>du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 moins indépendants</w:t>
            </w:r>
            <w:r w:rsidR="009F0FB9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 » </w:t>
            </w:r>
          </w:p>
          <w:p w14:paraId="22114070" w14:textId="4A782BF7" w:rsidR="007F0DCD" w:rsidRPr="00A80C7C" w:rsidRDefault="00A80C7C">
            <w:pPr>
              <w:spacing w:after="0" w:line="240" w:lineRule="auto"/>
              <w:rPr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12) </w:t>
            </w:r>
            <w:r w:rsidR="00B276FF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="009F0FB9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établir une différence entre </w:t>
            </w:r>
            <w:r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les investisseurs inexpérimentés et les investisseurs expérimentés...</w:t>
            </w:r>
            <w:r w:rsidR="009D243B">
              <w:rPr>
                <w:rFonts w:ascii="Calibri Light" w:hAnsi="Calibri Light" w:cs="Calibri Light"/>
                <w:sz w:val="20"/>
                <w:szCs w:val="20"/>
                <w:lang w:val="fr-BE"/>
              </w:rPr>
              <w:t> 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71" w14:textId="1F685D38" w:rsidR="007F0DCD" w:rsidRPr="00A80C7C" w:rsidRDefault="009D243B">
            <w:pPr>
              <w:spacing w:after="0" w:line="240" w:lineRule="auto"/>
              <w:rPr>
                <w:lang w:val="fr-BE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Problèmes </w:t>
            </w:r>
            <w:r w:rsidR="00A80C7C"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et </w:t>
            </w:r>
            <w:r w:rsidR="004D4890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nouvelles règles du jeu : </w:t>
            </w:r>
          </w:p>
          <w:p w14:paraId="22114072" w14:textId="20CA45E4" w:rsidR="007F0DCD" w:rsidRPr="00A80C7C" w:rsidRDefault="006A5D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9D243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es règles </w:t>
            </w:r>
            <w:r w:rsidR="009D243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relatives à l’information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doivent être réévaluées afin de les rendre plus cohérente</w:t>
            </w:r>
            <w:r w:rsidR="009D243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et</w:t>
            </w:r>
            <w:r w:rsidR="00503D2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plus compréhensibles pour les petits investisseurs et</w:t>
            </w:r>
            <w:r w:rsidR="009D243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être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facilement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accessibles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en ligne ».</w:t>
            </w:r>
            <w:r w:rsidR="00503D2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</w:p>
          <w:p w14:paraId="7E5F09B0" w14:textId="6082B791" w:rsidR="006A5DA2" w:rsidRPr="006A5DA2" w:rsidRDefault="009D243B" w:rsidP="006A5DA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La Commission est invitée à réexaminer </w:t>
            </w:r>
            <w:r w:rsidR="006A5DA2" w:rsidRPr="006A5DA2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val="fr-BE"/>
              </w:rPr>
              <w:t xml:space="preserve">dès que possible </w:t>
            </w:r>
            <w:r w:rsidR="006A5DA2" w:rsidRPr="006A5DA2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le règlement PRIIP, et suffisamment tô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t pour éviter tout conflit </w:t>
            </w:r>
            <w:r w:rsidR="006A5DA2" w:rsidRPr="006A5DA2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lié à l’expiration de l’exemption pour les OPCVM, ceci afin de répondre aux questions soulevées par la plupart des parties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prenantes</w:t>
            </w:r>
            <w:r w:rsidRPr="006A5DA2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concernant</w:t>
            </w:r>
            <w:r w:rsidR="006A5DA2" w:rsidRPr="006A5DA2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l'intelligibilité et la comparabilité des informations et la cohérence avec les dispositions de la </w:t>
            </w:r>
            <w:proofErr w:type="spellStart"/>
            <w:r w:rsidR="006A5DA2" w:rsidRPr="006A5DA2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MiFID</w:t>
            </w:r>
            <w:proofErr w:type="spellEnd"/>
            <w:r w:rsidR="006A5DA2" w:rsidRPr="006A5DA2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sur l’information, en particulier la communication des performances et des coûts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 » </w:t>
            </w:r>
          </w:p>
          <w:p w14:paraId="22114074" w14:textId="6AD8FECA" w:rsidR="007F0DCD" w:rsidRPr="00A80C7C" w:rsidRDefault="009D24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lang w:val="fr-BE"/>
              </w:rPr>
            </w:pPr>
            <w:r w:rsidRPr="009D243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</w:t>
            </w:r>
            <w:r>
              <w:rPr>
                <w:rFonts w:ascii="Calibri Light" w:hAnsi="Calibri Light" w:cs="Calibri Light"/>
                <w:sz w:val="20"/>
                <w:szCs w:val="20"/>
                <w:lang w:val="fr-BE"/>
              </w:rPr>
              <w:t>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La Commission est également invitée à </w:t>
            </w:r>
            <w:r w:rsidR="006A5DA2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analyser et à évaluer de manière approfondie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toutes les règles pertinentes en vigueur et </w:t>
            </w:r>
            <w:r w:rsidR="006A5DA2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leur mise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en œuvre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</w:p>
          <w:p w14:paraId="22114075" w14:textId="12A9AC0D" w:rsidR="007F0DCD" w:rsidRPr="00A80C7C" w:rsidRDefault="006A5DA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La Commission devrait veiller à ce que les informations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communiquées dans le DICI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soient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appropriées et utiles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pour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faciliter la comparaison des caractéristiques clés des produits, y compris les performances à long terme passées des produits d’investissement et de leurs indices de référence respectifs »</w:t>
            </w:r>
            <w:r w:rsidR="00503D2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</w:p>
          <w:p w14:paraId="22114076" w14:textId="1FC4130C" w:rsidR="007F0DCD" w:rsidRPr="00A80C7C" w:rsidRDefault="006A5D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9D243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D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es règles simplifiées </w:t>
            </w:r>
            <w:r w:rsidR="009D243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pour la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communication de ces informations pourraient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faciliter la création de bases de données et d'outils</w:t>
            </w:r>
            <w:r w:rsidR="009D243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plus efficaces pour la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comparaison de</w:t>
            </w:r>
            <w:r w:rsidR="009D243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s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produits d'investissement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</w:p>
          <w:p w14:paraId="22114077" w14:textId="05E248A9" w:rsidR="007F0DCD" w:rsidRPr="00A80C7C" w:rsidRDefault="006A5DA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La Commission devrait examiner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comment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promouvoir le développement d'outils de comparaison indépendants</w:t>
            </w:r>
            <w:r w:rsidR="003674E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en ligne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pour les produits d'investissement</w:t>
            </w:r>
            <w:r w:rsidR="009D243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.</w:t>
            </w:r>
          </w:p>
          <w:p w14:paraId="22114078" w14:textId="742B50BA" w:rsidR="007F0DCD" w:rsidRPr="00A80C7C" w:rsidRDefault="003674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Une nouvelle catégorie d'investisseurs qualifiés ou la possibilité d'opter pour le statut d'investisseur professionnel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lastRenderedPageBreak/>
              <w:t>permettrait aux clients plus expérimentés de bénéficier d'</w:t>
            </w:r>
            <w:r w:rsidR="009D243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informations plus adaptées »  </w:t>
            </w:r>
          </w:p>
          <w:p w14:paraId="22114079" w14:textId="7CC18D8F" w:rsidR="007F0DCD" w:rsidRPr="00A80C7C" w:rsidRDefault="009D24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proofErr w:type="gramStart"/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créer</w:t>
            </w:r>
            <w:proofErr w:type="gramEnd"/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une nouvelle catégorie d'investisseurs non professionnels</w:t>
            </w:r>
            <w:r w:rsidR="003674E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avertis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[...] ou modifier la définition des investisseurs professionnels </w:t>
            </w:r>
            <w:r w:rsidR="003674E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inscrite dans la</w:t>
            </w:r>
            <w:r w:rsidR="00503D2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  <w:proofErr w:type="spellStart"/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MiFID</w:t>
            </w:r>
            <w:proofErr w:type="spellEnd"/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II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</w:p>
        </w:tc>
      </w:tr>
      <w:tr w:rsidR="007F0DCD" w:rsidRPr="00A80C7C" w14:paraId="22114080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7B" w14:textId="4C0AA14B" w:rsidR="007F0DCD" w:rsidRPr="00A80C7C" w:rsidRDefault="00A80C7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lastRenderedPageBreak/>
              <w:t xml:space="preserve">Améliorer la création de valeur </w:t>
            </w:r>
            <w:r w:rsidR="003674EB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 xml:space="preserve">durable et à long terme </w:t>
            </w:r>
          </w:p>
          <w:p w14:paraId="2211407C" w14:textId="7BD12AEC" w:rsidR="007F0DCD" w:rsidRPr="00A80C7C" w:rsidRDefault="00A80C7C">
            <w:pPr>
              <w:spacing w:after="0" w:line="240" w:lineRule="auto"/>
              <w:rPr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13) </w:t>
            </w:r>
            <w:r w:rsidR="003674EB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Suivi des </w:t>
            </w:r>
            <w:r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meilleures pratiques en matière d'actionnariat salarié </w:t>
            </w:r>
            <w:r w:rsidR="003674EB">
              <w:rPr>
                <w:rFonts w:ascii="Calibri Light" w:hAnsi="Calibri Light" w:cs="Calibri Light"/>
                <w:sz w:val="20"/>
                <w:szCs w:val="20"/>
                <w:lang w:val="fr-BE"/>
              </w:rPr>
              <w:t>grâce à une ‘action‘ de l’UMC</w:t>
            </w:r>
            <w:r w:rsidR="009D243B">
              <w:rPr>
                <w:rFonts w:ascii="Calibri Light" w:hAnsi="Calibri Light" w:cs="Calibri Light"/>
                <w:sz w:val="20"/>
                <w:szCs w:val="20"/>
                <w:lang w:val="fr-BE"/>
              </w:rPr>
              <w:t> »</w:t>
            </w:r>
            <w:r w:rsidR="003674EB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7D" w14:textId="286AFA10" w:rsidR="007F0DCD" w:rsidRPr="00A80C7C" w:rsidRDefault="009D243B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Problèmes et nouvelles règles du jeu </w:t>
            </w:r>
            <w:r w:rsidR="00A80C7C"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:</w:t>
            </w:r>
          </w:p>
          <w:p w14:paraId="2211407E" w14:textId="22D3B7F8" w:rsidR="007F0DCD" w:rsidRPr="00A80C7C" w:rsidRDefault="003674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9D243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'utilisation des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dispositifs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d'actionnariat salarié devrait être encouragée dans l'UE afin de favoriser la participation des citoyens aux marchés de capitaux et de développer une culture de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l’actionnariat ». </w:t>
            </w:r>
          </w:p>
          <w:p w14:paraId="2211407F" w14:textId="423A8514" w:rsidR="007F0DCD" w:rsidRPr="00A80C7C" w:rsidRDefault="00FD59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La Commission est invitée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à promouvoir, avec les États membres, l'utilisation </w:t>
            </w:r>
            <w:r w:rsidR="003674EB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de l’actionnariat salarié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dans toute l'UE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. À cette fin, la Commission devrait examiner quels fonds communautaires pourraient être utilisés pour soutenir cet objectif</w:t>
            </w:r>
            <w:r w:rsidR="003674EB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.</w:t>
            </w:r>
          </w:p>
        </w:tc>
      </w:tr>
      <w:tr w:rsidR="007F0DCD" w:rsidRPr="00A80C7C" w14:paraId="2211408D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81" w14:textId="15962E39" w:rsidR="007F0DCD" w:rsidRPr="00A80C7C" w:rsidRDefault="00A80C7C">
            <w:pPr>
              <w:spacing w:after="0" w:line="240" w:lineRule="auto"/>
              <w:rPr>
                <w:lang w:val="fr-BE"/>
              </w:rPr>
            </w:pPr>
            <w:r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>Promouvoir l'éducation des investisseurs</w:t>
            </w:r>
            <w:r w:rsidR="003674EB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 xml:space="preserve"> en tant que facteur clé du succès d’une véritable UMC </w:t>
            </w:r>
          </w:p>
          <w:p w14:paraId="22114082" w14:textId="0FE46EFF" w:rsidR="007F0DCD" w:rsidRPr="00A80C7C" w:rsidRDefault="00A80C7C">
            <w:pPr>
              <w:spacing w:after="0" w:line="240" w:lineRule="auto"/>
              <w:rPr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14) </w:t>
            </w:r>
            <w:r w:rsidR="003674EB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="003674EB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appeler les</w:t>
            </w:r>
            <w:r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 distributeurs 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[...] </w:t>
            </w:r>
            <w:r w:rsidR="003674EB">
              <w:rPr>
                <w:rFonts w:ascii="Calibri Light" w:hAnsi="Calibri Light" w:cs="Calibri Light"/>
                <w:sz w:val="20"/>
                <w:szCs w:val="20"/>
                <w:lang w:val="fr-BE"/>
              </w:rPr>
              <w:t>à améliorer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 l'éducation financière de</w:t>
            </w:r>
            <w:r w:rsidR="003674EB">
              <w:rPr>
                <w:rFonts w:ascii="Calibri Light" w:hAnsi="Calibri Light" w:cs="Calibri Light"/>
                <w:sz w:val="20"/>
                <w:szCs w:val="20"/>
                <w:lang w:val="fr-BE"/>
              </w:rPr>
              <w:t>s membres de leur personnel ».</w:t>
            </w:r>
            <w:r w:rsidR="00503D2D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83" w14:textId="201993C3" w:rsidR="007F0DCD" w:rsidRPr="00A80C7C" w:rsidRDefault="00FD5950">
            <w:pPr>
              <w:spacing w:after="0" w:line="240" w:lineRule="auto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Problèmes et </w:t>
            </w:r>
            <w:r w:rsidR="003674EB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nouvelles règles du jeu</w:t>
            </w:r>
            <w:r w:rsidR="00503D2D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: </w:t>
            </w:r>
          </w:p>
          <w:p w14:paraId="22114084" w14:textId="7385BEC9" w:rsidR="007F0DCD" w:rsidRPr="00A80C7C" w:rsidRDefault="004F03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« La création d’un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certificat pour les conseillers financiers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– et l’amélioration de leur formation –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garantirait</w:t>
            </w:r>
            <w:r w:rsidR="000B4ED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que les conseillers professionnels possèdent un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niveau adéquat de qualifications, de connaissances et de compétences</w:t>
            </w:r>
            <w:r w:rsidR="000B4ED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 » </w:t>
            </w:r>
          </w:p>
          <w:p w14:paraId="22114085" w14:textId="56789210" w:rsidR="007F0DCD" w:rsidRPr="00A80C7C" w:rsidRDefault="00FD59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La Commission est invitée à présenter une proposition visant à</w:t>
            </w:r>
            <w:r w:rsidR="000B4ED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créer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un </w:t>
            </w:r>
            <w:r w:rsidR="000B4ED6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critère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de qualité paneuropéen </w:t>
            </w:r>
            <w:r w:rsidR="000B4ED6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(label)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pour les conseillers financiers européens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</w:p>
          <w:p w14:paraId="22114086" w14:textId="286E2F47" w:rsidR="007F0DCD" w:rsidRPr="00A80C7C" w:rsidRDefault="000B4E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Une éducation financière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améliorée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, notamment par le biais de mécanismes tels que les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dispositifs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d'actionnariat salarié, et des coups de pouce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aux grands moments de la vie</w:t>
            </w:r>
            <w:r w:rsidR="00503D2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(...)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contribue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nt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à responsabiliser les citoyens (...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)</w:t>
            </w:r>
            <w:r w:rsidR="00FD5950">
              <w:rPr>
                <w:rFonts w:ascii="Calibri Light" w:hAnsi="Calibri Light" w:cs="Calibri Light"/>
                <w:sz w:val="20"/>
                <w:szCs w:val="20"/>
                <w:lang w:val="fr-BE"/>
              </w:rPr>
              <w:t> »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. </w:t>
            </w:r>
          </w:p>
          <w:p w14:paraId="22114087" w14:textId="63E738FD" w:rsidR="007F0DCD" w:rsidRPr="00A80C7C" w:rsidRDefault="00FD59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La Commission est invitée à promouvoir, en collaboration avec les États membres, l'utilisation de</w:t>
            </w:r>
            <w:r w:rsidR="000B4ED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l’actionnariat salarié d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ans toute l'Union européenne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.</w:t>
            </w:r>
          </w:p>
          <w:p w14:paraId="22114088" w14:textId="1254DA35" w:rsidR="007F0DCD" w:rsidRPr="00A80C7C" w:rsidRDefault="000B4E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Les États membres devraient également soutenir les mesures qui favorisent l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’offre de conseils financiers aux consommateurs dans le domaine de l’investissement et de l’épargne-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retraite</w:t>
            </w:r>
            <w:r w:rsidR="00FD595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.</w:t>
            </w:r>
          </w:p>
          <w:p w14:paraId="22114089" w14:textId="7D9B12F3" w:rsidR="007F0DCD" w:rsidRPr="00A80C7C" w:rsidRDefault="00A80C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"Les États membres devraient mettre en place des organismes nationaux </w:t>
            </w:r>
            <w:r w:rsidR="000B4ED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de conseils financiers aux consommateurs</w:t>
            </w:r>
            <w:r w:rsidR="00FD5950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</w:p>
          <w:p w14:paraId="2211408A" w14:textId="183AE37E" w:rsidR="007F0DCD" w:rsidRPr="00A80C7C" w:rsidRDefault="00FD59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18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0B4ED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L’amélioration de la culture financière se traduirait par une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participation</w:t>
            </w:r>
            <w:r w:rsidR="000B4ED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accrue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des investisseurs de détail, ce qui </w:t>
            </w:r>
            <w:r w:rsidR="000B4ED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stimulerait la croissance des marchés de capitaux de l’UE »</w:t>
            </w:r>
            <w:r w:rsidR="00503D2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</w:p>
          <w:p w14:paraId="2211408B" w14:textId="5012B269" w:rsidR="007F0DCD" w:rsidRPr="00A80C7C" w:rsidRDefault="00FD59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La Commission devrait proposer </w:t>
            </w:r>
            <w:r w:rsidR="000B4ED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une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r</w:t>
            </w:r>
            <w:r w:rsidR="000B4ED6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évision de la</w:t>
            </w:r>
            <w:r w:rsidR="00503D2D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recommandation du Conseil 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‘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Compétences clés </w:t>
            </w:r>
            <w:r w:rsidR="00A80C7C" w:rsidRPr="00FD5950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pour l'éducation et la formation tout au long de la vie</w:t>
            </w:r>
            <w:r w:rsidRPr="00FD5950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’</w:t>
            </w:r>
            <w:r w:rsidR="00A80C7C" w:rsidRPr="00FD5950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afin d</w:t>
            </w:r>
            <w:r w:rsidR="000B4ED6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e faire de la compétences financière (27</w:t>
            </w:r>
            <w:r w:rsidR="002A2F1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)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une compétence clé </w:t>
            </w:r>
            <w:r w:rsidR="002A2F1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distincte. » </w:t>
            </w:r>
          </w:p>
          <w:p w14:paraId="2211408C" w14:textId="045CDECF" w:rsidR="007F0DCD" w:rsidRPr="00A80C7C" w:rsidRDefault="00FD59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263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La Commission devrait mettre en place un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cadre</w:t>
            </w:r>
            <w:r w:rsidR="002A2F15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européen pour les compétences financières et</w:t>
            </w:r>
            <w:r w:rsidR="00503D2D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faciliter son adoption dans des groupes de travail pour les États membres</w:t>
            </w:r>
            <w:r w:rsidR="002A2F1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.</w:t>
            </w:r>
          </w:p>
        </w:tc>
      </w:tr>
      <w:tr w:rsidR="007F0DCD" w:rsidRPr="00A80C7C" w14:paraId="22114098" w14:textId="7777777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8E" w14:textId="52309760" w:rsidR="007F0DCD" w:rsidRPr="00A80C7C" w:rsidRDefault="00A80C7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lastRenderedPageBreak/>
              <w:t>Maintenir le soutien de l'UE à la participation des</w:t>
            </w:r>
            <w:r w:rsidR="00FD5950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 xml:space="preserve"> usagers d</w:t>
            </w:r>
            <w:r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>e services financiers à l'élaboration des politiques européennes</w:t>
            </w:r>
          </w:p>
          <w:p w14:paraId="2211408F" w14:textId="32C73DA3" w:rsidR="007F0DCD" w:rsidRPr="00A80C7C" w:rsidRDefault="00A80C7C">
            <w:pPr>
              <w:spacing w:after="120" w:line="240" w:lineRule="auto"/>
              <w:jc w:val="both"/>
              <w:rPr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15) </w:t>
            </w:r>
            <w:r w:rsidR="00FD5950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veiller à ce que les experts indépendants des organisations d'usagers soient </w:t>
            </w:r>
            <w:r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représentés et rémunérés de manière </w:t>
            </w:r>
            <w:r w:rsidR="00FD5950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adéquate ...</w:t>
            </w:r>
            <w:r w:rsidR="00FD5950">
              <w:rPr>
                <w:rFonts w:ascii="Calibri Light" w:hAnsi="Calibri Light" w:cs="Calibri Light"/>
                <w:sz w:val="20"/>
                <w:szCs w:val="20"/>
                <w:lang w:val="fr-BE"/>
              </w:rPr>
              <w:t> »</w:t>
            </w:r>
          </w:p>
          <w:p w14:paraId="22114090" w14:textId="5573F2C9" w:rsidR="007F0DCD" w:rsidRPr="00A80C7C" w:rsidRDefault="00A80C7C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>A</w:t>
            </w:r>
            <w:r w:rsidR="002A2F15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 xml:space="preserve">méliorer </w:t>
            </w:r>
            <w:r w:rsidRPr="00A80C7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  <w:lang w:val="fr-BE"/>
              </w:rPr>
              <w:t>l'efficacité des procédures des institutions de l'UE.</w:t>
            </w:r>
          </w:p>
          <w:p w14:paraId="22114091" w14:textId="167DDC3A" w:rsidR="007F0DCD" w:rsidRPr="00A80C7C" w:rsidRDefault="00A80C7C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val="fr-BE"/>
              </w:rPr>
            </w:pP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16) </w:t>
            </w:r>
            <w:r w:rsidR="00FD5950">
              <w:rPr>
                <w:rFonts w:ascii="Calibri Light" w:hAnsi="Calibri Light" w:cs="Calibri Light"/>
                <w:sz w:val="20"/>
                <w:szCs w:val="20"/>
                <w:lang w:val="fr-BE"/>
              </w:rPr>
              <w:t>« </w:t>
            </w:r>
            <w:r w:rsidR="002A2F15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renforcer 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la su</w:t>
            </w:r>
            <w:r w:rsidR="002A2F15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rveillance des </w:t>
            </w:r>
            <w:r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>exigences en matière de surveillance des produits et de gouvernance...</w:t>
            </w:r>
            <w:r w:rsidR="00FD5950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 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114092" w14:textId="7BA5E665" w:rsidR="007F0DCD" w:rsidRPr="00A80C7C" w:rsidRDefault="00FD595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Problèmes et </w:t>
            </w:r>
            <w:r w:rsidR="002A2F15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nouvelles règles du jeu</w:t>
            </w:r>
            <w:r w:rsidR="00503D2D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 xml:space="preserve"> </w:t>
            </w:r>
          </w:p>
          <w:p w14:paraId="22114093" w14:textId="532507CB" w:rsidR="007F0DCD" w:rsidRPr="00A80C7C" w:rsidRDefault="00FD595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« Le Forum </w:t>
            </w:r>
            <w:r w:rsidR="002A2F1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de haut niveau soutient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le renforcement des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compétences </w:t>
            </w:r>
            <w:r w:rsidR="00617C8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de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l'AEMF et de l'AEAPP</w:t>
            </w:r>
            <w:r w:rsidR="00617C8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dans le domaine réglementaire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(...),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notamment </w:t>
            </w:r>
            <w:r w:rsidR="00617C8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par le biais d’une réforme de leur gouvernance et d’un renforcement de leurs compétences et de leurs instruments… »</w:t>
            </w:r>
            <w:r w:rsidR="00503D2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</w:p>
          <w:p w14:paraId="22114094" w14:textId="65A889D8" w:rsidR="007F0DCD" w:rsidRPr="00A80C7C" w:rsidRDefault="00FD59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99" w:hanging="239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proofErr w:type="gramStart"/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renforcer</w:t>
            </w:r>
            <w:proofErr w:type="gramEnd"/>
            <w:r w:rsidR="00617C8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ou octroyer les compétences nécessaires pour introduire ou limiter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la commercialisation, la distribution ou la vente de certains produits, instruments ou activités</w:t>
            </w:r>
            <w:r w:rsidR="00617C8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dans le domaine financier »</w:t>
            </w:r>
            <w:r w:rsidR="00503D2D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</w:p>
          <w:p w14:paraId="22114095" w14:textId="463E7A39" w:rsidR="007F0DCD" w:rsidRPr="00A80C7C" w:rsidRDefault="00FD59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99" w:hanging="239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proofErr w:type="gramStart"/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veiller</w:t>
            </w:r>
            <w:proofErr w:type="gramEnd"/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à</w:t>
            </w:r>
            <w:r w:rsidR="00617C8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garantir une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représentation équilibrée </w:t>
            </w:r>
            <w:r w:rsidR="00617C8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au sein des groupes de parties intéressées entre les représentants du secteur et les usagers/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/consommateurs de détail, et appliquer la règle d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’une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617C8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rémunération adéquate pour les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représentants</w:t>
            </w:r>
            <w:r w:rsidR="00617C8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à but non lucratif n’appartenant pas au secteur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(article 37)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</w:p>
          <w:p w14:paraId="22114096" w14:textId="3B7F3AE0" w:rsidR="007F0DCD" w:rsidRPr="00A80C7C" w:rsidRDefault="00FD59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99" w:hanging="239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proofErr w:type="gramStart"/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introduire</w:t>
            </w:r>
            <w:proofErr w:type="gramEnd"/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de</w:t>
            </w:r>
            <w:r w:rsidR="00617C8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nouvelles dispositions ou des dispositions supplémentaires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dans 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(...)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et </w:t>
            </w:r>
            <w:r w:rsidR="00617C8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dans l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a législation sectorielle pertinente de l'Union </w:t>
            </w:r>
            <w:r w:rsidR="00A80C7C" w:rsidRPr="00A80C7C">
              <w:rPr>
                <w:rFonts w:ascii="Calibri Light" w:hAnsi="Calibri Light" w:cs="Calibri Light"/>
                <w:sz w:val="20"/>
                <w:szCs w:val="20"/>
                <w:lang w:val="fr-BE"/>
              </w:rPr>
              <w:t xml:space="preserve">(...)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afin de confier à l'AEMF/A</w:t>
            </w:r>
            <w:r w:rsidR="00617C8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EAPP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la responsabilité de poursuivre l'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harmonisation des approches nationales en matière de pratiques administratives</w:t>
            </w:r>
            <w:r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 »</w:t>
            </w:r>
            <w:r w:rsidR="00A80C7C" w:rsidRPr="00A80C7C">
              <w:rPr>
                <w:rFonts w:ascii="Calibri Light" w:hAnsi="Calibri Light" w:cs="Calibri Light"/>
                <w:b/>
                <w:bCs/>
                <w:sz w:val="20"/>
                <w:szCs w:val="20"/>
                <w:lang w:val="fr-BE"/>
              </w:rPr>
              <w:t>.</w:t>
            </w:r>
          </w:p>
          <w:p w14:paraId="22114097" w14:textId="163DB64A" w:rsidR="007F0DCD" w:rsidRPr="00A80C7C" w:rsidRDefault="00FD59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99" w:hanging="239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« </w:t>
            </w:r>
            <w:proofErr w:type="gramStart"/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renforcer</w:t>
            </w:r>
            <w:proofErr w:type="gramEnd"/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les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actuels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 xml:space="preserve">pouvoirs </w:t>
            </w:r>
            <w:r w:rsidR="00617C85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de s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anction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 </w:t>
            </w:r>
            <w:r w:rsidR="00A80C7C" w:rsidRPr="00A80C7C"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 xml:space="preserve">de l'AEMF </w:t>
            </w:r>
            <w:r w:rsidR="00A80C7C" w:rsidRPr="00A80C7C"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  <w:lang w:val="fr-BE"/>
              </w:rPr>
              <w:t>afin de garantir leur efficacité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val="fr-BE"/>
              </w:rPr>
              <w:t> »</w:t>
            </w:r>
          </w:p>
        </w:tc>
      </w:tr>
    </w:tbl>
    <w:p w14:paraId="22114099" w14:textId="77777777" w:rsidR="007F0DCD" w:rsidRPr="00A80C7C" w:rsidRDefault="007F0DCD">
      <w:pPr>
        <w:rPr>
          <w:rFonts w:ascii="Calibri Light" w:hAnsi="Calibri Light" w:cs="Calibri Light"/>
          <w:b/>
          <w:bCs/>
          <w:sz w:val="20"/>
          <w:szCs w:val="20"/>
          <w:lang w:val="fr-BE"/>
        </w:rPr>
      </w:pPr>
    </w:p>
    <w:p w14:paraId="2211409A" w14:textId="77777777" w:rsidR="007F0DCD" w:rsidRPr="00A80C7C" w:rsidRDefault="007F0DCD">
      <w:pPr>
        <w:pStyle w:val="BodyText"/>
        <w:spacing w:before="120" w:after="0" w:line="240" w:lineRule="auto"/>
        <w:rPr>
          <w:lang w:val="fr-BE"/>
        </w:rPr>
      </w:pPr>
    </w:p>
    <w:sectPr w:rsidR="007F0DCD" w:rsidRPr="00A80C7C">
      <w:type w:val="continuous"/>
      <w:pgSz w:w="11906" w:h="16838"/>
      <w:pgMar w:top="1440" w:right="720" w:bottom="144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14025" w14:textId="77777777" w:rsidR="00402576" w:rsidRDefault="00402576">
      <w:pPr>
        <w:spacing w:after="0" w:line="240" w:lineRule="auto"/>
      </w:pPr>
      <w:r>
        <w:separator/>
      </w:r>
    </w:p>
  </w:endnote>
  <w:endnote w:type="continuationSeparator" w:id="0">
    <w:p w14:paraId="22114027" w14:textId="77777777" w:rsidR="00402576" w:rsidRDefault="0040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402E" w14:textId="44C63A3B" w:rsidR="00402576" w:rsidRPr="00A80C7C" w:rsidRDefault="00402576">
    <w:pPr>
      <w:spacing w:before="120" w:after="0" w:line="240" w:lineRule="auto"/>
      <w:ind w:left="-567"/>
      <w:jc w:val="center"/>
      <w:rPr>
        <w:b/>
        <w:color w:val="006FB4"/>
        <w:sz w:val="16"/>
        <w:szCs w:val="16"/>
        <w:lang w:val="fr-BE"/>
      </w:rPr>
    </w:pPr>
    <w:r w:rsidRPr="00A80C7C">
      <w:rPr>
        <w:b/>
        <w:color w:val="006FB4"/>
        <w:sz w:val="16"/>
        <w:szCs w:val="16"/>
        <w:lang w:val="fr-BE"/>
      </w:rPr>
      <w:t xml:space="preserve">Fédération </w:t>
    </w:r>
    <w:r>
      <w:rPr>
        <w:b/>
        <w:color w:val="006FB4"/>
        <w:sz w:val="16"/>
        <w:szCs w:val="16"/>
        <w:lang w:val="fr-BE"/>
      </w:rPr>
      <w:t>E</w:t>
    </w:r>
    <w:r w:rsidRPr="00A80C7C">
      <w:rPr>
        <w:b/>
        <w:color w:val="006FB4"/>
        <w:sz w:val="16"/>
        <w:szCs w:val="16"/>
        <w:lang w:val="fr-BE"/>
      </w:rPr>
      <w:t>uropéenne des</w:t>
    </w:r>
    <w:r>
      <w:rPr>
        <w:b/>
        <w:color w:val="006FB4"/>
        <w:sz w:val="16"/>
        <w:szCs w:val="16"/>
        <w:lang w:val="fr-BE"/>
      </w:rPr>
      <w:t xml:space="preserve"> I</w:t>
    </w:r>
    <w:r w:rsidRPr="00A80C7C">
      <w:rPr>
        <w:b/>
        <w:color w:val="006FB4"/>
        <w:sz w:val="16"/>
        <w:szCs w:val="16"/>
        <w:lang w:val="fr-BE"/>
      </w:rPr>
      <w:t xml:space="preserve">nvestisseurs et </w:t>
    </w:r>
    <w:r>
      <w:rPr>
        <w:b/>
        <w:color w:val="006FB4"/>
        <w:sz w:val="16"/>
        <w:szCs w:val="16"/>
        <w:lang w:val="fr-BE"/>
      </w:rPr>
      <w:t xml:space="preserve">Usagers </w:t>
    </w:r>
    <w:r w:rsidRPr="00A80C7C">
      <w:rPr>
        <w:b/>
        <w:color w:val="006FB4"/>
        <w:sz w:val="16"/>
        <w:szCs w:val="16"/>
        <w:lang w:val="fr-BE"/>
      </w:rPr>
      <w:t>de</w:t>
    </w:r>
    <w:r w:rsidR="0033473D">
      <w:rPr>
        <w:b/>
        <w:color w:val="006FB4"/>
        <w:sz w:val="16"/>
        <w:szCs w:val="16"/>
        <w:lang w:val="fr-BE"/>
      </w:rPr>
      <w:t>s</w:t>
    </w:r>
    <w:r w:rsidRPr="00A80C7C">
      <w:rPr>
        <w:b/>
        <w:color w:val="006FB4"/>
        <w:sz w:val="16"/>
        <w:szCs w:val="16"/>
        <w:lang w:val="fr-BE"/>
      </w:rPr>
      <w:t xml:space="preserve"> </w:t>
    </w:r>
    <w:r>
      <w:rPr>
        <w:b/>
        <w:color w:val="006FB4"/>
        <w:sz w:val="16"/>
        <w:szCs w:val="16"/>
        <w:lang w:val="fr-BE"/>
      </w:rPr>
      <w:t>S</w:t>
    </w:r>
    <w:r w:rsidRPr="00A80C7C">
      <w:rPr>
        <w:b/>
        <w:color w:val="006FB4"/>
        <w:sz w:val="16"/>
        <w:szCs w:val="16"/>
        <w:lang w:val="fr-BE"/>
      </w:rPr>
      <w:t xml:space="preserve">ervices </w:t>
    </w:r>
    <w:r>
      <w:rPr>
        <w:b/>
        <w:color w:val="006FB4"/>
        <w:sz w:val="16"/>
        <w:szCs w:val="16"/>
        <w:lang w:val="fr-BE"/>
      </w:rPr>
      <w:t>F</w:t>
    </w:r>
    <w:r w:rsidRPr="00A80C7C">
      <w:rPr>
        <w:b/>
        <w:color w:val="006FB4"/>
        <w:sz w:val="16"/>
        <w:szCs w:val="16"/>
        <w:lang w:val="fr-BE"/>
      </w:rPr>
      <w:t>inanciers</w:t>
    </w:r>
  </w:p>
  <w:p w14:paraId="2211402F" w14:textId="77777777" w:rsidR="00402576" w:rsidRDefault="00402576">
    <w:pPr>
      <w:spacing w:after="0" w:line="240" w:lineRule="auto"/>
      <w:ind w:left="-567"/>
      <w:jc w:val="center"/>
      <w:rPr>
        <w:color w:val="006FB4"/>
        <w:sz w:val="16"/>
        <w:szCs w:val="16"/>
        <w:lang w:val="de-DE"/>
      </w:rPr>
    </w:pPr>
    <w:r>
      <w:rPr>
        <w:color w:val="006FB4"/>
        <w:sz w:val="16"/>
        <w:szCs w:val="16"/>
        <w:lang w:val="de-DE"/>
      </w:rPr>
      <w:t>44, Rue d'Arenberg, 1000 Bruxelles - Belgique</w:t>
    </w:r>
  </w:p>
  <w:p w14:paraId="22114030" w14:textId="77777777" w:rsidR="00402576" w:rsidRDefault="00402576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de-DE"/>
      </w:rPr>
      <w:t xml:space="preserve">Tél. (+32) 02 514 37 77 - Fax. </w:t>
    </w:r>
    <w:r>
      <w:rPr>
        <w:color w:val="006FB4"/>
        <w:sz w:val="16"/>
        <w:szCs w:val="16"/>
        <w:lang w:val="pt-PT"/>
      </w:rPr>
      <w:t>(+32) 02 514 36 66</w:t>
    </w:r>
  </w:p>
  <w:p w14:paraId="22114031" w14:textId="77777777" w:rsidR="00402576" w:rsidRDefault="00402576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pt-PT"/>
      </w:rPr>
      <w:t xml:space="preserve">E-mail : info@betterfinance.eu - </w:t>
    </w:r>
    <w:bookmarkStart w:id="4" w:name="_Hlk944867"/>
    <w:r>
      <w:fldChar w:fldCharType="begin"/>
    </w:r>
    <w:r>
      <w:instrText xml:space="preserve"> HYPERLINK  "http://www.eurofinuse.org" </w:instrText>
    </w:r>
    <w:r>
      <w:fldChar w:fldCharType="separate"/>
    </w:r>
    <w:r>
      <w:rPr>
        <w:color w:val="006FB4"/>
        <w:sz w:val="16"/>
        <w:szCs w:val="16"/>
        <w:u w:val="single"/>
        <w:lang w:val="it-IT"/>
      </w:rPr>
      <w:t xml:space="preserve">http://www.betterfinance.eu </w:t>
    </w:r>
    <w:r>
      <w:rPr>
        <w:color w:val="006FB4"/>
        <w:sz w:val="16"/>
        <w:szCs w:val="16"/>
        <w:u w:val="single"/>
        <w:lang w:val="it-IT"/>
      </w:rPr>
      <w:fldChar w:fldCharType="end"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14021" w14:textId="77777777" w:rsidR="00402576" w:rsidRDefault="004025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114023" w14:textId="77777777" w:rsidR="00402576" w:rsidRDefault="0040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4029" w14:textId="77777777" w:rsidR="00402576" w:rsidRDefault="004025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114021" wp14:editId="22114022">
          <wp:simplePos x="0" y="0"/>
          <wp:positionH relativeFrom="margin">
            <wp:posOffset>2564133</wp:posOffset>
          </wp:positionH>
          <wp:positionV relativeFrom="paragraph">
            <wp:posOffset>-265432</wp:posOffset>
          </wp:positionV>
          <wp:extent cx="3138165" cy="645164"/>
          <wp:effectExtent l="0" t="0" r="5085" b="2536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165" cy="645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211402A" w14:textId="77777777" w:rsidR="00402576" w:rsidRDefault="00402576">
    <w:pPr>
      <w:pStyle w:val="Header"/>
    </w:pPr>
  </w:p>
  <w:p w14:paraId="2211402B" w14:textId="77777777" w:rsidR="00402576" w:rsidRDefault="00402576">
    <w:pPr>
      <w:pStyle w:val="Header"/>
      <w:rPr>
        <w:sz w:val="12"/>
        <w:szCs w:val="12"/>
      </w:rPr>
    </w:pPr>
  </w:p>
  <w:p w14:paraId="2211402C" w14:textId="77777777" w:rsidR="00402576" w:rsidRDefault="00402576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4691"/>
    <w:multiLevelType w:val="multilevel"/>
    <w:tmpl w:val="CCF2D484"/>
    <w:lvl w:ilvl="0">
      <w:numFmt w:val="bullet"/>
      <w:lvlText w:val=""/>
      <w:lvlJc w:val="left"/>
      <w:pPr>
        <w:ind w:left="720" w:hanging="360"/>
      </w:pPr>
      <w:rPr>
        <w:rFonts w:ascii="Wingdings" w:eastAsia="Calibri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22772A4"/>
    <w:multiLevelType w:val="multilevel"/>
    <w:tmpl w:val="979E03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"/>
      <w:lvlJc w:val="left"/>
      <w:pPr>
        <w:ind w:left="1440" w:hanging="360"/>
      </w:pPr>
      <w:rPr>
        <w:rFonts w:ascii="Wingdings" w:eastAsia="Calibri" w:hAnsi="Wingdings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BF581C"/>
    <w:multiLevelType w:val="multilevel"/>
    <w:tmpl w:val="C11039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AC26EF"/>
    <w:multiLevelType w:val="multilevel"/>
    <w:tmpl w:val="AC06CFC6"/>
    <w:lvl w:ilvl="0">
      <w:numFmt w:val="bullet"/>
      <w:lvlText w:val=""/>
      <w:lvlJc w:val="left"/>
      <w:pPr>
        <w:ind w:left="720" w:hanging="360"/>
      </w:pPr>
      <w:rPr>
        <w:rFonts w:ascii="Wingdings" w:eastAsia="Calibri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1EA0C8B"/>
    <w:multiLevelType w:val="multilevel"/>
    <w:tmpl w:val="D7AC82A2"/>
    <w:lvl w:ilvl="0">
      <w:numFmt w:val="bullet"/>
      <w:lvlText w:val=""/>
      <w:lvlJc w:val="left"/>
      <w:pPr>
        <w:ind w:left="894" w:hanging="360"/>
      </w:pPr>
      <w:rPr>
        <w:rFonts w:ascii="Wingdings" w:eastAsia="Calibri" w:hAnsi="Wingdings" w:cs="Arial"/>
      </w:rPr>
    </w:lvl>
    <w:lvl w:ilvl="1">
      <w:numFmt w:val="bullet"/>
      <w:lvlText w:val="o"/>
      <w:lvlJc w:val="left"/>
      <w:pPr>
        <w:ind w:left="16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54" w:hanging="360"/>
      </w:pPr>
      <w:rPr>
        <w:rFonts w:ascii="Wingdings" w:hAnsi="Wingdings"/>
      </w:rPr>
    </w:lvl>
  </w:abstractNum>
  <w:abstractNum w:abstractNumId="5" w15:restartNumberingAfterBreak="0">
    <w:nsid w:val="32D315AC"/>
    <w:multiLevelType w:val="multilevel"/>
    <w:tmpl w:val="4CD62C0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"/>
      <w:lvlJc w:val="left"/>
      <w:pPr>
        <w:ind w:left="1080" w:hanging="360"/>
      </w:pPr>
      <w:rPr>
        <w:rFonts w:ascii="Wingdings" w:eastAsia="Calibri" w:hAnsi="Wingdings" w:cs="Aria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578D08DC"/>
    <w:multiLevelType w:val="multilevel"/>
    <w:tmpl w:val="3A3A3F8A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AD6246B"/>
    <w:multiLevelType w:val="multilevel"/>
    <w:tmpl w:val="B39C14D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CD"/>
    <w:rsid w:val="000731A9"/>
    <w:rsid w:val="000B4ED6"/>
    <w:rsid w:val="000E751C"/>
    <w:rsid w:val="001A6618"/>
    <w:rsid w:val="001C421E"/>
    <w:rsid w:val="001E16A3"/>
    <w:rsid w:val="00243188"/>
    <w:rsid w:val="00257A47"/>
    <w:rsid w:val="002A2F15"/>
    <w:rsid w:val="003159A7"/>
    <w:rsid w:val="0033473D"/>
    <w:rsid w:val="00356C6B"/>
    <w:rsid w:val="003651DB"/>
    <w:rsid w:val="003674EB"/>
    <w:rsid w:val="00376BFE"/>
    <w:rsid w:val="003A2DBC"/>
    <w:rsid w:val="003A6F4B"/>
    <w:rsid w:val="00402576"/>
    <w:rsid w:val="00410FE0"/>
    <w:rsid w:val="00477BC2"/>
    <w:rsid w:val="004D4890"/>
    <w:rsid w:val="004F0387"/>
    <w:rsid w:val="004F4430"/>
    <w:rsid w:val="00503D2D"/>
    <w:rsid w:val="005A645A"/>
    <w:rsid w:val="00617C85"/>
    <w:rsid w:val="006A5DA2"/>
    <w:rsid w:val="006F2391"/>
    <w:rsid w:val="007F0DCD"/>
    <w:rsid w:val="009A7736"/>
    <w:rsid w:val="009D243B"/>
    <w:rsid w:val="009D68A2"/>
    <w:rsid w:val="009F0FB9"/>
    <w:rsid w:val="00A80C7C"/>
    <w:rsid w:val="00AC2935"/>
    <w:rsid w:val="00B276FF"/>
    <w:rsid w:val="00D31549"/>
    <w:rsid w:val="00E73D2A"/>
    <w:rsid w:val="00EA6E60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401A"/>
  <w15:docId w15:val="{C0249D25-8800-4DEC-9E7E-FFF68B6E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odyText">
    <w:name w:val="Body Text"/>
    <w:basedOn w:val="Normal"/>
    <w:pPr>
      <w:spacing w:line="240" w:lineRule="exact"/>
    </w:pPr>
    <w:rPr>
      <w:rFonts w:ascii="Tahoma" w:eastAsia="Times New Roman" w:hAnsi="Tahoma" w:cs="Times New Roman"/>
      <w:spacing w:val="10"/>
      <w:sz w:val="17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pacing w:val="10"/>
      <w:sz w:val="17"/>
      <w:szCs w:val="20"/>
      <w:lang w:val="en-US"/>
    </w:r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Cambria" w:eastAsia="SimSun" w:hAnsi="Cambria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mbria" w:eastAsia="SimSun" w:hAnsi="Cambria" w:cs="Times New Roman"/>
      <w:spacing w:val="-10"/>
      <w:kern w:val="3"/>
      <w:sz w:val="56"/>
      <w:szCs w:val="56"/>
    </w:rPr>
  </w:style>
  <w:style w:type="paragraph" w:styleId="BalloonText">
    <w:name w:val="Balloon Text"/>
    <w:basedOn w:val="Normal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Strong">
    <w:name w:val="Strong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Cambria" w:eastAsia="SimSun" w:hAnsi="Cambria" w:cs="Times New Roman"/>
      <w:color w:val="365F91"/>
      <w:sz w:val="26"/>
      <w:szCs w:val="26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ing1Char">
    <w:name w:val="Heading 1 Char"/>
    <w:basedOn w:val="DefaultParagraphFont"/>
    <w:rPr>
      <w:rFonts w:ascii="Cambria" w:eastAsia="SimSun" w:hAnsi="Cambria" w:cs="Times New Roman"/>
      <w:color w:val="365F91"/>
      <w:sz w:val="32"/>
      <w:szCs w:val="32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opre">
    <w:name w:val="acopre"/>
    <w:basedOn w:val="DefaultParagraphFont"/>
    <w:rsid w:val="001A6618"/>
  </w:style>
  <w:style w:type="character" w:customStyle="1" w:styleId="hgkelc">
    <w:name w:val="hgkelc"/>
    <w:basedOn w:val="DefaultParagraphFont"/>
    <w:rsid w:val="00EA6E60"/>
  </w:style>
  <w:style w:type="character" w:styleId="Emphasis">
    <w:name w:val="Emphasis"/>
    <w:basedOn w:val="DefaultParagraphFont"/>
    <w:uiPriority w:val="20"/>
    <w:qFormat/>
    <w:rsid w:val="004D4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udmont@betterfinance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etterfinance.eu/publication/better-finance-key-priorities-for-the-next-five-years-&#9474;-2019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8A9776426D41840A8C2CCB15B3F3" ma:contentTypeVersion="12" ma:contentTypeDescription="Create a new document." ma:contentTypeScope="" ma:versionID="fad30e866c7e5bd87e01b4be7e13f445">
  <xsd:schema xmlns:xsd="http://www.w3.org/2001/XMLSchema" xmlns:xs="http://www.w3.org/2001/XMLSchema" xmlns:p="http://schemas.microsoft.com/office/2006/metadata/properties" xmlns:ns2="fd160c09-1844-45b0-b4f1-cf53e6c3c76a" xmlns:ns3="8e72f4a7-cae9-4e97-b541-2580a12d1989" targetNamespace="http://schemas.microsoft.com/office/2006/metadata/properties" ma:root="true" ma:fieldsID="3d251b770648fbf44b28e39a1ec2cbaa" ns2:_="" ns3:_="">
    <xsd:import namespace="fd160c09-1844-45b0-b4f1-cf53e6c3c76a"/>
    <xsd:import namespace="8e72f4a7-cae9-4e97-b541-2580a12d1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0c09-1844-45b0-b4f1-cf53e6c3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f4a7-cae9-4e97-b541-2580a12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C51DA-7E97-4756-AD8B-F397F450D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26B9AE-336B-4BE6-BAD8-6FAE73BCC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0c09-1844-45b0-b4f1-cf53e6c3c76a"/>
    <ds:schemaRef ds:uri="8e72f4a7-cae9-4e97-b541-2580a12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9F1AA-E2A1-4C62-BE61-714BE28165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3179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Houdmont</dc:creator>
  <dc:description/>
  <cp:lastModifiedBy>ISO Translation</cp:lastModifiedBy>
  <cp:revision>10</cp:revision>
  <cp:lastPrinted>2020-06-09T11:09:00Z</cp:lastPrinted>
  <dcterms:created xsi:type="dcterms:W3CDTF">2020-12-14T08:07:00Z</dcterms:created>
  <dcterms:modified xsi:type="dcterms:W3CDTF">2020-12-15T13:25:00Z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0x010100B5308A9776426D41840A8C2CCB15B3F3</vt:lpwstr>
  </property>
</Properties>
</file>