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otnotes.xml" ContentType="application/vnd.openxmlformats-officedocument.wordprocessingml.footnotes+xml"/>
  <Override PartName="/word/charts/chart1.xml" ContentType="application/vnd.openxmlformats-officedocument.drawingml.chart+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Textkrper"/>
        <w:spacing w:lineRule="auto" w:line="240" w:before="0" w:after="120"/>
        <w:jc w:val="both"/>
        <w:rPr>
          <w:lang w:val="nl-BE"/>
        </w:rPr>
      </w:pPr>
      <w:r>
        <w:rPr>
          <w:rStyle w:val="Strong"/>
          <w:rFonts w:cs="Calibri Light" w:ascii="Calibri Light" w:hAnsi="Calibri Light"/>
          <w:sz w:val="22"/>
          <w:szCs w:val="24"/>
          <w:lang w:val="nl-BE"/>
        </w:rPr>
        <w:t>PRESSEMITTEILUNG</w:t>
      </w:r>
    </w:p>
    <w:p>
      <w:pPr>
        <w:pStyle w:val="Berschrift2"/>
        <w:jc w:val="both"/>
        <w:rPr>
          <w:rFonts w:eastAsia="Calibri" w:cs="Calibri Light"/>
          <w:b/>
          <w:b/>
          <w:color w:val="365F91"/>
          <w:spacing w:val="20"/>
          <w:kern w:val="2"/>
          <w:sz w:val="28"/>
          <w:szCs w:val="28"/>
          <w:lang w:val="nl-BE"/>
        </w:rPr>
      </w:pPr>
      <w:r>
        <w:rPr>
          <w:rFonts w:eastAsia="Calibri" w:cs="Calibri Light"/>
          <w:b/>
          <w:color w:val="365F91"/>
          <w:spacing w:val="20"/>
          <w:kern w:val="2"/>
          <w:sz w:val="28"/>
          <w:szCs w:val="28"/>
          <w:lang w:val="nl-BE"/>
        </w:rPr>
        <w:t>Die Entstehung der Corona-Altersvorsorge  2020 ist der Wendepunkt der Altersvorsorgepolitik</w:t>
      </w:r>
    </w:p>
    <w:p>
      <w:pPr>
        <w:pStyle w:val="Normal"/>
        <w:spacing w:lineRule="auto" w:line="240" w:before="120" w:after="120"/>
        <w:jc w:val="both"/>
        <w:rPr>
          <w:lang w:val="nl-BE"/>
        </w:rPr>
      </w:pPr>
      <w:r>
        <w:rPr>
          <w:rFonts w:cs="Calibri Light" w:ascii="Calibri Light" w:hAnsi="Calibri Light"/>
          <w:b/>
          <w:bCs/>
          <w:color w:val="000000"/>
          <w:lang w:val="nl-BE"/>
        </w:rPr>
        <w:t xml:space="preserve">25. September 2020 </w:t>
      </w:r>
      <w:r>
        <w:rPr>
          <w:rFonts w:cs="Calibri Light" w:ascii="Calibri Light" w:hAnsi="Calibri Light"/>
          <w:color w:val="000000"/>
          <w:lang w:val="nl-BE"/>
        </w:rPr>
        <w:t xml:space="preserve">- BETTER FINANCE veröffentlicht die achte Ausgabe seines Berichts über die </w:t>
      </w:r>
      <w:hyperlink r:id="rId2">
        <w:r>
          <w:rPr>
            <w:rStyle w:val="Internetverknpfung"/>
            <w:rFonts w:cs="Calibri Light" w:ascii="Calibri Light" w:hAnsi="Calibri Light"/>
            <w:b/>
            <w:bCs/>
            <w:i/>
            <w:iCs/>
            <w:lang w:val="nl-BE"/>
          </w:rPr>
          <w:t>reale Rendite von langfristigen Anlage- und Altersvorsorgeprodukten</w:t>
        </w:r>
      </w:hyperlink>
      <w:r>
        <w:rPr>
          <w:rFonts w:cs="Calibri Light" w:ascii="Calibri Light" w:hAnsi="Calibri Light"/>
          <w:color w:val="000000"/>
          <w:lang w:val="nl-BE"/>
        </w:rPr>
        <w:t>, die einen neuen Meilenstein für die Serie darstellt, da sie als erste Studie</w:t>
      </w:r>
      <w:r>
        <w:rPr>
          <w:rFonts w:cs="Calibri Light" w:ascii="Calibri Light" w:hAnsi="Calibri Light"/>
          <w:color w:val="000000"/>
          <w:lang w:val="de-DE"/>
        </w:rPr>
        <w:t xml:space="preserve"> </w:t>
      </w:r>
      <w:r>
        <w:rPr>
          <w:rFonts w:cs="Calibri Light" w:ascii="Calibri Light" w:hAnsi="Calibri Light"/>
          <w:color w:val="000000"/>
          <w:lang w:val="nl-BE"/>
        </w:rPr>
        <w:t xml:space="preserve">die Wertentwicklung von Altersvorsorgeinstrumenten </w:t>
      </w:r>
      <w:r>
        <w:rPr>
          <w:rFonts w:cs="Calibri Light" w:ascii="Calibri Light" w:hAnsi="Calibri Light"/>
          <w:color w:val="000000"/>
          <w:lang w:val="de-DE"/>
        </w:rPr>
        <w:t>über</w:t>
      </w:r>
      <w:r>
        <w:rPr>
          <w:rFonts w:cs="Calibri Light" w:ascii="Calibri Light" w:hAnsi="Calibri Light"/>
          <w:color w:val="000000"/>
          <w:lang w:val="nl-BE"/>
        </w:rPr>
        <w:t xml:space="preserve"> 20 Jahre abdeckt. </w:t>
      </w:r>
      <w:r>
        <w:rPr>
          <w:rFonts w:cs="Calibri Light" w:ascii="Calibri Light" w:hAnsi="Calibri Light"/>
          <w:color w:val="000000"/>
          <w:lang w:val="de-DE"/>
        </w:rPr>
        <w:t xml:space="preserve">Zudem erscheint </w:t>
      </w:r>
      <w:r>
        <w:rPr>
          <w:rFonts w:cs="Calibri Light" w:ascii="Calibri Light" w:hAnsi="Calibri Light"/>
          <w:color w:val="000000"/>
          <w:lang w:val="nl-BE"/>
        </w:rPr>
        <w:t xml:space="preserve">der Bericht vor dem Hintergrund einer Pandemie, die auch die </w:t>
      </w:r>
      <w:r>
        <w:rPr>
          <w:rFonts w:cs="Calibri Light" w:ascii="Calibri Light" w:hAnsi="Calibri Light"/>
          <w:color w:val="000000"/>
          <w:lang w:val="de-DE"/>
        </w:rPr>
        <w:t xml:space="preserve">Entwicklung der </w:t>
      </w:r>
      <w:r>
        <w:rPr>
          <w:rFonts w:cs="Calibri Light" w:ascii="Calibri Light" w:hAnsi="Calibri Light"/>
          <w:color w:val="000000"/>
          <w:lang w:val="nl-BE"/>
        </w:rPr>
        <w:t>Altersvorsorge in Mitleidenschaft zieht. Was jetzt geschieht, wird die Aussichten der Altersvorsorge für die kommenden Jahrzehnte bestimmen.</w:t>
      </w:r>
    </w:p>
    <w:p>
      <w:pPr>
        <w:pStyle w:val="Normal"/>
        <w:spacing w:lineRule="auto" w:line="240" w:before="120" w:after="120"/>
        <w:jc w:val="both"/>
        <w:rPr>
          <w:rFonts w:ascii="Calibri Light" w:hAnsi="Calibri Light" w:cs="Calibri Light"/>
          <w:color w:val="000000"/>
          <w:lang w:val="nl-BE"/>
        </w:rPr>
      </w:pPr>
      <w:r>
        <w:rPr>
          <w:rFonts w:cs="Calibri Light" w:ascii="Calibri Light" w:hAnsi="Calibri Light"/>
          <w:color w:val="000000"/>
          <w:lang w:val="nl-BE"/>
        </w:rPr>
        <w:t xml:space="preserve">Obwohl sich alle Renditen im Jahr 2019 dank der kräftigen Wertentwicklung von Aktien- und Anleihenmärkten verbessert haben, weisen zu viele der im Bericht behandelten Altersvorsorgesysteme nach Abzug der Kosten und Inflation nach wie vor entweder negative oder sehr niedrige langfristige Renditen auf. Darüber hinaus haben diese Vermögenswerte seit Ende 2019 an Wert verloren, was höchstwahrscheinlich einen großen Teil der Gewinne des </w:t>
      </w:r>
      <w:r>
        <w:rPr>
          <w:rFonts w:cs="Calibri Light" w:ascii="Calibri Light" w:hAnsi="Calibri Light"/>
          <w:color w:val="000000"/>
          <w:lang w:val="de-DE"/>
        </w:rPr>
        <w:t>letzten</w:t>
      </w:r>
      <w:r>
        <w:rPr>
          <w:rFonts w:cs="Calibri Light" w:ascii="Calibri Light" w:hAnsi="Calibri Light"/>
          <w:color w:val="000000"/>
          <w:lang w:val="nl-BE"/>
        </w:rPr>
        <w:t xml:space="preserve"> Jahres zunichte gemacht hat. Die derzeitige schwere Rezession führt </w:t>
      </w:r>
      <w:r>
        <w:rPr>
          <w:rFonts w:cs="Calibri Light" w:ascii="Calibri Light" w:hAnsi="Calibri Light"/>
          <w:color w:val="000000"/>
          <w:lang w:val="de-DE"/>
        </w:rPr>
        <w:t xml:space="preserve">außerdem </w:t>
      </w:r>
      <w:r>
        <w:rPr>
          <w:rFonts w:cs="Calibri Light" w:ascii="Calibri Light" w:hAnsi="Calibri Light"/>
          <w:color w:val="000000"/>
          <w:lang w:val="nl-BE"/>
        </w:rPr>
        <w:t xml:space="preserve">zu einem Rückgang der Beitragszahlungen. </w:t>
      </w:r>
    </w:p>
    <w:p>
      <w:pPr>
        <w:pStyle w:val="Normal"/>
        <w:spacing w:lineRule="auto" w:line="240" w:before="120" w:after="120"/>
        <w:jc w:val="both"/>
        <w:rPr>
          <w:rFonts w:ascii="Calibri Light" w:hAnsi="Calibri Light" w:cs="Calibri Light"/>
          <w:color w:val="000000"/>
          <w:lang w:val="nl-BE"/>
        </w:rPr>
      </w:pPr>
      <w:r>
        <w:rPr>
          <w:rFonts w:cs="Calibri Light" w:ascii="Calibri Light" w:hAnsi="Calibri Light"/>
          <w:color w:val="000000"/>
          <w:lang w:val="nl-BE"/>
        </w:rPr>
        <w:t>Anhand von Renditen, Gebühren und Daten zur Vermögensallokation aus zwei Jahrzehnten schlägt BETTER FINANCE erneut Alarm und betont, dass eine Reform der Altersvorsorge- und Kapitalmarktpolitik notwendig ist, um die Auswirkungen der Gesundheitskrise auf die Angemessenheit der Altersvorsorge abzumildern.</w:t>
      </w:r>
    </w:p>
    <w:p>
      <w:pPr>
        <w:pStyle w:val="Normal"/>
        <w:spacing w:lineRule="auto" w:line="240" w:before="120" w:after="0"/>
        <w:jc w:val="both"/>
        <w:rPr>
          <w:lang w:val="nl-BE"/>
        </w:rPr>
      </w:pPr>
      <w:r>
        <w:rPr>
          <w:rFonts w:cs="Calibri Light" w:ascii="Calibri Light" w:hAnsi="Calibri Light"/>
          <w:color w:val="000000"/>
          <w:lang w:val="nl-BE"/>
        </w:rPr>
        <w:t>Einige Schlüsselfragen, die wir weiterhin beobachten</w:t>
      </w:r>
      <w:r>
        <w:rPr>
          <w:rStyle w:val="Funotenanker"/>
          <w:rFonts w:cs="Calibri Light" w:ascii="Calibri Light" w:hAnsi="Calibri Light"/>
          <w:color w:val="000000"/>
        </w:rPr>
        <w:footnoteReference w:id="2"/>
      </w:r>
      <w:r>
        <w:rPr>
          <w:rFonts w:cs="Calibri Light" w:ascii="Calibri Light" w:hAnsi="Calibri Light"/>
          <w:color w:val="000000"/>
          <w:lang w:val="nl-BE"/>
        </w:rPr>
        <w:t>:</w:t>
      </w:r>
    </w:p>
    <w:p>
      <w:pPr>
        <w:pStyle w:val="Normal"/>
        <w:spacing w:lineRule="auto" w:line="240" w:before="0" w:after="0"/>
        <w:jc w:val="both"/>
        <w:rPr>
          <w:rFonts w:ascii="Calibri Light" w:hAnsi="Calibri Light" w:cs="Calibri Light"/>
          <w:color w:val="000000"/>
          <w:lang w:val="nl-BE"/>
        </w:rPr>
      </w:pPr>
      <w:r>
        <w:rPr>
          <w:rFonts w:cs="Calibri Light" w:ascii="Calibri Light" w:hAnsi="Calibri Light"/>
          <w:color w:val="000000"/>
          <w:lang w:val="nl-BE"/>
        </w:rPr>
      </w:r>
    </w:p>
    <w:p>
      <w:pPr>
        <w:pStyle w:val="ListParagraph"/>
        <w:numPr>
          <w:ilvl w:val="0"/>
          <w:numId w:val="1"/>
        </w:numPr>
        <w:ind w:left="426" w:hanging="284"/>
        <w:jc w:val="both"/>
        <w:rPr>
          <w:rFonts w:ascii="Calibri Light" w:hAnsi="Calibri Light" w:cs="Calibri Light"/>
          <w:color w:val="000000"/>
          <w:lang w:val="nl-BE"/>
        </w:rPr>
      </w:pPr>
      <w:r>
        <w:rPr>
          <w:rFonts w:cs="Calibri Light" w:ascii="Calibri Light" w:hAnsi="Calibri Light"/>
          <w:color w:val="000000"/>
          <w:lang w:val="de-DE"/>
        </w:rPr>
        <w:t>E</w:t>
      </w:r>
      <w:r>
        <w:rPr>
          <w:rFonts w:cs="Calibri Light" w:ascii="Calibri Light" w:hAnsi="Calibri Light"/>
          <w:color w:val="000000"/>
          <w:lang w:val="nl-BE"/>
        </w:rPr>
        <w:t>rgänzende –  in der Regel individuelle (Säule III) – Systeme schneiden im Durchschnitt schlechter ab als betriebliche – kollektive (Säule II) –  Pensionspläne;</w:t>
      </w:r>
    </w:p>
    <w:p>
      <w:pPr>
        <w:pStyle w:val="ListParagraph"/>
        <w:numPr>
          <w:ilvl w:val="0"/>
          <w:numId w:val="1"/>
        </w:numPr>
        <w:ind w:left="426" w:hanging="284"/>
        <w:jc w:val="both"/>
        <w:rPr>
          <w:lang w:val="nl-BE"/>
        </w:rPr>
      </w:pPr>
      <w:r>
        <w:rPr>
          <w:rFonts w:cs="Calibri Light" w:ascii="Calibri Light" w:hAnsi="Calibri Light"/>
          <w:color w:val="000000"/>
          <w:lang w:val="de-DE"/>
        </w:rPr>
        <w:t>d</w:t>
      </w:r>
      <w:r>
        <w:rPr>
          <w:rFonts w:cs="Calibri Light" w:ascii="Calibri Light" w:hAnsi="Calibri Light"/>
          <w:color w:val="000000"/>
          <w:lang w:val="nl-BE"/>
        </w:rPr>
        <w:t xml:space="preserve">ie überwiegende Mehrheit der Altersvorsorgeprodukte schneidet schlechter </w:t>
      </w:r>
      <w:r>
        <w:rPr>
          <w:rFonts w:cs="Calibri Light" w:ascii="Calibri Light" w:hAnsi="Calibri Light"/>
          <w:color w:val="000000"/>
          <w:lang w:val="de-DE"/>
        </w:rPr>
        <w:t>ab</w:t>
      </w:r>
      <w:r>
        <w:rPr>
          <w:rStyle w:val="Funotenanker"/>
          <w:rFonts w:cs="Calibri Light" w:ascii="Calibri Light" w:hAnsi="Calibri Light"/>
          <w:color w:val="000000"/>
          <w:lang w:val="en-GB"/>
        </w:rPr>
        <w:footnoteReference w:id="3"/>
      </w:r>
      <w:r>
        <w:rPr>
          <w:rFonts w:cs="Calibri Light" w:ascii="Calibri Light" w:hAnsi="Calibri Light"/>
          <w:color w:val="000000"/>
          <w:lang w:val="de-DE"/>
        </w:rPr>
        <w:t xml:space="preserve"> als ein</w:t>
      </w:r>
      <w:r>
        <w:rPr>
          <w:rFonts w:cs="Calibri Light" w:ascii="Calibri Light" w:hAnsi="Calibri Light"/>
          <w:color w:val="000000"/>
          <w:lang w:val="nl-BE"/>
        </w:rPr>
        <w:t xml:space="preserve"> einfacher Vergleichsindex des Kapitalmarkts (50 % Aktien - 50 % </w:t>
      </w:r>
      <w:r>
        <w:rPr>
          <w:rFonts w:cs="Calibri Light" w:ascii="Calibri Light" w:hAnsi="Calibri Light"/>
          <w:color w:val="000000"/>
          <w:lang w:val="de-DE"/>
        </w:rPr>
        <w:t>Anleihen)</w:t>
      </w:r>
      <w:r>
        <w:rPr>
          <w:rStyle w:val="Funotenanker"/>
          <w:rFonts w:cs="Calibri Light" w:ascii="Calibri Light" w:hAnsi="Calibri Light"/>
          <w:color w:val="000000"/>
          <w:lang w:val="en-GB"/>
        </w:rPr>
        <w:footnoteReference w:id="4"/>
      </w:r>
      <w:r>
        <w:rPr>
          <w:rFonts w:cs="Calibri Light" w:ascii="Calibri Light" w:hAnsi="Calibri Light"/>
          <w:color w:val="000000"/>
          <w:lang w:val="de-DE"/>
        </w:rPr>
        <w:t>;</w:t>
      </w:r>
    </w:p>
    <w:p>
      <w:pPr>
        <w:pStyle w:val="ListParagraph"/>
        <w:numPr>
          <w:ilvl w:val="0"/>
          <w:numId w:val="1"/>
        </w:numPr>
        <w:ind w:left="426" w:hanging="284"/>
        <w:jc w:val="both"/>
        <w:rPr>
          <w:rFonts w:ascii="Calibri Light" w:hAnsi="Calibri Light" w:cs="Calibri Light"/>
          <w:color w:val="000000"/>
          <w:lang w:val="nl-BE"/>
        </w:rPr>
      </w:pPr>
      <w:r>
        <w:rPr>
          <w:rFonts w:cs="Calibri Light" w:ascii="Calibri Light" w:hAnsi="Calibri Light"/>
          <w:color w:val="000000"/>
          <w:lang w:val="de-DE"/>
        </w:rPr>
        <w:t>d</w:t>
      </w:r>
      <w:r>
        <w:rPr>
          <w:rFonts w:cs="Calibri Light" w:ascii="Calibri Light" w:hAnsi="Calibri Light"/>
          <w:color w:val="000000"/>
          <w:lang w:val="nl-BE"/>
        </w:rPr>
        <w:t>ie Gebühren lasten weiterhin schwer auf den nominalen Renditen, da die Interessenkonflikte bei der Verteilung unvermindert anhalten; und</w:t>
      </w:r>
    </w:p>
    <w:p>
      <w:pPr>
        <w:pStyle w:val="ListParagraph"/>
        <w:numPr>
          <w:ilvl w:val="0"/>
          <w:numId w:val="1"/>
        </w:numPr>
        <w:spacing w:before="0" w:after="120"/>
        <w:ind w:left="426" w:hanging="284"/>
        <w:jc w:val="both"/>
        <w:rPr>
          <w:rFonts w:ascii="Calibri Light" w:hAnsi="Calibri Light" w:cs="Calibri Light"/>
          <w:color w:val="000000"/>
          <w:lang w:val="nl-BE"/>
        </w:rPr>
      </w:pPr>
      <w:r>
        <w:rPr>
          <w:rFonts w:cs="Calibri Light" w:ascii="Calibri Light" w:hAnsi="Calibri Light"/>
          <w:color w:val="000000"/>
          <w:lang w:val="de-DE"/>
        </w:rPr>
        <w:t>d</w:t>
      </w:r>
      <w:r>
        <w:rPr>
          <w:rFonts w:cs="Calibri Light" w:ascii="Calibri Light" w:hAnsi="Calibri Light"/>
          <w:color w:val="000000"/>
          <w:lang w:val="nl-BE"/>
        </w:rPr>
        <w:t>ie Vermögensallokation von Pensionsfonds hat sich zunehmend auf festverzinsliche und gebündelte Vermögenswerte (Organismen für gemeinsame Anlagen) zulasten direkter Wertpapieranlagen verlagert.</w:t>
      </w:r>
    </w:p>
    <w:p>
      <w:pPr>
        <w:pStyle w:val="Normal"/>
        <w:spacing w:before="0" w:after="240"/>
        <w:jc w:val="both"/>
        <w:rPr>
          <w:lang w:val="nl-BE"/>
        </w:rPr>
      </w:pPr>
      <w:r>
        <w:rPr>
          <w:rFonts w:cs="Calibri Light" w:ascii="Calibri Light" w:hAnsi="Calibri Light"/>
          <w:color w:val="000000"/>
          <w:lang w:val="nl-BE"/>
        </w:rPr>
        <w:t>Für Guillaume Prache, Geschäftsführer von BETTER FINANCE, „</w:t>
      </w:r>
      <w:r>
        <w:rPr>
          <w:rFonts w:cs="Calibri Light" w:ascii="Calibri Light" w:hAnsi="Calibri Light"/>
          <w:i/>
          <w:iCs/>
          <w:color w:val="000000"/>
          <w:lang w:val="nl-BE"/>
        </w:rPr>
        <w:t xml:space="preserve">ist dies die perfekte Mischung, um den realen Wert der Altersvorsorgeersparnisse langfristig zu zerstören, zumal wir in eine neue Periode maximaler finanzieller Repression eingetreten sind, in der die öffentlichen Behörden explizit beschlossen haben, den Schutz der langfristigen Sparer zugunsten der künstlichen Reduzierung der Schuldenkosten der Mitgliedstaaten zu opfern, indem sie den Regierungen und Banken beispiellose Subventionen (in Form von negativen Zinssätzen und massiven öffentlichen Schuldenkäufen) gewähren. Einige Mitgliedstaaten haben den </w:t>
      </w:r>
      <w:r>
        <w:rPr>
          <w:rFonts w:cs="Calibri Light" w:ascii="Calibri Light" w:hAnsi="Calibri Light"/>
          <w:i/>
          <w:iCs/>
          <w:color w:val="000000"/>
          <w:lang w:val="de-DE"/>
        </w:rPr>
        <w:t>Altersvorsorgesparern</w:t>
      </w:r>
      <w:r>
        <w:rPr>
          <w:rFonts w:cs="Calibri Light" w:ascii="Calibri Light" w:hAnsi="Calibri Light"/>
          <w:i/>
          <w:iCs/>
          <w:color w:val="000000"/>
          <w:lang w:val="nl-BE"/>
        </w:rPr>
        <w:t xml:space="preserve"> sogar erlaubt, ihre Altersvorsorge anzuzapfen, indem sie vorzeitige Auszahlungen genehmigten, und einige Altersvorsorgesysteme haben bereits angekündigt, dass sie aufgrund der Corona-Krise durchaus gezwungen sein könnte</w:t>
      </w:r>
      <w:r>
        <w:rPr>
          <w:rFonts w:cs="Calibri Light" w:ascii="Calibri Light" w:hAnsi="Calibri Light"/>
          <w:i/>
          <w:iCs/>
          <w:color w:val="000000"/>
          <w:lang w:val="de-DE"/>
        </w:rPr>
        <w:t>n</w:t>
      </w:r>
      <w:r>
        <w:rPr>
          <w:rFonts w:cs="Calibri Light" w:ascii="Calibri Light" w:hAnsi="Calibri Light"/>
          <w:i/>
          <w:iCs/>
          <w:color w:val="000000"/>
          <w:lang w:val="nl-BE"/>
        </w:rPr>
        <w:t>, sogar nominale Altersvorsorgeansprüche zu senken.</w:t>
      </w:r>
    </w:p>
    <w:p>
      <w:pPr>
        <w:pStyle w:val="Normal"/>
        <w:spacing w:before="0" w:after="240"/>
        <w:jc w:val="both"/>
        <w:rPr>
          <w:rFonts w:ascii="Calibri Light" w:hAnsi="Calibri Light" w:cs="Calibri Light"/>
          <w:i/>
          <w:i/>
          <w:iCs/>
          <w:lang w:val="nl-BE"/>
        </w:rPr>
      </w:pPr>
      <w:r>
        <w:rPr>
          <w:rFonts w:cs="Calibri Light" w:ascii="Calibri Light" w:hAnsi="Calibri Light"/>
          <w:i/>
          <w:iCs/>
          <w:lang w:val="nl-BE"/>
        </w:rPr>
        <w:t>Die Entstehung der „Corona-Altersvorsorge“ ist ein weiterer Schlag für die europäischen Altersvorsorgesparer.“</w:t>
      </w:r>
    </w:p>
    <w:p>
      <w:pPr>
        <w:pStyle w:val="Normal"/>
        <w:spacing w:before="0" w:after="240"/>
        <w:jc w:val="both"/>
        <w:rPr>
          <w:rFonts w:ascii="Calibri Light" w:hAnsi="Calibri Light" w:cs="Calibri Light"/>
          <w:color w:val="000000"/>
        </w:rPr>
      </w:pPr>
      <w:r>
        <w:rPr>
          <w:rFonts w:cs="Calibri Light" w:ascii="Calibri Light" w:hAnsi="Calibri Light"/>
          <w:color w:val="000000"/>
          <w:lang w:val="de-DE"/>
        </w:rPr>
        <w:t xml:space="preserve">BETTER FINANCE </w:t>
      </w:r>
      <w:r>
        <w:rPr>
          <w:rFonts w:cs="Calibri Light" w:ascii="Calibri Light" w:hAnsi="Calibri Light"/>
          <w:color w:val="000000"/>
          <w:lang w:val="nl-BE"/>
        </w:rPr>
        <w:t xml:space="preserve">legte 11 </w:t>
      </w:r>
      <w:r>
        <w:rPr>
          <w:rFonts w:cs="Calibri Light" w:ascii="Calibri Light" w:hAnsi="Calibri Light"/>
          <w:color w:val="000000"/>
          <w:lang w:val="de-DE"/>
        </w:rPr>
        <w:t>zentrale</w:t>
      </w:r>
      <w:r>
        <w:rPr>
          <w:rFonts w:cs="Calibri Light" w:ascii="Calibri Light" w:hAnsi="Calibri Light"/>
          <w:color w:val="000000"/>
          <w:lang w:val="nl-BE"/>
        </w:rPr>
        <w:t xml:space="preserve"> Maßnahmenempfehlungen vor, um die drängendsten Probleme der privaten Altersvorsorge anzugehen und ein Umfeld zu schaffen, das angemessene langfristige Renditen begünstigt. Es folgen einige der </w:t>
      </w:r>
      <w:r>
        <w:rPr>
          <w:rFonts w:cs="Calibri Light" w:ascii="Calibri Light" w:hAnsi="Calibri Light"/>
          <w:color w:val="000000"/>
        </w:rPr>
        <w:t xml:space="preserve">wichtigsten </w:t>
      </w:r>
      <w:r>
        <w:rPr>
          <w:rFonts w:cs="Calibri Light" w:ascii="Calibri Light" w:hAnsi="Calibri Light"/>
          <w:color w:val="000000"/>
          <w:lang w:val="de-DE"/>
        </w:rPr>
        <w:t>Empfehlungen</w:t>
      </w:r>
      <w:r>
        <w:rPr>
          <w:rFonts w:cs="Calibri Light" w:ascii="Calibri Light" w:hAnsi="Calibri Light"/>
          <w:color w:val="000000"/>
        </w:rPr>
        <w:t>:</w:t>
      </w:r>
    </w:p>
    <w:p>
      <w:pPr>
        <w:pStyle w:val="ListParagraph"/>
        <w:numPr>
          <w:ilvl w:val="0"/>
          <w:numId w:val="2"/>
        </w:numPr>
        <w:spacing w:lineRule="auto" w:line="276" w:before="0" w:after="200"/>
        <w:ind w:left="426" w:hanging="360"/>
        <w:jc w:val="both"/>
        <w:rPr>
          <w:rFonts w:ascii="Calibri Light" w:hAnsi="Calibri Light" w:cs="Calibri Light"/>
          <w:bCs/>
          <w:i/>
          <w:i/>
          <w:iCs/>
          <w:color w:val="0070C0"/>
          <w:lang w:val="nl-BE"/>
        </w:rPr>
      </w:pPr>
      <w:r>
        <w:rPr>
          <w:rFonts w:cs="Calibri Light" w:ascii="Calibri Light" w:hAnsi="Calibri Light"/>
          <w:bCs/>
          <w:i/>
          <w:iCs/>
          <w:color w:val="0070C0"/>
          <w:lang w:val="nl-BE"/>
        </w:rPr>
        <w:t xml:space="preserve">Harmonisierung und Stärkung der Regeln zur wirksamen Eindämmung von Interessenkonflikten beim Vertrieb von langfristigen </w:t>
      </w:r>
      <w:r>
        <w:rPr>
          <w:rFonts w:cs="Calibri Light" w:ascii="Calibri Light" w:hAnsi="Calibri Light"/>
          <w:bCs/>
          <w:i/>
          <w:iCs/>
          <w:color w:val="0070C0"/>
          <w:lang w:val="de-DE"/>
        </w:rPr>
        <w:t xml:space="preserve">Spar- und </w:t>
      </w:r>
      <w:r>
        <w:rPr>
          <w:rFonts w:cs="Calibri Light" w:ascii="Calibri Light" w:hAnsi="Calibri Light"/>
          <w:bCs/>
          <w:i/>
          <w:iCs/>
          <w:color w:val="0070C0"/>
          <w:lang w:val="nl-BE"/>
        </w:rPr>
        <w:t>Altersvorsorgeprodukten.</w:t>
      </w:r>
    </w:p>
    <w:p>
      <w:pPr>
        <w:pStyle w:val="ListParagraph"/>
        <w:numPr>
          <w:ilvl w:val="0"/>
          <w:numId w:val="2"/>
        </w:numPr>
        <w:spacing w:lineRule="auto" w:line="276" w:before="0" w:after="200"/>
        <w:ind w:left="426" w:hanging="360"/>
        <w:jc w:val="both"/>
        <w:rPr>
          <w:rFonts w:ascii="Calibri Light" w:hAnsi="Calibri Light" w:cs="Calibri Light"/>
          <w:bCs/>
          <w:i/>
          <w:i/>
          <w:iCs/>
          <w:color w:val="0070C0"/>
          <w:lang w:val="nl-BE"/>
        </w:rPr>
      </w:pPr>
      <w:r>
        <w:rPr>
          <w:rFonts w:cs="Calibri Light" w:ascii="Calibri Light" w:hAnsi="Calibri Light"/>
          <w:bCs/>
          <w:i/>
          <w:iCs/>
          <w:color w:val="0070C0"/>
          <w:lang w:val="nl-BE"/>
        </w:rPr>
        <w:t xml:space="preserve">Wiederherstellung der standardisierten </w:t>
      </w:r>
      <w:r>
        <w:rPr>
          <w:rFonts w:cs="Calibri Light" w:ascii="Calibri Light" w:hAnsi="Calibri Light"/>
          <w:bCs/>
          <w:i/>
          <w:iCs/>
          <w:color w:val="0070C0"/>
          <w:lang w:val="de-DE"/>
        </w:rPr>
        <w:t>Offenlegung</w:t>
      </w:r>
      <w:r>
        <w:rPr>
          <w:rFonts w:cs="Calibri Light" w:ascii="Calibri Light" w:hAnsi="Calibri Light"/>
          <w:bCs/>
          <w:i/>
          <w:iCs/>
          <w:color w:val="0070C0"/>
          <w:lang w:val="nl-BE"/>
        </w:rPr>
        <w:t xml:space="preserve"> der langfristigen und relativen Wertentwicklung in der Vergangenheit für alle </w:t>
      </w:r>
      <w:r>
        <w:rPr>
          <w:rFonts w:cs="Calibri Light" w:ascii="Calibri Light" w:hAnsi="Calibri Light"/>
          <w:bCs/>
          <w:i/>
          <w:iCs/>
          <w:color w:val="0070C0"/>
          <w:lang w:val="de-DE"/>
        </w:rPr>
        <w:t>langfristigen</w:t>
      </w:r>
      <w:r>
        <w:rPr>
          <w:rFonts w:cs="Calibri Light" w:ascii="Calibri Light" w:hAnsi="Calibri Light"/>
          <w:bCs/>
          <w:i/>
          <w:iCs/>
          <w:color w:val="0070C0"/>
          <w:lang w:val="nl-BE"/>
        </w:rPr>
        <w:t xml:space="preserve"> Spar- und Altersvorsorgeprodukte.</w:t>
      </w:r>
    </w:p>
    <w:p>
      <w:pPr>
        <w:pStyle w:val="ListParagraph"/>
        <w:numPr>
          <w:ilvl w:val="0"/>
          <w:numId w:val="2"/>
        </w:numPr>
        <w:spacing w:lineRule="auto" w:line="276" w:before="0" w:after="200"/>
        <w:ind w:left="426" w:hanging="360"/>
        <w:jc w:val="both"/>
        <w:rPr>
          <w:rFonts w:ascii="Calibri Light" w:hAnsi="Calibri Light" w:cs="Calibri Light"/>
          <w:bCs/>
          <w:i/>
          <w:i/>
          <w:iCs/>
          <w:color w:val="0070C0"/>
          <w:lang w:val="nl-BE"/>
        </w:rPr>
      </w:pPr>
      <w:r>
        <w:rPr>
          <w:rFonts w:cs="Calibri Light" w:ascii="Calibri Light" w:hAnsi="Calibri Light"/>
          <w:bCs/>
          <w:i/>
          <w:iCs/>
          <w:color w:val="0070C0"/>
          <w:lang w:val="nl-BE"/>
        </w:rPr>
        <w:t>Gewährung einer Sonderbehandlung durch aufsichtsrechtliche Vorschriften für alle langfristigen Verbindlichkeiten und Pensionsverpflichtungen (Beseitigung der Schuldenverzerrung).</w:t>
      </w:r>
    </w:p>
    <w:p>
      <w:pPr>
        <w:pStyle w:val="ListParagraph"/>
        <w:numPr>
          <w:ilvl w:val="0"/>
          <w:numId w:val="2"/>
        </w:numPr>
        <w:spacing w:lineRule="auto" w:line="276" w:before="0" w:after="200"/>
        <w:ind w:left="426" w:hanging="360"/>
        <w:jc w:val="both"/>
        <w:rPr>
          <w:rFonts w:ascii="Calibri Light" w:hAnsi="Calibri Light" w:cs="Calibri Light"/>
          <w:bCs/>
          <w:i/>
          <w:i/>
          <w:iCs/>
          <w:color w:val="0070C0"/>
          <w:lang w:val="nl-BE"/>
        </w:rPr>
      </w:pPr>
      <w:r>
        <w:rPr>
          <w:rFonts w:cs="Calibri Light" w:ascii="Calibri Light" w:hAnsi="Calibri Light"/>
          <w:bCs/>
          <w:i/>
          <w:iCs/>
          <w:color w:val="0070C0"/>
          <w:lang w:val="nl-BE"/>
        </w:rPr>
        <w:t xml:space="preserve">Vereinfachung des „Basis-PEPP“ und Ermöglichung von Direktinvestitionen in Kapitalmärkte (Plain-Vanilla-Aktien, Anleihenindex-ETF) für PEPP-Sparer (Anleger in </w:t>
      </w:r>
      <w:r>
        <w:rPr>
          <w:rFonts w:cs="Calibri Light" w:ascii="Calibri Light" w:hAnsi="Calibri Light"/>
          <w:bCs/>
          <w:i/>
          <w:iCs/>
          <w:color w:val="0070C0"/>
          <w:lang w:val="de-DE"/>
        </w:rPr>
        <w:t>pan</w:t>
      </w:r>
      <w:r>
        <w:rPr>
          <w:rFonts w:cs="Calibri Light" w:ascii="Calibri Light" w:hAnsi="Calibri Light"/>
          <w:bCs/>
          <w:i/>
          <w:iCs/>
          <w:color w:val="0070C0"/>
          <w:lang w:val="nl-BE"/>
        </w:rPr>
        <w:t>europäische private Pensionsprodukte).</w:t>
      </w:r>
    </w:p>
    <w:p>
      <w:pPr>
        <w:pStyle w:val="ListParagraph"/>
        <w:numPr>
          <w:ilvl w:val="0"/>
          <w:numId w:val="2"/>
        </w:numPr>
        <w:spacing w:lineRule="auto" w:line="276" w:before="0" w:after="200"/>
        <w:ind w:left="426" w:hanging="360"/>
        <w:jc w:val="both"/>
        <w:rPr>
          <w:rFonts w:ascii="Calibri Light" w:hAnsi="Calibri Light" w:cs="Calibri Light"/>
          <w:bCs/>
          <w:i/>
          <w:i/>
          <w:iCs/>
          <w:color w:val="0070C0"/>
          <w:lang w:val="nl-BE"/>
        </w:rPr>
      </w:pPr>
      <w:r>
        <w:rPr>
          <w:rFonts w:cs="Calibri Light" w:ascii="Calibri Light" w:hAnsi="Calibri Light"/>
          <w:bCs/>
          <w:i/>
          <w:iCs/>
          <w:color w:val="0070C0"/>
          <w:lang w:val="nl-BE"/>
        </w:rPr>
        <w:t>Dringend</w:t>
      </w:r>
      <w:r>
        <w:rPr>
          <w:rFonts w:cs="Calibri Light" w:ascii="Calibri Light" w:hAnsi="Calibri Light"/>
          <w:bCs/>
          <w:i/>
          <w:iCs/>
          <w:color w:val="0070C0"/>
          <w:lang w:val="de-DE"/>
        </w:rPr>
        <w:t>e Durchsetzung</w:t>
      </w:r>
      <w:r>
        <w:rPr>
          <w:rFonts w:cs="Calibri Light" w:ascii="Calibri Light" w:hAnsi="Calibri Light"/>
          <w:bCs/>
          <w:i/>
          <w:iCs/>
          <w:color w:val="0070C0"/>
          <w:lang w:val="nl-BE"/>
        </w:rPr>
        <w:t xml:space="preserve"> harmonisierte</w:t>
      </w:r>
      <w:r>
        <w:rPr>
          <w:rFonts w:cs="Calibri Light" w:ascii="Calibri Light" w:hAnsi="Calibri Light"/>
          <w:bCs/>
          <w:i/>
          <w:iCs/>
          <w:color w:val="0070C0"/>
          <w:lang w:val="de-DE"/>
        </w:rPr>
        <w:t>r</w:t>
      </w:r>
      <w:r>
        <w:rPr>
          <w:rFonts w:cs="Calibri Light" w:ascii="Calibri Light" w:hAnsi="Calibri Light"/>
          <w:bCs/>
          <w:i/>
          <w:iCs/>
          <w:color w:val="0070C0"/>
          <w:lang w:val="nl-BE"/>
        </w:rPr>
        <w:t xml:space="preserve"> und umfassende</w:t>
      </w:r>
      <w:r>
        <w:rPr>
          <w:rFonts w:cs="Calibri Light" w:ascii="Calibri Light" w:hAnsi="Calibri Light"/>
          <w:bCs/>
          <w:i/>
          <w:iCs/>
          <w:color w:val="0070C0"/>
          <w:lang w:val="de-DE"/>
        </w:rPr>
        <w:t>r</w:t>
      </w:r>
      <w:r>
        <w:rPr>
          <w:rFonts w:cs="Calibri Light" w:ascii="Calibri Light" w:hAnsi="Calibri Light"/>
          <w:bCs/>
          <w:i/>
          <w:iCs/>
          <w:color w:val="0070C0"/>
          <w:lang w:val="nl-BE"/>
        </w:rPr>
        <w:t xml:space="preserve"> EU-weite</w:t>
      </w:r>
      <w:r>
        <w:rPr>
          <w:rFonts w:cs="Calibri Light" w:ascii="Calibri Light" w:hAnsi="Calibri Light"/>
          <w:bCs/>
          <w:i/>
          <w:iCs/>
          <w:color w:val="0070C0"/>
          <w:lang w:val="de-DE"/>
        </w:rPr>
        <w:t>r</w:t>
      </w:r>
      <w:r>
        <w:rPr>
          <w:rFonts w:cs="Calibri Light" w:ascii="Calibri Light" w:hAnsi="Calibri Light"/>
          <w:bCs/>
          <w:i/>
          <w:iCs/>
          <w:color w:val="0070C0"/>
          <w:lang w:val="nl-BE"/>
        </w:rPr>
        <w:t xml:space="preserve"> Sicherungssysteme für Versicherungen, da ein Großteil der privaten Altersvorsorge auf Versicherungen beruht und reguliert wird.</w:t>
      </w:r>
    </w:p>
    <w:p>
      <w:pPr>
        <w:pStyle w:val="ListParagraph"/>
        <w:spacing w:lineRule="auto" w:line="276"/>
        <w:ind w:left="357" w:hanging="0"/>
        <w:jc w:val="both"/>
        <w:rPr>
          <w:rFonts w:ascii="Calibri Light" w:hAnsi="Calibri Light" w:cs="Calibri Light"/>
          <w:bCs/>
          <w:i/>
          <w:i/>
          <w:iCs/>
          <w:color w:val="0070C0"/>
          <w:lang w:val="nl-BE"/>
        </w:rPr>
      </w:pPr>
      <w:r>
        <w:rPr>
          <w:rFonts w:cs="Calibri Light" w:ascii="Calibri Light" w:hAnsi="Calibri Light"/>
          <w:bCs/>
          <w:i/>
          <w:iCs/>
          <w:color w:val="0070C0"/>
          <w:lang w:val="nl-BE"/>
        </w:rPr>
      </w:r>
    </w:p>
    <w:p>
      <w:pPr>
        <w:pStyle w:val="Normal"/>
        <w:spacing w:before="0" w:after="0"/>
        <w:jc w:val="both"/>
        <w:rPr>
          <w:rFonts w:ascii="Calibri Light" w:hAnsi="Calibri Light" w:cs="Calibri Light"/>
          <w:color w:val="000000"/>
        </w:rPr>
      </w:pPr>
      <w:r>
        <w:rPr>
          <w:rFonts w:cs="Calibri Light" w:ascii="Calibri Light" w:hAnsi="Calibri Light"/>
          <w:color w:val="000000"/>
        </w:rPr>
        <w:t>Zusätzliche Informationen:</w:t>
      </w:r>
    </w:p>
    <w:p>
      <w:pPr>
        <w:pStyle w:val="Normal"/>
        <w:spacing w:before="0" w:after="0"/>
        <w:jc w:val="both"/>
        <w:rPr>
          <w:rFonts w:ascii="Calibri Light" w:hAnsi="Calibri Light" w:cs="Calibri Light"/>
          <w:color w:val="000000"/>
          <w:sz w:val="20"/>
          <w:szCs w:val="20"/>
        </w:rPr>
      </w:pPr>
      <w:r>
        <w:rPr>
          <w:rFonts w:cs="Calibri Light" w:ascii="Calibri Light" w:hAnsi="Calibri Light"/>
          <w:color w:val="000000"/>
          <w:sz w:val="20"/>
          <w:szCs w:val="20"/>
        </w:rPr>
      </w:r>
    </w:p>
    <w:p>
      <w:pPr>
        <w:pStyle w:val="ListParagraph"/>
        <w:numPr>
          <w:ilvl w:val="0"/>
          <w:numId w:val="3"/>
        </w:numPr>
        <w:jc w:val="both"/>
        <w:rPr>
          <w:lang w:val="nl-BE"/>
        </w:rPr>
      </w:pPr>
      <w:r>
        <w:rPr>
          <w:rFonts w:cs="Calibri Light" w:ascii="Calibri Light" w:hAnsi="Calibri Light"/>
          <w:color w:val="000000"/>
          <w:lang w:val="nl-BE"/>
        </w:rPr>
        <w:t xml:space="preserve">Laden Sie den </w:t>
      </w:r>
      <w:hyperlink r:id="rId3">
        <w:r>
          <w:rPr>
            <w:rStyle w:val="Internetverknpfung"/>
            <w:rFonts w:cs="Calibri Light" w:ascii="Calibri Light" w:hAnsi="Calibri Light"/>
            <w:lang w:val="nl-BE"/>
          </w:rPr>
          <w:t>vollständigen Bericht 2020</w:t>
        </w:r>
      </w:hyperlink>
      <w:r>
        <w:rPr>
          <w:rFonts w:cs="Calibri Light" w:ascii="Calibri Light" w:hAnsi="Calibri Light"/>
          <w:color w:val="000000"/>
          <w:lang w:val="nl-BE"/>
        </w:rPr>
        <w:t xml:space="preserve"> von der Website von BETTER FINANCE herunter. </w:t>
      </w:r>
    </w:p>
    <w:p>
      <w:pPr>
        <w:pStyle w:val="ListParagraph"/>
        <w:numPr>
          <w:ilvl w:val="0"/>
          <w:numId w:val="3"/>
        </w:numPr>
        <w:jc w:val="both"/>
        <w:rPr>
          <w:lang w:val="nl-BE"/>
        </w:rPr>
      </w:pPr>
      <w:r>
        <w:rPr>
          <w:rFonts w:cs="Calibri Light" w:ascii="Calibri Light" w:hAnsi="Calibri Light"/>
          <w:color w:val="000000"/>
          <w:lang w:val="nl-BE"/>
        </w:rPr>
        <w:t>BETTER FINANCE hat eine vereinfachte Version des Berichts  über die Altersvorsorge erstellt (</w:t>
      </w:r>
      <w:hyperlink r:id="rId4">
        <w:r>
          <w:rPr>
            <w:rStyle w:val="Internetverknpfung"/>
            <w:rFonts w:cs="Calibri Light" w:ascii="Calibri Light" w:hAnsi="Calibri Light"/>
            <w:lang w:val="nl-BE"/>
          </w:rPr>
          <w:t>Broschüre</w:t>
        </w:r>
      </w:hyperlink>
      <w:r>
        <w:rPr>
          <w:rFonts w:cs="Calibri Light" w:ascii="Calibri Light" w:hAnsi="Calibri Light"/>
          <w:color w:val="000000"/>
          <w:lang w:val="nl-BE"/>
        </w:rPr>
        <w:t>).</w:t>
      </w:r>
    </w:p>
    <w:p>
      <w:pPr>
        <w:pStyle w:val="ListParagraph"/>
        <w:numPr>
          <w:ilvl w:val="0"/>
          <w:numId w:val="3"/>
        </w:numPr>
        <w:spacing w:before="0" w:after="120"/>
        <w:jc w:val="both"/>
        <w:rPr>
          <w:lang w:val="nl-BE"/>
        </w:rPr>
      </w:pPr>
      <w:r>
        <w:rPr>
          <w:rFonts w:cs="Calibri Light" w:ascii="Calibri Light" w:hAnsi="Calibri Light"/>
          <w:color w:val="000000"/>
          <w:lang w:val="nl-BE"/>
        </w:rPr>
        <w:t xml:space="preserve">BETTER FINANCE hat die nominale und reale Nettowertentwicklung aller im Bericht behandelten Altersvorsorgeprodukte </w:t>
      </w:r>
      <w:hyperlink r:id="rId5">
        <w:r>
          <w:rPr>
            <w:rStyle w:val="Internetverknpfung"/>
            <w:rFonts w:cs="Calibri Light" w:ascii="Calibri Light" w:hAnsi="Calibri Light"/>
            <w:lang w:val="nl-BE"/>
          </w:rPr>
          <w:t>auf einer benutzerfreundlichen Online-Plattform</w:t>
        </w:r>
      </w:hyperlink>
      <w:r>
        <w:rPr>
          <w:rFonts w:cs="Calibri Light" w:ascii="Calibri Light" w:hAnsi="Calibri Light"/>
          <w:color w:val="000000"/>
          <w:lang w:val="nl-BE"/>
        </w:rPr>
        <w:t xml:space="preserve"> bereitgestellt. </w:t>
      </w:r>
    </w:p>
    <w:p>
      <w:pPr>
        <w:pStyle w:val="Normal"/>
        <w:spacing w:lineRule="auto" w:line="240" w:before="0" w:after="120"/>
        <w:jc w:val="center"/>
        <w:rPr>
          <w:rFonts w:ascii="Calibri Light" w:hAnsi="Calibri Light" w:cs="Calibri Light"/>
          <w:lang w:val="nl-BE"/>
        </w:rPr>
      </w:pPr>
      <w:r>
        <w:rPr>
          <w:rFonts w:cs="Calibri Light" w:ascii="Calibri Light" w:hAnsi="Calibri Light"/>
          <w:lang w:val="nl-BE"/>
        </w:rPr>
      </w:r>
    </w:p>
    <w:p>
      <w:pPr>
        <w:pStyle w:val="Normal"/>
        <w:spacing w:lineRule="auto" w:line="240" w:before="0" w:after="120"/>
        <w:jc w:val="center"/>
        <w:rPr>
          <w:rFonts w:ascii="Calibri Light" w:hAnsi="Calibri Light" w:cs="Calibri Light"/>
          <w:lang w:val="nl-BE"/>
        </w:rPr>
      </w:pPr>
      <w:r>
        <w:rPr>
          <w:rFonts w:cs="Calibri Light" w:ascii="Calibri Light" w:hAnsi="Calibri Light"/>
          <w:lang w:val="nl-BE"/>
        </w:rPr>
        <w:t>***</w:t>
      </w:r>
    </w:p>
    <w:p>
      <w:pPr>
        <w:pStyle w:val="Textkrper"/>
        <w:spacing w:lineRule="auto" w:line="240" w:before="0" w:after="0"/>
        <w:jc w:val="center"/>
        <w:rPr>
          <w:lang w:val="nl-BE"/>
        </w:rPr>
      </w:pPr>
      <w:r>
        <w:rPr>
          <w:rFonts w:cs="Calibri Light" w:ascii="Calibri Light" w:hAnsi="Calibri Light"/>
          <w:sz w:val="18"/>
          <w:szCs w:val="18"/>
          <w:u w:val="single"/>
          <w:lang w:val="nl-BE"/>
        </w:rPr>
        <w:t>Kontakt</w:t>
      </w:r>
      <w:r>
        <w:rPr>
          <w:rFonts w:cs="Calibri Light" w:ascii="Calibri Light" w:hAnsi="Calibri Light"/>
          <w:sz w:val="18"/>
          <w:szCs w:val="18"/>
          <w:lang w:val="nl-BE"/>
        </w:rPr>
        <w:t xml:space="preserve">: Leiter der Kommunikationsabteilung ǀ Arnaud Houdmont ǀ +32 (0)2 514 37 77 ǀ </w:t>
      </w:r>
      <w:hyperlink r:id="rId6">
        <w:r>
          <w:rPr>
            <w:rStyle w:val="Internetverknpfung"/>
            <w:rFonts w:cs="Calibri Light" w:ascii="Calibri Light" w:hAnsi="Calibri Light"/>
            <w:sz w:val="18"/>
            <w:szCs w:val="18"/>
            <w:lang w:val="nl-BE"/>
          </w:rPr>
          <w:t>houdmont@betterfinance.eu</w:t>
        </w:r>
      </w:hyperlink>
    </w:p>
    <w:p>
      <w:pPr>
        <w:pStyle w:val="Textkrper"/>
        <w:spacing w:lineRule="auto" w:line="240" w:before="0" w:after="0"/>
        <w:jc w:val="center"/>
        <w:rPr>
          <w:lang w:val="nl-BE"/>
        </w:rPr>
      </w:pPr>
      <w:r>
        <w:rPr>
          <w:lang w:val="nl-BE"/>
        </w:rPr>
      </w:r>
    </w:p>
    <w:p>
      <w:pPr>
        <w:pStyle w:val="Textkrper"/>
        <w:spacing w:lineRule="auto" w:line="240" w:before="0" w:after="0"/>
        <w:jc w:val="center"/>
        <w:rPr>
          <w:lang w:val="nl-BE"/>
        </w:rPr>
      </w:pPr>
      <w:r>
        <w:rPr>
          <w:lang w:val="nl-BE"/>
        </w:rPr>
      </w:r>
    </w:p>
    <w:p>
      <w:pPr>
        <w:pStyle w:val="Berschrift2"/>
        <w:jc w:val="both"/>
        <w:rPr>
          <w:rFonts w:eastAsia="Calibri"/>
          <w:b/>
          <w:b/>
          <w:color w:val="365F91"/>
          <w:spacing w:val="20"/>
          <w:kern w:val="2"/>
          <w:sz w:val="28"/>
          <w:szCs w:val="28"/>
          <w:u w:val="single"/>
          <w:lang w:val="nl-BE"/>
        </w:rPr>
      </w:pPr>
      <w:r>
        <w:rPr>
          <w:rFonts w:eastAsia="Calibri"/>
          <w:b/>
          <w:color w:val="365F91"/>
          <w:spacing w:val="20"/>
          <w:kern w:val="2"/>
          <w:sz w:val="28"/>
          <w:szCs w:val="28"/>
          <w:u w:val="single"/>
          <w:lang w:val="nl-BE"/>
        </w:rPr>
      </w:r>
    </w:p>
    <w:p>
      <w:pPr>
        <w:pStyle w:val="Berschrift2"/>
        <w:jc w:val="both"/>
        <w:rPr>
          <w:lang w:val="fr-BE"/>
        </w:rPr>
      </w:pPr>
      <w:r>
        <w:rPr>
          <w:rFonts w:eastAsia="Calibri"/>
          <w:b/>
          <w:color w:val="365F91"/>
          <w:spacing w:val="20"/>
          <w:kern w:val="2"/>
          <w:sz w:val="28"/>
          <w:szCs w:val="28"/>
          <w:u w:val="single"/>
          <w:lang w:val="fr-BE"/>
        </w:rPr>
        <w:t>Anhang</w:t>
      </w:r>
      <w:r>
        <w:rPr>
          <w:rFonts w:eastAsia="Calibri"/>
          <w:b/>
          <w:color w:val="365F91"/>
          <w:spacing w:val="20"/>
          <w:kern w:val="2"/>
          <w:sz w:val="28"/>
          <w:szCs w:val="28"/>
          <w:lang w:val="fr-BE"/>
        </w:rPr>
        <w:t>: Annualisierte</w:t>
      </w:r>
      <w:r>
        <w:rPr>
          <w:rFonts w:eastAsia="Calibri"/>
          <w:b/>
          <w:color w:val="365F91"/>
          <w:spacing w:val="20"/>
          <w:kern w:val="2"/>
          <w:sz w:val="28"/>
          <w:szCs w:val="28"/>
          <w:lang w:val="de-DE"/>
        </w:rPr>
        <w:t>r Nettowert Renditen von Rentenersparnissen</w:t>
      </w:r>
      <w:r>
        <w:rPr>
          <w:rFonts w:eastAsia="Calibri"/>
          <w:b/>
          <w:color w:val="365F91"/>
          <w:spacing w:val="20"/>
          <w:kern w:val="2"/>
          <w:sz w:val="28"/>
          <w:szCs w:val="28"/>
          <w:lang w:val="fr-BE"/>
        </w:rPr>
        <w:t xml:space="preserve"> - </w:t>
      </w:r>
      <w:r>
        <w:rPr>
          <w:rFonts w:eastAsia="Calibri"/>
          <w:b/>
          <w:color w:val="365F91"/>
          <w:spacing w:val="20"/>
          <w:kern w:val="2"/>
          <w:sz w:val="28"/>
          <w:szCs w:val="28"/>
          <w:u w:val="single"/>
          <w:lang w:val="fr-BE"/>
        </w:rPr>
        <w:t>siehe nächste Seite</w:t>
      </w:r>
    </w:p>
    <w:p>
      <w:pPr>
        <w:pStyle w:val="Normal"/>
        <w:rPr>
          <w:lang w:val="fr-BE"/>
        </w:rPr>
      </w:pPr>
      <w:r>
        <w:rPr>
          <w:lang w:val="fr-BE"/>
        </w:rPr>
      </w:r>
    </w:p>
    <w:p>
      <w:pPr>
        <w:sectPr>
          <w:headerReference w:type="default" r:id="rId7"/>
          <w:footerReference w:type="default" r:id="rId8"/>
          <w:footnotePr>
            <w:numFmt w:val="decimal"/>
          </w:footnotePr>
          <w:type w:val="nextPage"/>
          <w:pgSz w:w="11906" w:h="16838"/>
          <w:pgMar w:left="1417" w:right="1417" w:header="708" w:top="1417" w:footer="708" w:bottom="1417" w:gutter="0"/>
          <w:pgNumType w:fmt="decimal"/>
          <w:formProt w:val="false"/>
          <w:textDirection w:val="lrTb"/>
          <w:docGrid w:type="default" w:linePitch="100" w:charSpace="4096"/>
        </w:sectPr>
        <w:pStyle w:val="Normal"/>
        <w:rPr>
          <w:lang w:val="fr-BE"/>
        </w:rPr>
      </w:pPr>
      <w:r>
        <w:rPr>
          <w:lang w:val="fr-BE"/>
        </w:rPr>
        <mc:AlternateContent>
          <mc:Choice Requires="wps">
            <w:drawing>
              <wp:anchor behindDoc="0" distT="0" distB="0" distL="0" distR="0" simplePos="0" locked="0" layoutInCell="1" allowOverlap="1" relativeHeight="2" wp14:anchorId="6CB88AC2">
                <wp:simplePos x="0" y="0"/>
                <wp:positionH relativeFrom="column">
                  <wp:posOffset>5053330</wp:posOffset>
                </wp:positionH>
                <wp:positionV relativeFrom="paragraph">
                  <wp:posOffset>5715</wp:posOffset>
                </wp:positionV>
                <wp:extent cx="194310" cy="337185"/>
                <wp:effectExtent l="19050" t="0" r="19054" b="28579"/>
                <wp:wrapNone/>
                <wp:docPr id="1" name="Arrow: Down 4"/>
                <a:graphic xmlns:a="http://schemas.openxmlformats.org/drawingml/2006/main">
                  <a:graphicData uri="http://schemas.microsoft.com/office/word/2010/wordprocessingShape">
                    <wps:wsp>
                      <wps:cNvSpPr/>
                      <wps:spPr>
                        <a:xfrm>
                          <a:off x="0" y="0"/>
                          <a:ext cx="193680" cy="336600"/>
                        </a:xfrm>
                        <a:custGeom>
                          <a:avLst/>
                          <a:gdLst/>
                          <a:ahLst/>
                          <a:rect l="l" t="t" r="r" b="b"/>
                          <a:pathLst>
                            <a:path w="302" h="527">
                              <a:moveTo>
                                <a:pt x="75" y="0"/>
                              </a:moveTo>
                              <a:lnTo>
                                <a:pt x="75" y="375"/>
                              </a:lnTo>
                              <a:lnTo>
                                <a:pt x="0" y="375"/>
                              </a:lnTo>
                              <a:lnTo>
                                <a:pt x="150" y="526"/>
                              </a:lnTo>
                              <a:lnTo>
                                <a:pt x="301" y="375"/>
                              </a:lnTo>
                              <a:lnTo>
                                <a:pt x="225" y="375"/>
                              </a:lnTo>
                              <a:lnTo>
                                <a:pt x="225" y="0"/>
                              </a:lnTo>
                              <a:lnTo>
                                <a:pt x="75" y="0"/>
                              </a:lnTo>
                            </a:path>
                          </a:pathLst>
                        </a:custGeom>
                        <a:solidFill>
                          <a:srgbClr val="4472c4"/>
                        </a:solidFill>
                        <a:ln w="12600">
                          <a:solidFill>
                            <a:srgbClr val="2f528f"/>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 wp14:anchorId="6CB88AC0">
                <wp:simplePos x="0" y="0"/>
                <wp:positionH relativeFrom="column">
                  <wp:posOffset>490855</wp:posOffset>
                </wp:positionH>
                <wp:positionV relativeFrom="paragraph">
                  <wp:posOffset>5715</wp:posOffset>
                </wp:positionV>
                <wp:extent cx="194310" cy="337185"/>
                <wp:effectExtent l="19050" t="0" r="19054" b="28579"/>
                <wp:wrapNone/>
                <wp:docPr id="2" name="Arrow: Down 5"/>
                <a:graphic xmlns:a="http://schemas.openxmlformats.org/drawingml/2006/main">
                  <a:graphicData uri="http://schemas.microsoft.com/office/word/2010/wordprocessingShape">
                    <wps:wsp>
                      <wps:cNvSpPr/>
                      <wps:spPr>
                        <a:xfrm>
                          <a:off x="0" y="0"/>
                          <a:ext cx="193680" cy="336600"/>
                        </a:xfrm>
                        <a:custGeom>
                          <a:avLst/>
                          <a:gdLst/>
                          <a:ahLst/>
                          <a:rect l="l" t="t" r="r" b="b"/>
                          <a:pathLst>
                            <a:path w="302" h="527">
                              <a:moveTo>
                                <a:pt x="75" y="0"/>
                              </a:moveTo>
                              <a:lnTo>
                                <a:pt x="75" y="375"/>
                              </a:lnTo>
                              <a:lnTo>
                                <a:pt x="0" y="375"/>
                              </a:lnTo>
                              <a:lnTo>
                                <a:pt x="150" y="526"/>
                              </a:lnTo>
                              <a:lnTo>
                                <a:pt x="301" y="375"/>
                              </a:lnTo>
                              <a:lnTo>
                                <a:pt x="225" y="375"/>
                              </a:lnTo>
                              <a:lnTo>
                                <a:pt x="225" y="0"/>
                              </a:lnTo>
                              <a:lnTo>
                                <a:pt x="75" y="0"/>
                              </a:lnTo>
                            </a:path>
                          </a:pathLst>
                        </a:custGeom>
                        <a:solidFill>
                          <a:srgbClr val="4472c4"/>
                        </a:solidFill>
                        <a:ln w="12600">
                          <a:solidFill>
                            <a:srgbClr val="2f528f"/>
                          </a:solidFill>
                          <a:miter/>
                        </a:ln>
                      </wps:spPr>
                      <wps:style>
                        <a:lnRef idx="0"/>
                        <a:fillRef idx="0"/>
                        <a:effectRef idx="0"/>
                        <a:fontRef idx="minor"/>
                      </wps:style>
                      <wps:bodyPr/>
                    </wps:wsp>
                  </a:graphicData>
                </a:graphic>
              </wp:anchor>
            </w:drawing>
          </mc:Choice>
          <mc:Fallback>
            <w:pict/>
          </mc:Fallback>
        </mc:AlternateContent>
      </w:r>
    </w:p>
    <w:p>
      <w:pPr>
        <w:pStyle w:val="Normal"/>
        <w:spacing w:before="0" w:after="160"/>
        <w:rPr>
          <w:lang w:val="fr-BE"/>
        </w:rPr>
      </w:pPr>
      <w:r>
        <w:rPr/>
      </w:r>
    </w:p>
    <w:sectPr>
      <w:headerReference w:type="default" r:id="rId9"/>
      <w:footerReference w:type="default" r:id="rId10"/>
      <w:footnotePr>
        <w:numFmt w:val="decimal"/>
      </w:footnotePr>
      <w:type w:val="nextPage"/>
      <w:pgSz w:w="11906" w:h="16838"/>
      <w:pgMar w:left="1417" w:right="1417" w:header="708" w:top="1417" w:footer="708"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libri Light">
    <w:charset w:val="01"/>
    <w:family w:val="swiss"/>
    <w:pitch w:val="default"/>
  </w:font>
  <w:font w:name="Segoe UI">
    <w:charset w:val="01"/>
    <w:family w:val="swiss"/>
    <w:pitch w:val="default"/>
  </w:font>
  <w:font w:name="Tahoma">
    <w:charset w:val="01"/>
    <w:family w:val="swiss"/>
    <w:pitch w:val="default"/>
  </w:font>
  <w:font w:name="Arial">
    <w:charset w:val="01"/>
    <w:family w:val="swiss"/>
    <w:pitch w:val="default"/>
  </w:font>
  <w:font w:name="Times New Roman">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120" w:after="0"/>
      <w:ind w:left="-567" w:hanging="0"/>
      <w:jc w:val="center"/>
      <w:rPr>
        <w:b/>
        <w:b/>
        <w:color w:val="006FB4"/>
        <w:sz w:val="16"/>
        <w:szCs w:val="16"/>
        <w:lang w:val="nl-BE"/>
      </w:rPr>
    </w:pPr>
    <w:r>
      <w:rPr>
        <w:b/>
        <w:color w:val="006FB4"/>
        <w:sz w:val="16"/>
        <w:szCs w:val="16"/>
        <w:lang w:val="nl-BE"/>
      </w:rPr>
      <w:t>Die Europäische Föderation der Investoren und Nutzer von Finanzdienstleistungen</w:t>
    </w:r>
  </w:p>
  <w:p>
    <w:pPr>
      <w:pStyle w:val="Normal"/>
      <w:spacing w:lineRule="auto" w:line="240" w:before="0" w:after="0"/>
      <w:ind w:left="-567" w:hanging="0"/>
      <w:jc w:val="center"/>
      <w:rPr>
        <w:color w:val="006FB4"/>
        <w:sz w:val="16"/>
        <w:szCs w:val="16"/>
        <w:lang w:val="de-DE"/>
      </w:rPr>
    </w:pPr>
    <w:r>
      <w:rPr>
        <w:color w:val="006FB4"/>
        <w:sz w:val="16"/>
        <w:szCs w:val="16"/>
        <w:lang w:val="de-DE"/>
      </w:rPr>
      <w:t>44, Rue d'Arenberg, 1000 Brüssel - Belgien</w:t>
    </w:r>
  </w:p>
  <w:p>
    <w:pPr>
      <w:pStyle w:val="Normal"/>
      <w:spacing w:lineRule="auto" w:line="240" w:before="0" w:after="0"/>
      <w:ind w:left="-567" w:hanging="0"/>
      <w:jc w:val="center"/>
      <w:rPr/>
    </w:pPr>
    <w:r>
      <w:rPr>
        <w:color w:val="006FB4"/>
        <w:sz w:val="16"/>
        <w:szCs w:val="16"/>
        <w:lang w:val="de-DE"/>
      </w:rPr>
      <w:t xml:space="preserve">Tel. (+32) 02 514 37 77 - Fax. </w:t>
    </w:r>
    <w:r>
      <w:rPr>
        <w:color w:val="006FB4"/>
        <w:sz w:val="16"/>
        <w:szCs w:val="16"/>
        <w:lang w:val="pt-PT"/>
      </w:rPr>
      <w:t>(+32) 02 514 36 66</w:t>
    </w:r>
  </w:p>
  <w:p>
    <w:pPr>
      <w:pStyle w:val="Normal"/>
      <w:spacing w:lineRule="auto" w:line="240" w:before="0" w:after="0"/>
      <w:ind w:left="-567" w:hanging="0"/>
      <w:jc w:val="center"/>
      <w:rPr/>
    </w:pPr>
    <w:r>
      <w:rPr>
        <w:color w:val="006FB4"/>
        <w:sz w:val="16"/>
        <w:szCs w:val="16"/>
        <w:lang w:val="pt-PT"/>
      </w:rPr>
      <w:t xml:space="preserve">E-Mail: info@betterfinance.eu - </w:t>
    </w:r>
    <w:hyperlink r:id="rId1">
      <w:r>
        <w:rPr>
          <w:color w:val="006FB4"/>
          <w:sz w:val="16"/>
          <w:szCs w:val="16"/>
          <w:u w:val="single"/>
          <w:lang w:val="it-IT"/>
        </w:rPr>
        <w:t xml:space="preserve">http://www.betterfinance.eu </w:t>
      </w:r>
    </w:hyperlink>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120" w:after="0"/>
      <w:ind w:left="-567" w:hanging="0"/>
      <w:jc w:val="center"/>
      <w:rPr>
        <w:b/>
        <w:b/>
        <w:color w:val="006FB4"/>
        <w:sz w:val="16"/>
        <w:szCs w:val="16"/>
        <w:lang w:val="nl-BE"/>
      </w:rPr>
    </w:pPr>
    <w:r>
      <w:rPr>
        <w:b/>
        <w:color w:val="006FB4"/>
        <w:sz w:val="16"/>
        <w:szCs w:val="16"/>
        <w:lang w:val="nl-BE"/>
      </w:rPr>
      <w:t>Die Europäische Föderation der Investoren und Nutzer von Finanzdienstleistungen</w:t>
    </w:r>
  </w:p>
  <w:p>
    <w:pPr>
      <w:pStyle w:val="Normal"/>
      <w:spacing w:lineRule="auto" w:line="240" w:before="0" w:after="0"/>
      <w:ind w:left="-567" w:hanging="0"/>
      <w:jc w:val="center"/>
      <w:rPr>
        <w:color w:val="006FB4"/>
        <w:sz w:val="16"/>
        <w:szCs w:val="16"/>
        <w:lang w:val="de-DE"/>
      </w:rPr>
    </w:pPr>
    <w:r>
      <w:rPr>
        <w:color w:val="006FB4"/>
        <w:sz w:val="16"/>
        <w:szCs w:val="16"/>
        <w:lang w:val="de-DE"/>
      </w:rPr>
      <w:t>44, Rue d'Arenberg, 1000 Brüssel - Belgien</w:t>
    </w:r>
  </w:p>
  <w:p>
    <w:pPr>
      <w:pStyle w:val="Normal"/>
      <w:spacing w:lineRule="auto" w:line="240" w:before="0" w:after="0"/>
      <w:ind w:left="-567" w:hanging="0"/>
      <w:jc w:val="center"/>
      <w:rPr/>
    </w:pPr>
    <w:r>
      <w:rPr>
        <w:color w:val="006FB4"/>
        <w:sz w:val="16"/>
        <w:szCs w:val="16"/>
        <w:lang w:val="de-DE"/>
      </w:rPr>
      <w:t xml:space="preserve">Tel. (+32) 02 514 37 77 - Fax. </w:t>
    </w:r>
    <w:r>
      <w:rPr>
        <w:color w:val="006FB4"/>
        <w:sz w:val="16"/>
        <w:szCs w:val="16"/>
        <w:lang w:val="pt-PT"/>
      </w:rPr>
      <w:t>(+32) 02 514 36 66</w:t>
    </w:r>
  </w:p>
  <w:p>
    <w:pPr>
      <w:pStyle w:val="Normal"/>
      <w:spacing w:lineRule="auto" w:line="240" w:before="0" w:after="0"/>
      <w:ind w:left="-567" w:hanging="0"/>
      <w:jc w:val="center"/>
      <w:rPr/>
    </w:pPr>
    <w:r>
      <w:rPr>
        <w:color w:val="006FB4"/>
        <w:sz w:val="16"/>
        <w:szCs w:val="16"/>
        <w:lang w:val="pt-PT"/>
      </w:rPr>
      <w:t>E-Mail: info@betterfinance.eu -</w:t>
    </w:r>
    <w:bookmarkStart w:id="0" w:name="_Hlk944867"/>
    <w:r>
      <w:rPr>
        <w:color w:val="006FB4"/>
        <w:sz w:val="16"/>
        <w:szCs w:val="16"/>
        <w:lang w:val="pt-PT"/>
      </w:rPr>
      <w:t xml:space="preserve"> </w:t>
    </w:r>
    <w:hyperlink r:id="rId1">
      <w:r>
        <w:rPr>
          <w:color w:val="006FB4"/>
          <w:sz w:val="16"/>
          <w:szCs w:val="16"/>
          <w:u w:val="single"/>
          <w:lang w:val="it-IT"/>
        </w:rPr>
        <w:t xml:space="preserve">http://www.betterfinance.eu </w:t>
      </w:r>
    </w:hyperlink>
    <w:bookmarkEnd w:id="0"/>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lang w:val="nl-BE"/>
        </w:rPr>
      </w:pPr>
      <w:r>
        <w:rPr>
          <w:rStyle w:val="Funotenzeichen"/>
        </w:rPr>
        <w:footnoteRef/>
      </w:r>
      <w:r>
        <w:rPr>
          <w:rFonts w:cs="Calibri Light" w:ascii="Calibri Light" w:hAnsi="Calibri Light"/>
          <w:lang w:val="nl-BE"/>
        </w:rPr>
        <w:t xml:space="preserve"> </w:t>
      </w:r>
      <w:r>
        <w:rPr>
          <w:rFonts w:cs="Calibri Light" w:ascii="Calibri Light" w:hAnsi="Calibri Light"/>
          <w:lang w:val="nl-BE"/>
        </w:rPr>
        <w:t>NB: Sofern ausreichende Daten verfügbar sind.</w:t>
      </w:r>
    </w:p>
  </w:footnote>
  <w:footnote w:id="3">
    <w:p>
      <w:pPr>
        <w:pStyle w:val="Funote"/>
        <w:rPr>
          <w:lang w:val="nl-BE"/>
        </w:rPr>
      </w:pPr>
      <w:r>
        <w:rPr>
          <w:rStyle w:val="Funotenzeichen"/>
        </w:rPr>
        <w:footnoteRef/>
      </w:r>
      <w:r>
        <w:rPr>
          <w:lang w:val="nl-BE"/>
        </w:rPr>
        <w:t xml:space="preserve"> </w:t>
      </w:r>
      <w:r>
        <w:rPr>
          <w:lang w:val="nl-BE"/>
        </w:rPr>
        <w:t>Siehe Anhang 1.</w:t>
      </w:r>
    </w:p>
  </w:footnote>
  <w:footnote w:id="4">
    <w:p>
      <w:pPr>
        <w:pStyle w:val="Funote"/>
        <w:rPr>
          <w:lang w:val="nl-BE"/>
        </w:rPr>
      </w:pPr>
      <w:r>
        <w:rPr>
          <w:rStyle w:val="Funotenzeichen"/>
        </w:rPr>
        <w:footnoteRef/>
      </w:r>
      <w:r>
        <w:rPr>
          <w:rFonts w:cs="Calibri Light" w:ascii="Calibri Light" w:hAnsi="Calibri Light"/>
          <w:lang w:val="nl-BE"/>
        </w:rPr>
        <w:t xml:space="preserve"> </w:t>
      </w:r>
      <w:r>
        <w:rPr>
          <w:rFonts w:cs="Calibri Light" w:ascii="Calibri Light" w:hAnsi="Calibri Light"/>
          <w:lang w:val="nl-BE"/>
        </w:rPr>
        <w:t>Der Aktienteil besteht aus dem STOXX All Europe Total Market (NR) und der Anleihenteil aus dem BBarc Pan-European Aggregate Bond Index.</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0" w:after="120"/>
      <w:jc w:val="center"/>
      <w:rPr/>
    </w:pPr>
    <w:r>
      <w:rPr/>
      <w:drawing>
        <wp:anchor behindDoc="1" distT="0" distB="0" distL="114300" distR="114300" simplePos="0" locked="0" layoutInCell="1" allowOverlap="1" relativeHeight="5">
          <wp:simplePos x="0" y="0"/>
          <wp:positionH relativeFrom="margin">
            <wp:posOffset>2617470</wp:posOffset>
          </wp:positionH>
          <wp:positionV relativeFrom="paragraph">
            <wp:posOffset>-219710</wp:posOffset>
          </wp:positionV>
          <wp:extent cx="3138170" cy="645160"/>
          <wp:effectExtent l="0" t="0" r="0" b="0"/>
          <wp:wrapSquare wrapText="bothSides"/>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3138170" cy="645160"/>
                  </a:xfrm>
                  <a:prstGeom prst="rect">
                    <a:avLst/>
                  </a:prstGeom>
                </pic:spPr>
              </pic:pic>
            </a:graphicData>
          </a:graphic>
        </wp:anchor>
      </w:drawing>
    </w:r>
  </w:p>
  <w:p>
    <w:pPr>
      <w:pStyle w:val="Kopfzeile"/>
      <w:rPr>
        <w:sz w:val="20"/>
        <w:szCs w:val="20"/>
      </w:rPr>
    </w:pPr>
    <w:r>
      <w:rPr>
        <w:sz w:val="20"/>
        <w:szCs w:val="20"/>
      </w:rPr>
    </w:r>
  </w:p>
  <w:p>
    <w:pPr>
      <w:pStyle w:val="Kopfzeile"/>
      <w:rPr>
        <w:sz w:val="20"/>
        <w:szCs w:val="20"/>
      </w:rPr>
    </w:pPr>
    <w:r>
      <w:rPr>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0" w:after="120"/>
      <w:jc w:val="center"/>
      <w:rPr/>
    </w:pPr>
    <w:r>
      <w:rPr/>
      <w:drawing>
        <wp:anchor behindDoc="0" distT="0" distB="0" distL="0" distR="0" simplePos="0" locked="0" layoutInCell="1" allowOverlap="1" relativeHeight="6">
          <wp:simplePos x="0" y="0"/>
          <wp:positionH relativeFrom="page">
            <wp:align>left</wp:align>
          </wp:positionH>
          <wp:positionV relativeFrom="paragraph">
            <wp:posOffset>-249555</wp:posOffset>
          </wp:positionV>
          <wp:extent cx="7559040" cy="10248265"/>
          <wp:effectExtent l="0" t="0" r="0" b="0"/>
          <wp:wrapSquare wrapText="bothSides"/>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wp:anchor>
      </w:drawing>
    </w:r>
  </w:p>
  <w:p>
    <w:pPr>
      <w:pStyle w:val="Kopfzeile"/>
      <w:rPr>
        <w:sz w:val="20"/>
        <w:szCs w:val="20"/>
      </w:rPr>
    </w:pPr>
    <w:r>
      <w:rPr>
        <w:sz w:val="20"/>
        <w:szCs w:val="20"/>
      </w:rPr>
    </w:r>
  </w:p>
  <w:p>
    <w:pPr>
      <w:pStyle w:val="Kopfzeile"/>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67" w:hanging="360"/>
      </w:pPr>
      <w:rPr>
        <w:rFonts w:ascii="Symbol" w:hAnsi="Symbol" w:cs="Symbol" w:hint="default"/>
      </w:rPr>
    </w:lvl>
    <w:lvl w:ilvl="1">
      <w:start w:val="0"/>
      <w:numFmt w:val="bullet"/>
      <w:lvlText w:val="o"/>
      <w:lvlJc w:val="left"/>
      <w:pPr>
        <w:tabs>
          <w:tab w:val="num" w:pos="0"/>
        </w:tabs>
        <w:ind w:left="1487" w:hanging="360"/>
      </w:pPr>
      <w:rPr>
        <w:rFonts w:ascii="Courier New" w:hAnsi="Courier New" w:cs="Courier New" w:hint="default"/>
      </w:rPr>
    </w:lvl>
    <w:lvl w:ilvl="2">
      <w:start w:val="0"/>
      <w:numFmt w:val="bullet"/>
      <w:lvlText w:val=""/>
      <w:lvlJc w:val="left"/>
      <w:pPr>
        <w:tabs>
          <w:tab w:val="num" w:pos="0"/>
        </w:tabs>
        <w:ind w:left="2207" w:hanging="360"/>
      </w:pPr>
      <w:rPr>
        <w:rFonts w:ascii="Wingdings" w:hAnsi="Wingdings" w:cs="Wingdings" w:hint="default"/>
      </w:rPr>
    </w:lvl>
    <w:lvl w:ilvl="3">
      <w:start w:val="0"/>
      <w:numFmt w:val="bullet"/>
      <w:lvlText w:val=""/>
      <w:lvlJc w:val="left"/>
      <w:pPr>
        <w:tabs>
          <w:tab w:val="num" w:pos="0"/>
        </w:tabs>
        <w:ind w:left="2927" w:hanging="360"/>
      </w:pPr>
      <w:rPr>
        <w:rFonts w:ascii="Symbol" w:hAnsi="Symbol" w:cs="Symbol" w:hint="default"/>
      </w:rPr>
    </w:lvl>
    <w:lvl w:ilvl="4">
      <w:start w:val="0"/>
      <w:numFmt w:val="bullet"/>
      <w:lvlText w:val="o"/>
      <w:lvlJc w:val="left"/>
      <w:pPr>
        <w:tabs>
          <w:tab w:val="num" w:pos="0"/>
        </w:tabs>
        <w:ind w:left="3647" w:hanging="360"/>
      </w:pPr>
      <w:rPr>
        <w:rFonts w:ascii="Courier New" w:hAnsi="Courier New" w:cs="Courier New" w:hint="default"/>
      </w:rPr>
    </w:lvl>
    <w:lvl w:ilvl="5">
      <w:start w:val="0"/>
      <w:numFmt w:val="bullet"/>
      <w:lvlText w:val=""/>
      <w:lvlJc w:val="left"/>
      <w:pPr>
        <w:tabs>
          <w:tab w:val="num" w:pos="0"/>
        </w:tabs>
        <w:ind w:left="4367" w:hanging="360"/>
      </w:pPr>
      <w:rPr>
        <w:rFonts w:ascii="Wingdings" w:hAnsi="Wingdings" w:cs="Wingdings" w:hint="default"/>
      </w:rPr>
    </w:lvl>
    <w:lvl w:ilvl="6">
      <w:start w:val="0"/>
      <w:numFmt w:val="bullet"/>
      <w:lvlText w:val=""/>
      <w:lvlJc w:val="left"/>
      <w:pPr>
        <w:tabs>
          <w:tab w:val="num" w:pos="0"/>
        </w:tabs>
        <w:ind w:left="5087" w:hanging="360"/>
      </w:pPr>
      <w:rPr>
        <w:rFonts w:ascii="Symbol" w:hAnsi="Symbol" w:cs="Symbol" w:hint="default"/>
      </w:rPr>
    </w:lvl>
    <w:lvl w:ilvl="7">
      <w:start w:val="0"/>
      <w:numFmt w:val="bullet"/>
      <w:lvlText w:val="o"/>
      <w:lvlJc w:val="left"/>
      <w:pPr>
        <w:tabs>
          <w:tab w:val="num" w:pos="0"/>
        </w:tabs>
        <w:ind w:left="5807" w:hanging="360"/>
      </w:pPr>
      <w:rPr>
        <w:rFonts w:ascii="Courier New" w:hAnsi="Courier New" w:cs="Courier New" w:hint="default"/>
      </w:rPr>
    </w:lvl>
    <w:lvl w:ilvl="8">
      <w:start w:val="0"/>
      <w:numFmt w:val="bullet"/>
      <w:lvlText w:val=""/>
      <w:lvlJc w:val="left"/>
      <w:pPr>
        <w:tabs>
          <w:tab w:val="num" w:pos="0"/>
        </w:tabs>
        <w:ind w:left="6527"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sz w:val="20"/>
        <w:b w:val="false"/>
        <w:szCs w:val="20"/>
        <w:bCs w:val="false"/>
        <w:rFonts w:cs="Calibri Light"/>
        <w:color w:val="0070C0"/>
      </w:rPr>
    </w:lvl>
    <w:lvl w:ilvl="1">
      <w:start w:val="1"/>
      <w:numFmt w:val="lowerLetter"/>
      <w:lvlText w:val="%2."/>
      <w:lvlJc w:val="left"/>
      <w:pPr>
        <w:tabs>
          <w:tab w:val="num" w:pos="0"/>
        </w:tabs>
        <w:ind w:left="1442" w:hanging="360"/>
      </w:pPr>
    </w:lvl>
    <w:lvl w:ilvl="2">
      <w:start w:val="1"/>
      <w:numFmt w:val="lowerRoman"/>
      <w:lvlText w:val="%3."/>
      <w:lvlJc w:val="right"/>
      <w:pPr>
        <w:tabs>
          <w:tab w:val="num" w:pos="0"/>
        </w:tabs>
        <w:ind w:left="2162" w:hanging="180"/>
      </w:pPr>
    </w:lvl>
    <w:lvl w:ilvl="3">
      <w:start w:val="1"/>
      <w:numFmt w:val="decimal"/>
      <w:lvlText w:val="%4."/>
      <w:lvlJc w:val="left"/>
      <w:pPr>
        <w:tabs>
          <w:tab w:val="num" w:pos="0"/>
        </w:tabs>
        <w:ind w:left="2882" w:hanging="360"/>
      </w:pPr>
    </w:lvl>
    <w:lvl w:ilvl="4">
      <w:start w:val="1"/>
      <w:numFmt w:val="lowerLetter"/>
      <w:lvlText w:val="%5."/>
      <w:lvlJc w:val="left"/>
      <w:pPr>
        <w:tabs>
          <w:tab w:val="num" w:pos="0"/>
        </w:tabs>
        <w:ind w:left="3602" w:hanging="360"/>
      </w:pPr>
    </w:lvl>
    <w:lvl w:ilvl="5">
      <w:start w:val="1"/>
      <w:numFmt w:val="lowerRoman"/>
      <w:lvlText w:val="%6."/>
      <w:lvlJc w:val="right"/>
      <w:pPr>
        <w:tabs>
          <w:tab w:val="num" w:pos="0"/>
        </w:tabs>
        <w:ind w:left="4322" w:hanging="180"/>
      </w:pPr>
    </w:lvl>
    <w:lvl w:ilvl="6">
      <w:start w:val="1"/>
      <w:numFmt w:val="decimal"/>
      <w:lvlText w:val="%7."/>
      <w:lvlJc w:val="left"/>
      <w:pPr>
        <w:tabs>
          <w:tab w:val="num" w:pos="0"/>
        </w:tabs>
        <w:ind w:left="5042" w:hanging="360"/>
      </w:pPr>
    </w:lvl>
    <w:lvl w:ilvl="7">
      <w:start w:val="1"/>
      <w:numFmt w:val="lowerLetter"/>
      <w:lvlText w:val="%8."/>
      <w:lvlJc w:val="left"/>
      <w:pPr>
        <w:tabs>
          <w:tab w:val="num" w:pos="0"/>
        </w:tabs>
        <w:ind w:left="5762" w:hanging="360"/>
      </w:pPr>
    </w:lvl>
    <w:lvl w:ilvl="8">
      <w:start w:val="1"/>
      <w:numFmt w:val="lowerRoman"/>
      <w:lvlText w:val="%9."/>
      <w:lvlJc w:val="right"/>
      <w:pPr>
        <w:tabs>
          <w:tab w:val="num" w:pos="0"/>
        </w:tabs>
        <w:ind w:left="6482" w:hanging="180"/>
      </w:pPr>
    </w:lvl>
  </w:abstractNum>
  <w:abstractNum w:abstractNumId="3">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useWord2013TrackBottomHyphenation" w:uri="http://schemas.microsoft.com/office/word" w:val="1"/>
  </w:compat>
  <w:themeFontLang w:val="en-B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2" w:before="0" w:after="160"/>
      <w:jc w:val="left"/>
      <w:textAlignment w:val="baseline"/>
    </w:pPr>
    <w:rPr>
      <w:rFonts w:ascii="Calibri" w:hAnsi="Calibri" w:eastAsia="Calibri" w:cs="Times New Roman"/>
      <w:color w:val="auto"/>
      <w:kern w:val="0"/>
      <w:sz w:val="22"/>
      <w:szCs w:val="22"/>
      <w:lang w:val="en-GB" w:eastAsia="en-US" w:bidi="ar-SA"/>
    </w:rPr>
  </w:style>
  <w:style w:type="paragraph" w:styleId="Berschrift2">
    <w:name w:val="Heading 2"/>
    <w:basedOn w:val="Normal"/>
    <w:next w:val="Normal"/>
    <w:uiPriority w:val="9"/>
    <w:unhideWhenUsed/>
    <w:qFormat/>
    <w:pPr>
      <w:keepNext w:val="true"/>
      <w:keepLines/>
      <w:spacing w:lineRule="auto" w:line="276" w:before="40" w:after="0"/>
      <w:outlineLvl w:val="1"/>
    </w:pPr>
    <w:rPr>
      <w:rFonts w:ascii="Calibri Light" w:hAnsi="Calibri Light" w:eastAsia="Times New Roman"/>
      <w:color w:val="2F5496"/>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FootnoteTextChar" w:customStyle="1">
    <w:name w:val="Footnote Text Char"/>
    <w:basedOn w:val="DefaultParagraphFont"/>
    <w:qFormat/>
    <w:rPr>
      <w:sz w:val="20"/>
      <w:szCs w:val="20"/>
    </w:rPr>
  </w:style>
  <w:style w:type="character" w:styleId="Funotenanker">
    <w:name w:val="Fußnotenanker"/>
    <w:rPr>
      <w:vertAlign w:val="superscript"/>
    </w:rPr>
  </w:style>
  <w:style w:type="character" w:styleId="FootnoteCharacters">
    <w:name w:val="Footnote Characters"/>
    <w:basedOn w:val="DefaultParagraphFont"/>
    <w:qFormat/>
    <w:rPr>
      <w:vertAlign w:val="superscript"/>
    </w:rPr>
  </w:style>
  <w:style w:type="character" w:styleId="Internetverknpfung">
    <w:name w:val="Internetverknüpfung"/>
    <w:basedOn w:val="DefaultParagraphFont"/>
    <w:rPr>
      <w:color w:val="0563C1"/>
      <w:u w:val="single"/>
    </w:rPr>
  </w:style>
  <w:style w:type="character" w:styleId="UnresolvedMention">
    <w:name w:val="Unresolved Mention"/>
    <w:basedOn w:val="DefaultParagraphFont"/>
    <w:qFormat/>
    <w:rPr>
      <w:color w:val="605E5C"/>
      <w:shd w:fill="E1DFDD" w:val="clear"/>
    </w:rPr>
  </w:style>
  <w:style w:type="character" w:styleId="BalloonTextChar" w:customStyle="1">
    <w:name w:val="Balloon Text Char"/>
    <w:basedOn w:val="DefaultParagraphFont"/>
    <w:qFormat/>
    <w:rPr>
      <w:rFonts w:ascii="Segoe UI" w:hAnsi="Segoe UI" w:cs="Segoe UI"/>
      <w:sz w:val="18"/>
      <w:szCs w:val="18"/>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sz w:val="20"/>
      <w:szCs w:val="20"/>
    </w:rPr>
  </w:style>
  <w:style w:type="character" w:styleId="CommentSubjectChar" w:customStyle="1">
    <w:name w:val="Comment Subject Char"/>
    <w:basedOn w:val="CommentTextChar"/>
    <w:qFormat/>
    <w:rPr>
      <w:b/>
      <w:bCs/>
      <w:sz w:val="20"/>
      <w:szCs w:val="20"/>
    </w:rPr>
  </w:style>
  <w:style w:type="character" w:styleId="Heading2Char" w:customStyle="1">
    <w:name w:val="Heading 2 Char"/>
    <w:basedOn w:val="DefaultParagraphFont"/>
    <w:qFormat/>
    <w:rPr>
      <w:rFonts w:ascii="Calibri Light" w:hAnsi="Calibri Light" w:eastAsia="Times New Roman" w:cs="Times New Roman"/>
      <w:color w:val="2F5496"/>
      <w:sz w:val="26"/>
      <w:szCs w:val="26"/>
    </w:rPr>
  </w:style>
  <w:style w:type="character" w:styleId="BodyTextChar" w:customStyle="1">
    <w:name w:val="Body Text Char"/>
    <w:basedOn w:val="DefaultParagraphFont"/>
    <w:qFormat/>
    <w:rPr>
      <w:rFonts w:ascii="Tahoma" w:hAnsi="Tahoma" w:eastAsia="Times New Roman" w:cs="Times New Roman"/>
      <w:spacing w:val="10"/>
      <w:sz w:val="17"/>
      <w:szCs w:val="20"/>
      <w:lang w:val="en-US"/>
    </w:rPr>
  </w:style>
  <w:style w:type="character" w:styleId="Strong">
    <w:name w:val="Strong"/>
    <w:qFormat/>
    <w:rPr>
      <w:b/>
      <w:bCs/>
    </w:rPr>
  </w:style>
  <w:style w:type="character" w:styleId="BesuchteInternetverknpfung">
    <w:name w:val="Besuchte Internetverknüpfung"/>
    <w:basedOn w:val="DefaultParagraphFont"/>
    <w:rPr>
      <w:color w:val="954F72"/>
      <w:u w:val="single"/>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lineRule="exact" w:line="240" w:before="0" w:after="200"/>
    </w:pPr>
    <w:rPr>
      <w:rFonts w:ascii="Tahoma" w:hAnsi="Tahoma" w:eastAsia="Times New Roman"/>
      <w:spacing w:val="10"/>
      <w:sz w:val="17"/>
      <w:szCs w:val="20"/>
      <w:lang w:val="en-US"/>
    </w:rPr>
  </w:style>
  <w:style w:type="paragraph" w:styleId="Liste">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KopfundFuzeile">
    <w:name w:val="Kopf- und Fußzeile"/>
    <w:basedOn w:val="Normal"/>
    <w:qFormat/>
    <w:pPr/>
    <w:rPr/>
  </w:style>
  <w:style w:type="paragraph" w:styleId="Kopfzeile">
    <w:name w:val="Header"/>
    <w:basedOn w:val="Normal"/>
    <w:pPr>
      <w:tabs>
        <w:tab w:val="clear" w:pos="720"/>
        <w:tab w:val="center" w:pos="4536" w:leader="none"/>
        <w:tab w:val="right" w:pos="9072" w:leader="none"/>
      </w:tabs>
      <w:spacing w:lineRule="auto" w:line="240" w:before="0" w:after="0"/>
    </w:pPr>
    <w:rPr/>
  </w:style>
  <w:style w:type="paragraph" w:styleId="Fuzeile">
    <w:name w:val="Footer"/>
    <w:basedOn w:val="Normal"/>
    <w:pPr>
      <w:tabs>
        <w:tab w:val="clear" w:pos="720"/>
        <w:tab w:val="center" w:pos="4536" w:leader="none"/>
        <w:tab w:val="right" w:pos="9072" w:leader="none"/>
      </w:tabs>
      <w:spacing w:lineRule="auto" w:line="240" w:before="0" w:after="0"/>
    </w:pPr>
    <w:rPr/>
  </w:style>
  <w:style w:type="paragraph" w:styleId="Funote">
    <w:name w:val="Footnote Text"/>
    <w:basedOn w:val="Normal"/>
    <w:pPr>
      <w:spacing w:lineRule="auto" w:line="240" w:before="0" w:after="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ListParagraph">
    <w:name w:val="List Paragraph"/>
    <w:basedOn w:val="Normal"/>
    <w:qFormat/>
    <w:pPr>
      <w:spacing w:lineRule="auto" w:line="240" w:before="0" w:after="0"/>
      <w:ind w:left="720" w:hanging="0"/>
    </w:pPr>
    <w:rPr>
      <w:rFonts w:cs="Calibri"/>
      <w:lang w:val="fr-BE"/>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NormalWeb">
    <w:name w:val="Normal (Web)"/>
    <w:basedOn w:val="Normal"/>
    <w:qFormat/>
    <w:pPr>
      <w:spacing w:lineRule="auto" w:line="240" w:before="100" w:after="100"/>
    </w:pPr>
    <w:rPr>
      <w:rFonts w:ascii="Times New Roman" w:hAnsi="Times New Roman" w:eastAsia="Times New Roman"/>
      <w:sz w:val="24"/>
      <w:szCs w:val="24"/>
      <w:lang w:val="fr-BE" w:eastAsia="fr-BE"/>
    </w:rPr>
  </w:style>
  <w:style w:type="paragraph" w:styleId="Bylinebarreadingtime" w:customStyle="1">
    <w:name w:val="bylinebar_reading-time"/>
    <w:basedOn w:val="Normal"/>
    <w:qFormat/>
    <w:pPr>
      <w:spacing w:lineRule="auto" w:line="240" w:before="100" w:after="100"/>
    </w:pPr>
    <w:rPr>
      <w:rFonts w:ascii="Times New Roman" w:hAnsi="Times New Roman" w:eastAsia="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etterfinance.eu/publication/pension-savings-the-real-return-2020-edition/" TargetMode="External"/><Relationship Id="rId3" Type="http://schemas.openxmlformats.org/officeDocument/2006/relationships/hyperlink" Target="https://betterfinance.eu/publication/pension-savings-the-real-return-2020-edition/" TargetMode="External"/><Relationship Id="rId4" Type="http://schemas.openxmlformats.org/officeDocument/2006/relationships/hyperlink" Target="https://betterfinance.eu/publication/booklet-pension-savings-the-real-return-2020-edition/" TargetMode="External"/><Relationship Id="rId5" Type="http://schemas.openxmlformats.org/officeDocument/2006/relationships/hyperlink" Target="https://betterfinance.eu/pensions-dashboard/" TargetMode="External"/><Relationship Id="rId6" Type="http://schemas.openxmlformats.org/officeDocument/2006/relationships/hyperlink" Target="mailto:houdmont@betterfinance.e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Relationship Id="rId17" Type="http://schemas.openxmlformats.org/officeDocument/2006/relationships/customXml" Target="../customXml/item2.xml"/><Relationship Id="rId18"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hyperlink" Target="http://www.eurofinuse.org/" TargetMode="External"/>
</Relationships>
</file>

<file path=word/_rels/footer2.xml.rels><?xml version="1.0" encoding="UTF-8"?>
<Relationships xmlns="http://schemas.openxmlformats.org/package/2006/relationships"><Relationship Id="rId1" Type="http://schemas.openxmlformats.org/officeDocument/2006/relationships/hyperlink" Target="http://www.eurofinuse.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chart" Target="charts/chart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en-GB" sz="1100" spc="-1" strike="noStrike">
                <a:solidFill>
                  <a:srgbClr val="000000"/>
                </a:solidFill>
                <a:latin typeface="Calibri Light"/>
              </a:defRPr>
            </a:pPr>
            <a:r>
              <a:rPr b="1" lang="en-GB" sz="1100" spc="-1" strike="noStrike">
                <a:solidFill>
                  <a:srgbClr val="000000"/>
                </a:solidFill>
                <a:latin typeface="Calibri Light"/>
              </a:rPr>
              <a:t>ANNUALISIERTER NETTOREALWERT RENDITEN VON RENTENERSPARNISSEN - VOR STEUERN</a:t>
            </a:r>
          </a:p>
        </c:rich>
      </c:tx>
      <c:layout>
        <c:manualLayout>
          <c:xMode val="edge"/>
          <c:yMode val="edge"/>
          <c:x val="0.20725"/>
          <c:y val="0.00366666666666667"/>
        </c:manualLayout>
      </c:layout>
      <c:overlay val="0"/>
      <c:spPr>
        <a:noFill/>
        <a:ln>
          <a:noFill/>
        </a:ln>
      </c:spPr>
    </c:title>
    <c:autoTitleDeleted val="0"/>
    <c:plotArea>
      <c:layout>
        <c:manualLayout>
          <c:layoutTarget val="inner"/>
          <c:xMode val="edge"/>
          <c:yMode val="edge"/>
          <c:x val="0.45225"/>
          <c:y val="0.0912222222222222"/>
          <c:w val="0.5228125"/>
          <c:h val="0.908444444444445"/>
        </c:manualLayout>
      </c:layout>
      <c:barChart>
        <c:barDir val="bar"/>
        <c:grouping val="clustered"/>
        <c:varyColors val="0"/>
        <c:ser>
          <c:idx val="0"/>
          <c:order val="0"/>
          <c:tx>
            <c:strRef>
              <c:f>label 0</c:f>
              <c:strCache>
                <c:ptCount val="1"/>
                <c:pt idx="0">
                  <c:v>Series1</c:v>
                </c:pt>
              </c:strCache>
            </c:strRef>
          </c:tx>
          <c:spPr>
            <a:solidFill>
              <a:srgbClr val="0070c0"/>
            </a:solidFill>
            <a:ln>
              <a:noFill/>
            </a:ln>
          </c:spPr>
          <c:invertIfNegative val="0"/>
          <c:dPt>
            <c:idx val="13"/>
            <c:invertIfNegative val="0"/>
            <c:spPr>
              <a:solidFill>
                <a:srgbClr val="ff0000"/>
              </a:solidFill>
              <a:ln>
                <a:noFill/>
              </a:ln>
            </c:spPr>
          </c:dPt>
          <c:dPt>
            <c:idx val="14"/>
            <c:invertIfNegative val="0"/>
            <c:spPr>
              <a:solidFill>
                <a:srgbClr val="767171"/>
              </a:solidFill>
              <a:ln>
                <a:noFill/>
              </a:ln>
            </c:spPr>
          </c:dPt>
          <c:dPt>
            <c:idx val="15"/>
            <c:invertIfNegative val="0"/>
            <c:spPr>
              <a:solidFill>
                <a:srgbClr val="767171"/>
              </a:solidFill>
              <a:ln>
                <a:noFill/>
              </a:ln>
            </c:spPr>
          </c:dPt>
          <c:dPt>
            <c:idx val="26"/>
            <c:invertIfNegative val="0"/>
            <c:spPr>
              <a:solidFill>
                <a:srgbClr val="ff0000"/>
              </a:solidFill>
              <a:ln>
                <a:noFill/>
              </a:ln>
            </c:spPr>
          </c:dPt>
          <c:dPt>
            <c:idx val="30"/>
            <c:invertIfNegative val="0"/>
            <c:spPr>
              <a:solidFill>
                <a:srgbClr val="0070c0"/>
              </a:solidFill>
              <a:ln>
                <a:noFill/>
              </a:ln>
            </c:spPr>
          </c:dPt>
          <c:dPt>
            <c:idx val="32"/>
            <c:invertIfNegative val="0"/>
            <c:spPr>
              <a:solidFill>
                <a:srgbClr val="ff0000"/>
              </a:solidFill>
              <a:ln>
                <a:noFill/>
              </a:ln>
            </c:spPr>
          </c:dPt>
          <c:dPt>
            <c:idx val="36"/>
            <c:invertIfNegative val="0"/>
            <c:spPr>
              <a:solidFill>
                <a:srgbClr val="ff0000"/>
              </a:solidFill>
              <a:ln>
                <a:noFill/>
              </a:ln>
            </c:spPr>
          </c:dPt>
          <c:dPt>
            <c:idx val="41"/>
            <c:invertIfNegative val="0"/>
            <c:spPr>
              <a:solidFill>
                <a:srgbClr val="ff0000"/>
              </a:solidFill>
              <a:ln>
                <a:noFill/>
              </a:ln>
            </c:spPr>
          </c:dPt>
          <c:dPt>
            <c:idx val="48"/>
            <c:invertIfNegative val="0"/>
            <c:spPr>
              <a:solidFill>
                <a:srgbClr val="ff0000"/>
              </a:solidFill>
              <a:ln>
                <a:noFill/>
              </a:ln>
            </c:spPr>
          </c:dPt>
          <c:dPt>
            <c:idx val="52"/>
            <c:invertIfNegative val="0"/>
            <c:spPr>
              <a:solidFill>
                <a:srgbClr val="767171"/>
              </a:solidFill>
              <a:ln>
                <a:noFill/>
              </a:ln>
            </c:spPr>
          </c:dPt>
          <c:dPt>
            <c:idx val="53"/>
            <c:invertIfNegative val="0"/>
            <c:spPr>
              <a:solidFill>
                <a:srgbClr val="767171"/>
              </a:solidFill>
              <a:ln>
                <a:noFill/>
              </a:ln>
            </c:spPr>
          </c:dPt>
          <c:dLbls>
            <c:numFmt formatCode="General" sourceLinked="0"/>
            <c:dLbl>
              <c:idx val="13"/>
              <c:numFmt formatCode="General" sourceLinked="0"/>
              <c:txPr>
                <a:bodyPr/>
                <a:lstStyle/>
                <a:p>
                  <a:pPr>
                    <a:defRPr b="1" lang="en-US" sz="1050" spc="-1" strike="noStrike">
                      <a:solidFill>
                        <a:srgbClr val="ff0000"/>
                      </a:solidFill>
                      <a:latin typeface="Calibri Light"/>
                    </a:defRPr>
                  </a:pPr>
                </a:p>
              </c:txPr>
              <c:dLblPos val="outEnd"/>
              <c:showLegendKey val="0"/>
              <c:showVal val="1"/>
              <c:showCatName val="0"/>
              <c:showSerName val="0"/>
              <c:showPercent val="0"/>
              <c:separator>; </c:separator>
            </c:dLbl>
            <c:dLbl>
              <c:idx val="14"/>
              <c:numFmt formatCode="General" sourceLinked="0"/>
              <c:txPr>
                <a:bodyPr/>
                <a:lstStyle/>
                <a:p>
                  <a:pPr>
                    <a:defRPr b="0" lang="en-US" sz="1000" spc="-1" strike="noStrike">
                      <a:solidFill>
                        <a:srgbClr val="000000"/>
                      </a:solidFill>
                      <a:latin typeface="Calibri Light"/>
                    </a:defRPr>
                  </a:pPr>
                </a:p>
              </c:txPr>
              <c:dLblPos val="outEnd"/>
              <c:showLegendKey val="0"/>
              <c:showVal val="1"/>
              <c:showCatName val="0"/>
              <c:showSerName val="0"/>
              <c:showPercent val="0"/>
              <c:separator>; </c:separator>
            </c:dLbl>
            <c:dLbl>
              <c:idx val="15"/>
              <c:numFmt formatCode="General" sourceLinked="0"/>
              <c:txPr>
                <a:bodyPr/>
                <a:lstStyle/>
                <a:p>
                  <a:pPr>
                    <a:defRPr b="0" lang="en-US" sz="1000" spc="-1" strike="noStrike">
                      <a:solidFill>
                        <a:srgbClr val="000000"/>
                      </a:solidFill>
                      <a:latin typeface="Calibri Light"/>
                    </a:defRPr>
                  </a:pPr>
                </a:p>
              </c:txPr>
              <c:dLblPos val="outEnd"/>
              <c:showLegendKey val="0"/>
              <c:showVal val="1"/>
              <c:showCatName val="0"/>
              <c:showSerName val="0"/>
              <c:showPercent val="0"/>
              <c:separator>; </c:separator>
            </c:dLbl>
            <c:dLbl>
              <c:idx val="26"/>
              <c:numFmt formatCode="General" sourceLinked="0"/>
              <c:txPr>
                <a:bodyPr/>
                <a:lstStyle/>
                <a:p>
                  <a:pPr>
                    <a:defRPr b="1" lang="en-US" sz="1000" spc="-1" strike="noStrike">
                      <a:solidFill>
                        <a:srgbClr val="ff0000"/>
                      </a:solidFill>
                      <a:latin typeface="Calibri Light"/>
                    </a:defRPr>
                  </a:pPr>
                </a:p>
              </c:txPr>
              <c:dLblPos val="outEnd"/>
              <c:showLegendKey val="0"/>
              <c:showVal val="1"/>
              <c:showCatName val="0"/>
              <c:showSerName val="0"/>
              <c:showPercent val="0"/>
              <c:separator>; </c:separator>
            </c:dLbl>
            <c:dLbl>
              <c:idx val="30"/>
              <c:numFmt formatCode="General" sourceLinked="0"/>
              <c:txPr>
                <a:bodyPr/>
                <a:lstStyle/>
                <a:p>
                  <a:pPr>
                    <a:defRPr b="0" lang="en-US" sz="1000" spc="-1" strike="noStrike">
                      <a:solidFill>
                        <a:srgbClr val="000000"/>
                      </a:solidFill>
                      <a:latin typeface="Calibri Light"/>
                    </a:defRPr>
                  </a:pPr>
                </a:p>
              </c:txPr>
              <c:dLblPos val="outEnd"/>
              <c:showLegendKey val="0"/>
              <c:showVal val="1"/>
              <c:showCatName val="0"/>
              <c:showSerName val="0"/>
              <c:showPercent val="0"/>
              <c:separator>; </c:separator>
            </c:dLbl>
            <c:dLbl>
              <c:idx val="32"/>
              <c:numFmt formatCode="General" sourceLinked="0"/>
              <c:txPr>
                <a:bodyPr/>
                <a:lstStyle/>
                <a:p>
                  <a:pPr>
                    <a:defRPr b="1" lang="en-US" sz="1000" spc="-1" strike="noStrike">
                      <a:solidFill>
                        <a:srgbClr val="ff0000"/>
                      </a:solidFill>
                      <a:latin typeface="Calibri Light"/>
                    </a:defRPr>
                  </a:pPr>
                </a:p>
              </c:txPr>
              <c:dLblPos val="outEnd"/>
              <c:showLegendKey val="0"/>
              <c:showVal val="1"/>
              <c:showCatName val="0"/>
              <c:showSerName val="0"/>
              <c:showPercent val="0"/>
              <c:separator>; </c:separator>
            </c:dLbl>
            <c:dLbl>
              <c:idx val="36"/>
              <c:numFmt formatCode="General" sourceLinked="0"/>
              <c:txPr>
                <a:bodyPr/>
                <a:lstStyle/>
                <a:p>
                  <a:pPr>
                    <a:defRPr b="0" lang="en-US" sz="1000" spc="-1" strike="noStrike">
                      <a:solidFill>
                        <a:srgbClr val="000000"/>
                      </a:solidFill>
                      <a:latin typeface="Calibri"/>
                    </a:defRPr>
                  </a:pPr>
                </a:p>
              </c:txPr>
              <c:tx>
                <c:rich>
                  <a:bodyPr/>
                  <a:p>
                    <a:r>
                      <a:rPr b="0" sz="1300" spc="-1" strike="noStrike">
                        <a:latin typeface="Arial"/>
                      </a:rPr>
                      <a:t>4,27%</a:t>
                    </a:r>
                  </a:p>
                </c:rich>
              </c:tx>
              <c:dLblPos val="outEnd"/>
              <c:showLegendKey val="0"/>
              <c:showVal val="1"/>
              <c:showCatName val="0"/>
              <c:showSerName val="0"/>
              <c:showPercent val="0"/>
              <c:separator>; </c:separator>
            </c:dLbl>
            <c:dLbl>
              <c:idx val="41"/>
              <c:numFmt formatCode="General" sourceLinked="0"/>
              <c:txPr>
                <a:bodyPr/>
                <a:lstStyle/>
                <a:p>
                  <a:pPr>
                    <a:defRPr b="0" lang="en-US" sz="1000" spc="-1" strike="noStrike">
                      <a:solidFill>
                        <a:srgbClr val="000000"/>
                      </a:solidFill>
                      <a:latin typeface="Calibri"/>
                    </a:defRPr>
                  </a:pPr>
                </a:p>
              </c:txPr>
              <c:tx>
                <c:rich>
                  <a:bodyPr/>
                  <a:p>
                    <a:r>
                      <a:rPr b="0" sz="1300" spc="-1" strike="noStrike">
                        <a:latin typeface="Arial"/>
                      </a:rPr>
                      <a:t>4,10%</a:t>
                    </a:r>
                  </a:p>
                </c:rich>
              </c:tx>
              <c:dLblPos val="outEnd"/>
              <c:showLegendKey val="0"/>
              <c:showVal val="1"/>
              <c:showCatName val="0"/>
              <c:showSerName val="0"/>
              <c:showPercent val="0"/>
              <c:separator>; </c:separator>
            </c:dLbl>
            <c:dLbl>
              <c:idx val="48"/>
              <c:numFmt formatCode="General" sourceLinked="0"/>
              <c:txPr>
                <a:bodyPr/>
                <a:lstStyle/>
                <a:p>
                  <a:pPr>
                    <a:defRPr b="0" lang="en-US" sz="1000" spc="-1" strike="noStrike">
                      <a:solidFill>
                        <a:srgbClr val="000000"/>
                      </a:solidFill>
                      <a:latin typeface="Calibri"/>
                    </a:defRPr>
                  </a:pPr>
                </a:p>
              </c:txPr>
              <c:tx>
                <c:rich>
                  <a:bodyPr/>
                  <a:p>
                    <a:r>
                      <a:rPr b="0" sz="1300" spc="-1" strike="noStrike">
                        <a:latin typeface="Arial"/>
                      </a:rPr>
                      <a:t>3,31%</a:t>
                    </a:r>
                  </a:p>
                </c:rich>
              </c:tx>
              <c:dLblPos val="outEnd"/>
              <c:showLegendKey val="0"/>
              <c:showVal val="1"/>
              <c:showCatName val="0"/>
              <c:showSerName val="0"/>
              <c:showPercent val="0"/>
              <c:separator>; </c:separator>
            </c:dLbl>
            <c:dLbl>
              <c:idx val="52"/>
              <c:numFmt formatCode="General" sourceLinked="0"/>
              <c:txPr>
                <a:bodyPr/>
                <a:lstStyle/>
                <a:p>
                  <a:pPr>
                    <a:defRPr b="0" lang="en-US" sz="1000" spc="-1" strike="noStrike">
                      <a:solidFill>
                        <a:srgbClr val="000000"/>
                      </a:solidFill>
                      <a:latin typeface="Calibri Light"/>
                    </a:defRPr>
                  </a:pPr>
                </a:p>
              </c:txPr>
              <c:dLblPos val="outEnd"/>
              <c:showLegendKey val="0"/>
              <c:showVal val="1"/>
              <c:showCatName val="0"/>
              <c:showSerName val="0"/>
              <c:showPercent val="0"/>
              <c:separator>; </c:separator>
            </c:dLbl>
            <c:dLbl>
              <c:idx val="53"/>
              <c:numFmt formatCode="General" sourceLinked="0"/>
              <c:txPr>
                <a:bodyPr/>
                <a:lstStyle/>
                <a:p>
                  <a:pPr>
                    <a:defRPr b="0" lang="en-US" sz="1000" spc="-1" strike="noStrike">
                      <a:solidFill>
                        <a:srgbClr val="000000"/>
                      </a:solidFill>
                      <a:latin typeface="Calibri Light"/>
                    </a:defRPr>
                  </a:pPr>
                </a:p>
              </c:txPr>
              <c:dLblPos val="outEnd"/>
              <c:showLegendKey val="0"/>
              <c:showVal val="1"/>
              <c:showCatName val="0"/>
              <c:showSerName val="0"/>
              <c:showPercent val="0"/>
              <c:separator>; </c:separator>
            </c:dLbl>
            <c:txPr>
              <a:bodyPr/>
              <a:lstStyle/>
              <a:p>
                <a:pPr>
                  <a:defRPr b="0" lang="en-US" sz="1000" spc="-1" strike="noStrike">
                    <a:solidFill>
                      <a:srgbClr val="000000"/>
                    </a:solidFill>
                    <a:latin typeface="Calibri Light"/>
                  </a:defRPr>
                </a:pPr>
              </a:p>
            </c:txPr>
            <c:dLblPos val="outEnd"/>
            <c:showLegendKey val="0"/>
            <c:showVal val="1"/>
            <c:showCatName val="0"/>
            <c:showSerName val="0"/>
            <c:showPercent val="0"/>
            <c:separator>; </c:separator>
            <c:showLeaderLines val="0"/>
          </c:dLbls>
          <c:cat>
            <c:strRef>
              <c:f>categories</c:f>
              <c:strCache>
                <c:ptCount val="54"/>
                <c:pt idx="0">
                  <c:v>BE Betriebliche Altersvorsorge (EBAV), 2000-2019</c:v>
                </c:pt>
                <c:pt idx="1">
                  <c:v>BE Rentensparfonds, 2000-2019</c:v>
                </c:pt>
                <c:pt idx="2">
                  <c:v>DE Rentenversicherungen, 2000-2019</c:v>
                </c:pt>
                <c:pt idx="3">
                  <c:v>ES Individuelle Pläne, 2000-2019</c:v>
                </c:pt>
                <c:pt idx="4">
                  <c:v>ES Berufspläne, 2000-2019</c:v>
                </c:pt>
                <c:pt idx="5">
                  <c:v>ES Assoziierte Pläne, 2000-2019</c:v>
                </c:pt>
                <c:pt idx="6">
                  <c:v>FR Lebensversicherung, garantiert, 2000-2019</c:v>
                </c:pt>
                <c:pt idx="7">
                  <c:v>FR Lebensversicherung, fondsgebundene, 2000-2019</c:v>
                </c:pt>
                <c:pt idx="8">
                  <c:v>FR Sparpläne für Unternehmen, 2000-2019</c:v>
                </c:pt>
                <c:pt idx="9">
                  <c:v>IT Geschlossene Pensionsfonds,2000-2019</c:v>
                </c:pt>
                <c:pt idx="10">
                  <c:v>IT Offene Pensionsfonds, 2000-2019</c:v>
                </c:pt>
                <c:pt idx="11">
                  <c:v>NL Pensionsfonds, 2000-2019</c:v>
                </c:pt>
                <c:pt idx="12">
                  <c:v>NL Lebensversicherung, 2000-2019</c:v>
                </c:pt>
                <c:pt idx="13">
                  <c:v>EU Kapitalmärkte, 2000-2019</c:v>
                </c:pt>
                <c:pt idx="14">
                  <c:v>DE AOPP, 2002-2018</c:v>
                </c:pt>
                <c:pt idx="15">
                  <c:v>GROSSBRITANNIEN Pensionsfonds, 2000-2017</c:v>
                </c:pt>
                <c:pt idx="16">
                  <c:v>- -</c:v>
                </c:pt>
                <c:pt idx="17">
                  <c:v>AT Pensionsfonds, 2002-2019</c:v>
                </c:pt>
                <c:pt idx="18">
                  <c:v>AT Lebensversicherungen, 2002-2019</c:v>
                </c:pt>
                <c:pt idx="19">
                  <c:v>BG Universelle Pensionsfonds, 2002-2019</c:v>
                </c:pt>
                <c:pt idx="20">
                  <c:v>BG Freiwillige Pensionsfonds, 2002-2019</c:v>
                </c:pt>
                <c:pt idx="21">
                  <c:v>HR Obligatorische Rentenfonds, 2002-2019</c:v>
                </c:pt>
                <c:pt idx="22">
                  <c:v>HR Freiwillige Pensionsfonds, 2002-2019</c:v>
                </c:pt>
                <c:pt idx="23">
                  <c:v>PL Pensionsfonds für Arbeitnehmer, 2002-2019</c:v>
                </c:pt>
                <c:pt idx="24">
                  <c:v>SE AP7-Pensionsfonds, Standardoption, 2002-2019</c:v>
                </c:pt>
                <c:pt idx="25">
                  <c:v>SE AP7-Pensionsfonds, eigene Wahl, 2002-2019</c:v>
                </c:pt>
                <c:pt idx="26">
                  <c:v>EU Kapitalmärkte, 2002-2019</c:v>
                </c:pt>
                <c:pt idx="27">
                  <c:v>- -</c:v>
                </c:pt>
                <c:pt idx="28">
                  <c:v>EE Obligatorische Pensionsfonds, 2003-2019</c:v>
                </c:pt>
                <c:pt idx="29">
                  <c:v>EE Zusatzpensionsfonds, 2003-2019</c:v>
                </c:pt>
                <c:pt idx="30">
                  <c:v>FR Rente für öffentliche Bedienstete, 2003-2019</c:v>
                </c:pt>
                <c:pt idx="31">
                  <c:v>LV Staatlich finanzierte Pensionsfonds, 2003-2019</c:v>
                </c:pt>
                <c:pt idx="32">
                  <c:v>EU Kapitalmärkte, 2003 - 2019</c:v>
                </c:pt>
                <c:pt idx="33">
                  <c:v>- -</c:v>
                </c:pt>
                <c:pt idx="34">
                  <c:v>LT Betriebliche Altersvorsorge, 2004-2019</c:v>
                </c:pt>
                <c:pt idx="35">
                  <c:v>LT Ergänzende Pensionspläne, 2004-2019</c:v>
                </c:pt>
                <c:pt idx="36">
                  <c:v>EU Kapitalmärkte, 2004 - 2019</c:v>
                </c:pt>
                <c:pt idx="37">
                  <c:v>- -</c:v>
                </c:pt>
                <c:pt idx="38">
                  <c:v>DE Riester-Rentenversicherung, 2005-2019</c:v>
                </c:pt>
                <c:pt idx="39">
                  <c:v>DE RÃ¼rup Rentenversicherung, 2005-2019</c:v>
                </c:pt>
                <c:pt idx="40">
                  <c:v>SK Säule II Kapitalgedeckte Rente, 2005-2019</c:v>
                </c:pt>
                <c:pt idx="41">
                  <c:v>EU Kapitalmärkte, 2005 - 2019</c:v>
                </c:pt>
                <c:pt idx="42">
                  <c:v>- -</c:v>
                </c:pt>
                <c:pt idx="43">
                  <c:v>RO Freiwillige private Altersvorsorge, 2007-2019</c:v>
                </c:pt>
                <c:pt idx="44">
                  <c:v>IT PIP mit Gewinnen, 2008-2019</c:v>
                </c:pt>
                <c:pt idx="45">
                  <c:v>IT PIP Unit-Linked, 2008-2019</c:v>
                </c:pt>
                <c:pt idx="46">
                  <c:v>SK Zusatzpensionsfonds, 2009-2019</c:v>
                </c:pt>
                <c:pt idx="47">
                  <c:v>RO Säule II Kapitalgedeckte Renten, 2008-2019</c:v>
                </c:pt>
                <c:pt idx="48">
                  <c:v>EU Kapitalmärkte, 2008 - 2019</c:v>
                </c:pt>
                <c:pt idx="49">
                  <c:v>- -</c:v>
                </c:pt>
                <c:pt idx="50">
                  <c:v>LV Freiwillige private Altersvorsorge, 2011-2019</c:v>
                </c:pt>
                <c:pt idx="51">
                  <c:v>PL Freiwillige Pensionskassen (DFE), 2013-2019</c:v>
                </c:pt>
                <c:pt idx="52">
                  <c:v>BE OPP-IC (Zweig 21), 2002-2014</c:v>
                </c:pt>
                <c:pt idx="53">
                  <c:v>BE Einzelverträge (Zweig 23), 2005-2014</c:v>
                </c:pt>
              </c:strCache>
            </c:strRef>
          </c:cat>
          <c:val>
            <c:numRef>
              <c:f>0</c:f>
              <c:numCache>
                <c:formatCode>General</c:formatCode>
                <c:ptCount val="54"/>
                <c:pt idx="0">
                  <c:v>0.0214</c:v>
                </c:pt>
                <c:pt idx="1">
                  <c:v>0.018</c:v>
                </c:pt>
                <c:pt idx="2">
                  <c:v>0.0207</c:v>
                </c:pt>
                <c:pt idx="3">
                  <c:v>0.0017</c:v>
                </c:pt>
                <c:pt idx="4">
                  <c:v>0.007</c:v>
                </c:pt>
                <c:pt idx="5">
                  <c:v>0.0096</c:v>
                </c:pt>
                <c:pt idx="6">
                  <c:v>0.0118</c:v>
                </c:pt>
                <c:pt idx="7">
                  <c:v>-0.0066</c:v>
                </c:pt>
                <c:pt idx="8">
                  <c:v>0.008</c:v>
                </c:pt>
                <c:pt idx="9">
                  <c:v>0.0141</c:v>
                </c:pt>
                <c:pt idx="10">
                  <c:v>0.0028</c:v>
                </c:pt>
                <c:pt idx="11">
                  <c:v>0.0271</c:v>
                </c:pt>
                <c:pt idx="12">
                  <c:v>0.0003</c:v>
                </c:pt>
                <c:pt idx="13">
                  <c:v>0.0273592270551271</c:v>
                </c:pt>
                <c:pt idx="14">
                  <c:v>0.0224</c:v>
                </c:pt>
                <c:pt idx="15">
                  <c:v>0.0306</c:v>
                </c:pt>
                <c:pt idx="16">
                  <c:v>0</c:v>
                </c:pt>
                <c:pt idx="17">
                  <c:v>0.014</c:v>
                </c:pt>
                <c:pt idx="18">
                  <c:v>0.0209</c:v>
                </c:pt>
                <c:pt idx="19">
                  <c:v>-0.0091</c:v>
                </c:pt>
                <c:pt idx="20">
                  <c:v>-0.0014</c:v>
                </c:pt>
                <c:pt idx="21">
                  <c:v>0.0359</c:v>
                </c:pt>
                <c:pt idx="22">
                  <c:v>0.0388</c:v>
                </c:pt>
                <c:pt idx="23">
                  <c:v>0.0375</c:v>
                </c:pt>
                <c:pt idx="24">
                  <c:v>0.0709</c:v>
                </c:pt>
                <c:pt idx="25">
                  <c:v>0.04</c:v>
                </c:pt>
                <c:pt idx="26">
                  <c:v>0.0352205775804137</c:v>
                </c:pt>
                <c:pt idx="27">
                  <c:v>0</c:v>
                </c:pt>
                <c:pt idx="28">
                  <c:v>0.0043</c:v>
                </c:pt>
                <c:pt idx="29">
                  <c:v>0.0158</c:v>
                </c:pt>
                <c:pt idx="30">
                  <c:v>-0.0144</c:v>
                </c:pt>
                <c:pt idx="31">
                  <c:v>-0.002</c:v>
                </c:pt>
                <c:pt idx="32">
                  <c:v>0.0443189301279883</c:v>
                </c:pt>
                <c:pt idx="33">
                  <c:v>0</c:v>
                </c:pt>
                <c:pt idx="34">
                  <c:v>0.015</c:v>
                </c:pt>
                <c:pt idx="35">
                  <c:v>0.0082</c:v>
                </c:pt>
                <c:pt idx="36">
                  <c:v>0.0426768508152817</c:v>
                </c:pt>
                <c:pt idx="37">
                  <c:v>0</c:v>
                </c:pt>
                <c:pt idx="38">
                  <c:v>0.0143</c:v>
                </c:pt>
                <c:pt idx="39">
                  <c:v>0.0145</c:v>
                </c:pt>
                <c:pt idx="40">
                  <c:v>-0.0003</c:v>
                </c:pt>
                <c:pt idx="41">
                  <c:v>0.0409842323938432</c:v>
                </c:pt>
                <c:pt idx="42">
                  <c:v>0</c:v>
                </c:pt>
                <c:pt idx="43">
                  <c:v>0.0261</c:v>
                </c:pt>
                <c:pt idx="44">
                  <c:v>0.0131</c:v>
                </c:pt>
                <c:pt idx="45">
                  <c:v>0.009</c:v>
                </c:pt>
                <c:pt idx="46">
                  <c:v>0.005</c:v>
                </c:pt>
                <c:pt idx="47">
                  <c:v>0.0493</c:v>
                </c:pt>
                <c:pt idx="48">
                  <c:v>0.03311057826588</c:v>
                </c:pt>
                <c:pt idx="49">
                  <c:v>0</c:v>
                </c:pt>
                <c:pt idx="50">
                  <c:v>0.01518</c:v>
                </c:pt>
                <c:pt idx="51">
                  <c:v>0.0433</c:v>
                </c:pt>
                <c:pt idx="52">
                  <c:v>0.0257</c:v>
                </c:pt>
                <c:pt idx="53">
                  <c:v>0.0157</c:v>
                </c:pt>
              </c:numCache>
            </c:numRef>
          </c:val>
        </c:ser>
        <c:gapWidth val="150"/>
        <c:overlap val="0"/>
        <c:axId val="20450834"/>
        <c:axId val="55008000"/>
      </c:barChart>
      <c:catAx>
        <c:axId val="20450834"/>
        <c:scaling>
          <c:orientation val="maxMin"/>
        </c:scaling>
        <c:delete val="0"/>
        <c:axPos val="b"/>
        <c:numFmt formatCode="[$-407]dd/mm/yyyy" sourceLinked="1"/>
        <c:majorTickMark val="out"/>
        <c:minorTickMark val="none"/>
        <c:tickLblPos val="low"/>
        <c:spPr>
          <a:ln w="6480">
            <a:solidFill>
              <a:srgbClr val="898989"/>
            </a:solidFill>
            <a:round/>
          </a:ln>
        </c:spPr>
        <c:txPr>
          <a:bodyPr/>
          <a:lstStyle/>
          <a:p>
            <a:pPr>
              <a:defRPr b="0" lang="en-US" sz="1000" spc="-1" strike="noStrike">
                <a:solidFill>
                  <a:srgbClr val="000000"/>
                </a:solidFill>
                <a:latin typeface="Calibri Light"/>
              </a:defRPr>
            </a:pPr>
          </a:p>
        </c:txPr>
        <c:crossAx val="55008000"/>
        <c:crosses val="autoZero"/>
        <c:auto val="1"/>
        <c:lblAlgn val="ctr"/>
        <c:lblOffset val="100"/>
        <c:noMultiLvlLbl val="0"/>
      </c:catAx>
      <c:valAx>
        <c:axId val="55008000"/>
        <c:scaling>
          <c:orientation val="minMax"/>
        </c:scaling>
        <c:delete val="0"/>
        <c:axPos val="l"/>
        <c:majorGridlines>
          <c:spPr>
            <a:ln w="6480">
              <a:solidFill>
                <a:srgbClr val="898989"/>
              </a:solidFill>
              <a:round/>
            </a:ln>
          </c:spPr>
        </c:majorGridlines>
        <c:numFmt formatCode="0%" sourceLinked="0"/>
        <c:majorTickMark val="out"/>
        <c:minorTickMark val="none"/>
        <c:tickLblPos val="nextTo"/>
        <c:spPr>
          <a:ln w="6480">
            <a:solidFill>
              <a:srgbClr val="898989"/>
            </a:solidFill>
            <a:round/>
          </a:ln>
        </c:spPr>
        <c:txPr>
          <a:bodyPr/>
          <a:lstStyle/>
          <a:p>
            <a:pPr>
              <a:defRPr b="0" lang="en-US" sz="1000" spc="-1" strike="noStrike">
                <a:solidFill>
                  <a:srgbClr val="000000"/>
                </a:solidFill>
                <a:latin typeface="Calibri Light"/>
              </a:defRPr>
            </a:pPr>
          </a:p>
        </c:txPr>
        <c:crossAx val="20450834"/>
        <c:crosses val="autoZero"/>
        <c:crossBetween val="between"/>
      </c:valAx>
      <c:spPr>
        <a:noFill/>
        <a:ln>
          <a:noFill/>
        </a:ln>
      </c:spPr>
    </c:plotArea>
    <c:plotVisOnly val="1"/>
    <c:dispBlanksAs val="gap"/>
  </c:chart>
  <c:spPr>
    <a:solidFill>
      <a:srgbClr val="ffffff"/>
    </a:solidFill>
    <a:ln w="9360">
      <a:noFill/>
    </a:ln>
  </c:spPr>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86307E-B2B2-4F29-816B-9B78D64A5886}"/>
</file>

<file path=customXml/itemProps2.xml><?xml version="1.0" encoding="utf-8"?>
<ds:datastoreItem xmlns:ds="http://schemas.openxmlformats.org/officeDocument/2006/customXml" ds:itemID="{EAF91379-43CD-42F9-A952-FDA565B2EAF2}"/>
</file>

<file path=customXml/itemProps3.xml><?xml version="1.0" encoding="utf-8"?>
<ds:datastoreItem xmlns:ds="http://schemas.openxmlformats.org/officeDocument/2006/customXml" ds:itemID="{39BD8A1E-3D13-4F27-9F14-851A94608C09}"/>
</file>

<file path=docProps/app.xml><?xml version="1.0" encoding="utf-8"?>
<Properties xmlns="http://schemas.openxmlformats.org/officeDocument/2006/extended-properties" xmlns:vt="http://schemas.openxmlformats.org/officeDocument/2006/docPropsVTypes">
  <Template>Normal</Template>
  <TotalTime>92</TotalTime>
  <Application>LibreOffice/6.4.6.2$Windows_X86_64 LibreOffice_project/0ce51a4fd21bff07a5c061082cc82c5ed232f115</Application>
  <Pages>3</Pages>
  <Words>703</Words>
  <Characters>4994</Characters>
  <CharactersWithSpaces>5665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2020-11-19T19:00:00Z</dcterms:created>
  <dc:creator>Stefan Voicu</dc:creator>
  <dc:description/>
  <dc:language>de-DE</dc:language>
  <cp:lastModifiedBy/>
  <cp:lastPrinted>2020-12-21T05:40:35Z</cp:lastPrinted>
  <dcterms:modified xsi:type="dcterms:W3CDTF">2020-12-21T05:57:29Z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0x010100B5308A9776426D41840A8C2CCB15B3F3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